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162560</wp:posOffset>
            </wp:positionH>
            <wp:positionV relativeFrom="paragraph">
              <wp:posOffset>213360</wp:posOffset>
            </wp:positionV>
            <wp:extent cx="682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625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255270</wp:posOffset>
            </wp:positionV>
            <wp:extent cx="682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217170</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235585</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spacing w:after="0" w:line="19" w:lineRule="exact"/>
        <w:rPr>
          <w:sz w:val="24"/>
          <w:szCs w:val="24"/>
          <w:color w:val="auto"/>
        </w:rPr>
      </w:pPr>
    </w:p>
    <w:p>
      <w:pPr>
        <w:ind w:left="680" w:right="100" w:hanging="431"/>
        <w:spacing w:after="0" w:line="243"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4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32" w:lineRule="exact"/>
        <w:rPr>
          <w:sz w:val="24"/>
          <w:szCs w:val="24"/>
          <w:color w:val="auto"/>
        </w:rPr>
      </w:pPr>
    </w:p>
    <w:p>
      <w:pPr>
        <w:ind w:left="680" w:right="80" w:hanging="431"/>
        <w:spacing w:after="0" w:line="267"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3" w:lineRule="exact"/>
        <w:rPr>
          <w:sz w:val="24"/>
          <w:szCs w:val="24"/>
          <w:color w:val="auto"/>
        </w:rPr>
      </w:pPr>
    </w:p>
    <w:p>
      <w:pPr>
        <w:ind w:left="370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231775</wp:posOffset>
            </wp:positionV>
            <wp:extent cx="1430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42"/>
          <w:szCs w:val="42"/>
          <w:b w:val="1"/>
          <w:bCs w:val="1"/>
          <w:color w:val="auto"/>
        </w:rPr>
        <w:t>Fidus Investment Corporation</w:t>
      </w:r>
    </w:p>
    <w:p>
      <w:pPr>
        <w:spacing w:after="0" w:line="4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227330</wp:posOffset>
            </wp:positionV>
            <wp:extent cx="143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5860" w:type="dxa"/>
            <w:vAlign w:val="bottom"/>
          </w:tcPr>
          <w:p>
            <w:pPr>
              <w:jc w:val="center"/>
              <w:ind w:right="3181"/>
              <w:spacing w:after="0"/>
              <w:rPr>
                <w:sz w:val="20"/>
                <w:szCs w:val="20"/>
                <w:color w:val="auto"/>
              </w:rPr>
            </w:pPr>
            <w:r>
              <w:rPr>
                <w:rFonts w:ascii="Arial" w:cs="Arial" w:eastAsia="Arial" w:hAnsi="Arial"/>
                <w:sz w:val="18"/>
                <w:szCs w:val="18"/>
                <w:b w:val="1"/>
                <w:bCs w:val="1"/>
                <w:color w:val="auto"/>
                <w:w w:val="96"/>
              </w:rPr>
              <w:t>Maryland</w:t>
            </w:r>
          </w:p>
        </w:tc>
        <w:tc>
          <w:tcPr>
            <w:tcW w:w="1420" w:type="dxa"/>
            <w:vAlign w:val="bottom"/>
          </w:tcPr>
          <w:p>
            <w:pPr>
              <w:jc w:val="right"/>
              <w:ind w:right="43"/>
              <w:spacing w:after="0"/>
              <w:rPr>
                <w:sz w:val="20"/>
                <w:szCs w:val="20"/>
                <w:color w:val="auto"/>
              </w:rPr>
            </w:pPr>
            <w:r>
              <w:rPr>
                <w:rFonts w:ascii="Arial" w:cs="Arial" w:eastAsia="Arial" w:hAnsi="Arial"/>
                <w:sz w:val="18"/>
                <w:szCs w:val="18"/>
                <w:b w:val="1"/>
                <w:bCs w:val="1"/>
                <w:color w:val="auto"/>
              </w:rPr>
              <w:t>27-5017321</w:t>
            </w:r>
          </w:p>
        </w:tc>
      </w:tr>
      <w:tr>
        <w:trPr>
          <w:trHeight w:val="145"/>
        </w:trPr>
        <w:tc>
          <w:tcPr>
            <w:tcW w:w="5860" w:type="dxa"/>
            <w:vAlign w:val="bottom"/>
          </w:tcPr>
          <w:p>
            <w:pPr>
              <w:jc w:val="center"/>
              <w:ind w:right="3161"/>
              <w:spacing w:after="0" w:line="145" w:lineRule="exact"/>
              <w:rPr>
                <w:sz w:val="20"/>
                <w:szCs w:val="20"/>
                <w:color w:val="auto"/>
              </w:rPr>
            </w:pPr>
            <w:r>
              <w:rPr>
                <w:rFonts w:ascii="Arial" w:cs="Arial" w:eastAsia="Arial" w:hAnsi="Arial"/>
                <w:sz w:val="14"/>
                <w:szCs w:val="14"/>
                <w:b w:val="1"/>
                <w:bCs w:val="1"/>
                <w:color w:val="auto"/>
                <w:w w:val="91"/>
              </w:rPr>
              <w:t>(State or Other Jurisdiction of</w:t>
            </w:r>
          </w:p>
        </w:tc>
        <w:tc>
          <w:tcPr>
            <w:tcW w:w="1420" w:type="dxa"/>
            <w:vAlign w:val="bottom"/>
          </w:tcPr>
          <w:p>
            <w:pPr>
              <w:jc w:val="center"/>
              <w:ind w:left="243"/>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5860" w:type="dxa"/>
            <w:vAlign w:val="bottom"/>
          </w:tcPr>
          <w:p>
            <w:pPr>
              <w:jc w:val="center"/>
              <w:ind w:right="3181"/>
              <w:spacing w:after="0"/>
              <w:rPr>
                <w:sz w:val="20"/>
                <w:szCs w:val="20"/>
                <w:color w:val="auto"/>
              </w:rPr>
            </w:pPr>
            <w:r>
              <w:rPr>
                <w:rFonts w:ascii="Arial" w:cs="Arial" w:eastAsia="Arial" w:hAnsi="Arial"/>
                <w:sz w:val="14"/>
                <w:szCs w:val="14"/>
                <w:b w:val="1"/>
                <w:bCs w:val="1"/>
                <w:color w:val="auto"/>
                <w:w w:val="92"/>
              </w:rPr>
              <w:t>Incorporation or Organization)</w:t>
            </w:r>
          </w:p>
        </w:tc>
        <w:tc>
          <w:tcPr>
            <w:tcW w:w="1420" w:type="dxa"/>
            <w:vAlign w:val="bottom"/>
          </w:tcPr>
          <w:p>
            <w:pPr>
              <w:jc w:val="center"/>
              <w:ind w:left="243"/>
              <w:spacing w:after="0"/>
              <w:rPr>
                <w:sz w:val="20"/>
                <w:szCs w:val="20"/>
                <w:color w:val="auto"/>
              </w:rPr>
            </w:pPr>
            <w:r>
              <w:rPr>
                <w:rFonts w:ascii="Arial" w:cs="Arial" w:eastAsia="Arial" w:hAnsi="Arial"/>
                <w:sz w:val="14"/>
                <w:szCs w:val="14"/>
                <w:b w:val="1"/>
                <w:bCs w:val="1"/>
                <w:color w:val="auto"/>
                <w:w w:val="92"/>
              </w:rPr>
              <w:t>Identification No.)</w:t>
            </w:r>
          </w:p>
        </w:tc>
      </w:tr>
      <w:tr>
        <w:trPr>
          <w:trHeight w:val="401"/>
        </w:trPr>
        <w:tc>
          <w:tcPr>
            <w:tcW w:w="5860" w:type="dxa"/>
            <w:vAlign w:val="bottom"/>
          </w:tcPr>
          <w:p>
            <w:pPr>
              <w:jc w:val="center"/>
              <w:ind w:right="3161"/>
              <w:spacing w:after="0"/>
              <w:rPr>
                <w:sz w:val="20"/>
                <w:szCs w:val="20"/>
                <w:color w:val="auto"/>
              </w:rPr>
            </w:pPr>
            <w:r>
              <w:rPr>
                <w:rFonts w:ascii="Arial" w:cs="Arial" w:eastAsia="Arial" w:hAnsi="Arial"/>
                <w:sz w:val="18"/>
                <w:szCs w:val="18"/>
                <w:b w:val="1"/>
                <w:bCs w:val="1"/>
                <w:color w:val="auto"/>
                <w:w w:val="88"/>
              </w:rPr>
              <w:t>1603 Orrington Avenue, Suite 1005</w:t>
            </w:r>
          </w:p>
        </w:tc>
        <w:tc>
          <w:tcPr>
            <w:tcW w:w="1420" w:type="dxa"/>
            <w:vAlign w:val="bottom"/>
          </w:tcPr>
          <w:p>
            <w:pPr>
              <w:spacing w:after="0"/>
              <w:rPr>
                <w:sz w:val="24"/>
                <w:szCs w:val="24"/>
                <w:color w:val="auto"/>
              </w:rPr>
            </w:pPr>
          </w:p>
        </w:tc>
      </w:tr>
      <w:tr>
        <w:trPr>
          <w:trHeight w:val="220"/>
        </w:trPr>
        <w:tc>
          <w:tcPr>
            <w:tcW w:w="5860" w:type="dxa"/>
            <w:vAlign w:val="bottom"/>
          </w:tcPr>
          <w:p>
            <w:pPr>
              <w:jc w:val="center"/>
              <w:ind w:right="3181"/>
              <w:spacing w:after="0"/>
              <w:rPr>
                <w:sz w:val="20"/>
                <w:szCs w:val="20"/>
                <w:color w:val="auto"/>
              </w:rPr>
            </w:pPr>
            <w:r>
              <w:rPr>
                <w:rFonts w:ascii="Arial" w:cs="Arial" w:eastAsia="Arial" w:hAnsi="Arial"/>
                <w:sz w:val="18"/>
                <w:szCs w:val="18"/>
                <w:b w:val="1"/>
                <w:bCs w:val="1"/>
                <w:color w:val="auto"/>
                <w:w w:val="89"/>
              </w:rPr>
              <w:t>Evanston, Illinois</w:t>
            </w:r>
          </w:p>
        </w:tc>
        <w:tc>
          <w:tcPr>
            <w:tcW w:w="1420" w:type="dxa"/>
            <w:vAlign w:val="bottom"/>
          </w:tcPr>
          <w:p>
            <w:pPr>
              <w:jc w:val="right"/>
              <w:ind w:right="243"/>
              <w:spacing w:after="0"/>
              <w:rPr>
                <w:sz w:val="20"/>
                <w:szCs w:val="20"/>
                <w:color w:val="auto"/>
              </w:rPr>
            </w:pPr>
            <w:r>
              <w:rPr>
                <w:rFonts w:ascii="Arial" w:cs="Arial" w:eastAsia="Arial" w:hAnsi="Arial"/>
                <w:sz w:val="18"/>
                <w:szCs w:val="18"/>
                <w:b w:val="1"/>
                <w:bCs w:val="1"/>
                <w:color w:val="auto"/>
              </w:rPr>
              <w:t>60201</w:t>
            </w:r>
          </w:p>
        </w:tc>
      </w:tr>
      <w:tr>
        <w:trPr>
          <w:trHeight w:val="183"/>
        </w:trPr>
        <w:tc>
          <w:tcPr>
            <w:tcW w:w="5860" w:type="dxa"/>
            <w:vAlign w:val="bottom"/>
          </w:tcPr>
          <w:p>
            <w:pPr>
              <w:jc w:val="center"/>
              <w:ind w:right="3181"/>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420" w:type="dxa"/>
            <w:vAlign w:val="bottom"/>
          </w:tcPr>
          <w:p>
            <w:pPr>
              <w:jc w:val="center"/>
              <w:ind w:left="243"/>
              <w:spacing w:after="0"/>
              <w:rPr>
                <w:sz w:val="20"/>
                <w:szCs w:val="20"/>
                <w:color w:val="auto"/>
              </w:rPr>
            </w:pPr>
            <w:r>
              <w:rPr>
                <w:rFonts w:ascii="Arial" w:cs="Arial" w:eastAsia="Arial" w:hAnsi="Arial"/>
                <w:sz w:val="14"/>
                <w:szCs w:val="14"/>
                <w:b w:val="1"/>
                <w:bCs w:val="1"/>
                <w:color w:val="auto"/>
                <w:w w:val="95"/>
              </w:rPr>
              <w:t>(Zip Code)</w:t>
            </w:r>
          </w:p>
        </w:tc>
      </w:tr>
      <w:tr>
        <w:trPr>
          <w:trHeight w:val="383"/>
        </w:trPr>
        <w:tc>
          <w:tcPr>
            <w:tcW w:w="5860" w:type="dxa"/>
            <w:vAlign w:val="bottom"/>
          </w:tcPr>
          <w:p>
            <w:pPr>
              <w:jc w:val="right"/>
              <w:ind w:right="1261"/>
              <w:spacing w:after="0"/>
              <w:rPr>
                <w:sz w:val="20"/>
                <w:szCs w:val="20"/>
                <w:color w:val="auto"/>
              </w:rPr>
            </w:pPr>
            <w:r>
              <w:rPr>
                <w:rFonts w:ascii="Arial" w:cs="Arial" w:eastAsia="Arial" w:hAnsi="Arial"/>
                <w:sz w:val="18"/>
                <w:szCs w:val="18"/>
                <w:b w:val="1"/>
                <w:bCs w:val="1"/>
                <w:color w:val="auto"/>
              </w:rPr>
              <w:t>(847) 859-3940</w:t>
            </w:r>
          </w:p>
        </w:tc>
        <w:tc>
          <w:tcPr>
            <w:tcW w:w="1420" w:type="dxa"/>
            <w:vAlign w:val="bottom"/>
          </w:tcPr>
          <w:p>
            <w:pPr>
              <w:spacing w:after="0"/>
              <w:rPr>
                <w:sz w:val="24"/>
                <w:szCs w:val="24"/>
                <w:color w:val="auto"/>
              </w:rPr>
            </w:pPr>
          </w:p>
        </w:tc>
      </w:tr>
      <w:tr>
        <w:trPr>
          <w:trHeight w:val="183"/>
        </w:trPr>
        <w:tc>
          <w:tcPr>
            <w:tcW w:w="5860" w:type="dxa"/>
            <w:vAlign w:val="bottom"/>
          </w:tcPr>
          <w:p>
            <w:pPr>
              <w:jc w:val="center"/>
              <w:ind w:left="198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4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215900</wp:posOffset>
            </wp:positionV>
            <wp:extent cx="143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211455</wp:posOffset>
            </wp:positionV>
            <wp:extent cx="1430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260" w:type="dxa"/>
        <w:tblCellMar>
          <w:top w:w="0" w:type="dxa"/>
          <w:left w:w="0" w:type="dxa"/>
          <w:bottom w:w="0" w:type="dxa"/>
          <w:right w:w="0" w:type="dxa"/>
        </w:tblCellMar>
      </w:tblPr>
      <w:tr>
        <w:trPr>
          <w:trHeight w:val="181"/>
        </w:trPr>
        <w:tc>
          <w:tcPr>
            <w:tcW w:w="3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Title of each class</w:t>
            </w:r>
          </w:p>
        </w:tc>
        <w:tc>
          <w:tcPr>
            <w:tcW w:w="3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Trading Symbol</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86"/>
        </w:trPr>
        <w:tc>
          <w:tcPr>
            <w:tcW w:w="364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7"/>
              </w:rPr>
              <w:t>Common Stock, par value $0.001 per share</w:t>
            </w:r>
          </w:p>
        </w:tc>
        <w:tc>
          <w:tcPr>
            <w:tcW w:w="12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3"/>
              </w:rPr>
              <w:t>FDUS</w:t>
            </w:r>
          </w:p>
        </w:tc>
        <w:tc>
          <w:tcPr>
            <w:tcW w:w="10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1"/>
              </w:rPr>
              <w:t>The NASDAQ Global Select Market</w:t>
            </w:r>
          </w:p>
        </w:tc>
      </w:tr>
      <w:tr>
        <w:trPr>
          <w:trHeight w:val="211"/>
        </w:trPr>
        <w:tc>
          <w:tcPr>
            <w:tcW w:w="3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6.000% Notes due 2024</w:t>
            </w:r>
          </w:p>
        </w:tc>
        <w:tc>
          <w:tcPr>
            <w:tcW w:w="3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FDUSZ</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r>
        <w:trPr>
          <w:trHeight w:val="228"/>
        </w:trPr>
        <w:tc>
          <w:tcPr>
            <w:tcW w:w="37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5.375% Notes due 2024</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FDUSG</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199" w:lineRule="exact"/>
        <w:rPr>
          <w:sz w:val="24"/>
          <w:szCs w:val="24"/>
          <w:color w:val="auto"/>
        </w:rPr>
      </w:pPr>
    </w:p>
    <w:p>
      <w:pPr>
        <w:ind w:left="240" w:right="80" w:firstLine="43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left="240" w:right="380" w:firstLine="43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ind w:left="240" w:right="60" w:firstLine="43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000"/>
          </w:cols>
          <w:pgMar w:left="320" w:top="227" w:right="579" w:bottom="31" w:gutter="0" w:footer="0" w:header="0"/>
        </w:sectPr>
      </w:pPr>
    </w:p>
    <w:p>
      <w:pPr>
        <w:spacing w:after="0" w:line="215" w:lineRule="exact"/>
        <w:rPr>
          <w:sz w:val="24"/>
          <w:szCs w:val="24"/>
          <w:color w:val="auto"/>
        </w:rPr>
      </w:pPr>
    </w:p>
    <w:p>
      <w:pPr>
        <w:ind w:left="240" w:right="480"/>
        <w:spacing w:after="0" w:line="22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Accelerated filer</w:t>
      </w:r>
    </w:p>
    <w:p>
      <w:pPr>
        <w:spacing w:after="0" w:line="34" w:lineRule="exact"/>
        <w:rPr>
          <w:sz w:val="24"/>
          <w:szCs w:val="24"/>
          <w:color w:val="auto"/>
        </w:rPr>
      </w:pPr>
    </w:p>
    <w:p>
      <w:pPr>
        <w:jc w:val="center"/>
        <w:ind w:righ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Non-accelerated filer</w:t>
      </w:r>
    </w:p>
    <w:p>
      <w:pPr>
        <w:spacing w:after="0" w:line="34" w:lineRule="exact"/>
        <w:rPr>
          <w:sz w:val="24"/>
          <w:szCs w:val="24"/>
          <w:color w:val="auto"/>
        </w:rPr>
      </w:pPr>
    </w:p>
    <w:p>
      <w:pPr>
        <w:jc w:val="center"/>
        <w:ind w:right="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Smaller reporting</w:t>
      </w:r>
    </w:p>
    <w:p>
      <w:pPr>
        <w:spacing w:after="0" w:line="38" w:lineRule="exact"/>
        <w:rPr>
          <w:sz w:val="24"/>
          <w:szCs w:val="24"/>
          <w:color w:val="auto"/>
        </w:rPr>
      </w:pPr>
    </w:p>
    <w:p>
      <w:pPr>
        <w:jc w:val="center"/>
        <w:ind w:right="2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Emerging growth</w:t>
      </w:r>
    </w:p>
    <w:p>
      <w:pPr>
        <w:spacing w:after="0" w:line="38" w:lineRule="exact"/>
        <w:rPr>
          <w:sz w:val="24"/>
          <w:szCs w:val="24"/>
          <w:color w:val="auto"/>
        </w:rPr>
      </w:pPr>
    </w:p>
    <w:p>
      <w:pPr>
        <w:jc w:val="center"/>
        <w:ind w:right="4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ectPr>
          <w:pgSz w:w="11900" w:h="16838" w:orient="portrait"/>
          <w:cols w:equalWidth="0" w:num="5">
            <w:col w:w="2300" w:space="720"/>
            <w:col w:w="1260" w:space="720"/>
            <w:col w:w="1500" w:space="720"/>
            <w:col w:w="1420" w:space="720"/>
            <w:col w:w="1640"/>
          </w:cols>
          <w:pgMar w:left="320" w:top="227" w:right="579" w:bottom="31" w:gutter="0" w:footer="0" w:header="0"/>
          <w:type w:val="continuous"/>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0"/>
          <w:szCs w:val="20"/>
          <w:color w:val="auto"/>
        </w:rPr>
      </w:pPr>
    </w:p>
    <w:p>
      <w:pPr>
        <w:spacing w:after="0" w:line="207" w:lineRule="exact"/>
        <w:tabs>
          <w:tab w:leader="none" w:pos="8120" w:val="left"/>
          <w:tab w:leader="none" w:pos="8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August 2, 2021, the Registrant had outstanding 24,437,400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682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194310</wp:posOffset>
            </wp:positionV>
            <wp:extent cx="6826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ectPr>
          <w:pgSz w:w="11900" w:h="16838" w:orient="portrait"/>
          <w:cols w:equalWidth="0" w:num="1">
            <w:col w:w="10480"/>
          </w:cols>
          <w:pgMar w:left="560" w:top="127"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620" w:type="dxa"/>
            <w:vAlign w:val="bottom"/>
            <w:gridSpan w:val="25"/>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80" w:type="dxa"/>
            <w:vAlign w:val="bottom"/>
          </w:tcPr>
          <w:p>
            <w:pPr>
              <w:spacing w:after="0"/>
              <w:rPr>
                <w:sz w:val="16"/>
                <w:szCs w:val="16"/>
                <w:color w:val="auto"/>
              </w:rPr>
            </w:pPr>
          </w:p>
        </w:tc>
      </w:tr>
      <w:tr>
        <w:trPr>
          <w:trHeight w:val="502"/>
        </w:trPr>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0" w:type="dxa"/>
            <w:vAlign w:val="bottom"/>
            <w:gridSpan w:val="14"/>
          </w:tcPr>
          <w:p>
            <w:pPr>
              <w:jc w:val="center"/>
              <w:ind w:right="2800"/>
              <w:spacing w:after="0"/>
              <w:rPr>
                <w:sz w:val="20"/>
                <w:szCs w:val="20"/>
                <w:color w:val="auto"/>
              </w:rPr>
            </w:pPr>
            <w:r>
              <w:rPr>
                <w:rFonts w:ascii="Arial" w:cs="Arial" w:eastAsia="Arial" w:hAnsi="Arial"/>
                <w:sz w:val="18"/>
                <w:szCs w:val="18"/>
                <w:b w:val="1"/>
                <w:bCs w:val="1"/>
                <w:color w:val="auto"/>
                <w:w w:val="99"/>
              </w:rPr>
              <w:t>FIDUS INVESTMENT CORPORATION</w:t>
            </w:r>
          </w:p>
        </w:tc>
        <w:tc>
          <w:tcPr>
            <w:tcW w:w="380" w:type="dxa"/>
            <w:vAlign w:val="bottom"/>
          </w:tcPr>
          <w:p>
            <w:pPr>
              <w:spacing w:after="0"/>
              <w:rPr>
                <w:sz w:val="24"/>
                <w:szCs w:val="24"/>
                <w:color w:val="auto"/>
              </w:rPr>
            </w:pPr>
          </w:p>
        </w:tc>
      </w:tr>
      <w:tr>
        <w:trPr>
          <w:trHeight w:val="211"/>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12"/>
          </w:tcPr>
          <w:p>
            <w:pPr>
              <w:jc w:val="center"/>
              <w:ind w:right="384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0" w:type="dxa"/>
            <w:vAlign w:val="bottom"/>
            <w:gridSpan w:val="14"/>
          </w:tcPr>
          <w:p>
            <w:pPr>
              <w:jc w:val="center"/>
              <w:ind w:right="2800"/>
              <w:spacing w:after="0"/>
              <w:rPr>
                <w:sz w:val="20"/>
                <w:szCs w:val="20"/>
                <w:color w:val="auto"/>
              </w:rPr>
            </w:pPr>
            <w:r>
              <w:rPr>
                <w:rFonts w:ascii="Arial" w:cs="Arial" w:eastAsia="Arial" w:hAnsi="Arial"/>
                <w:sz w:val="18"/>
                <w:szCs w:val="18"/>
                <w:b w:val="1"/>
                <w:bCs w:val="1"/>
                <w:color w:val="auto"/>
                <w:w w:val="96"/>
              </w:rPr>
              <w:t>QUARTERLY REPORT ON FORM 10-Q</w:t>
            </w:r>
          </w:p>
        </w:tc>
        <w:tc>
          <w:tcPr>
            <w:tcW w:w="380" w:type="dxa"/>
            <w:vAlign w:val="bottom"/>
          </w:tcPr>
          <w:p>
            <w:pPr>
              <w:spacing w:after="0"/>
              <w:rPr>
                <w:sz w:val="19"/>
                <w:szCs w:val="19"/>
                <w:color w:val="auto"/>
              </w:rPr>
            </w:pPr>
          </w:p>
        </w:tc>
      </w:tr>
      <w:tr>
        <w:trPr>
          <w:trHeight w:val="409"/>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00" w:type="dxa"/>
            <w:vAlign w:val="bottom"/>
            <w:gridSpan w:val="13"/>
          </w:tcPr>
          <w:p>
            <w:pPr>
              <w:jc w:val="center"/>
              <w:ind w:right="3140"/>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 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line="191"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Financial Statements.</w:t>
              </w:r>
            </w:hyperlink>
          </w:p>
        </w:tc>
        <w:tc>
          <w:tcPr>
            <w:tcW w:w="1680" w:type="dxa"/>
            <w:vAlign w:val="bottom"/>
            <w:gridSpan w:val="3"/>
          </w:tcPr>
          <w:p>
            <w:pPr>
              <w:spacing w:after="0"/>
              <w:rPr>
                <w:sz w:val="16"/>
                <w:szCs w:val="16"/>
                <w:color w:val="auto"/>
              </w:rPr>
            </w:pPr>
          </w:p>
        </w:tc>
        <w:tc>
          <w:tcPr>
            <w:tcW w:w="3160" w:type="dxa"/>
            <w:vAlign w:val="bottom"/>
            <w:tcBorders>
              <w:top w:val="single" w:sz="8" w:color="0000EE"/>
            </w:tcBorders>
            <w:gridSpan w:val="7"/>
          </w:tcPr>
          <w:p>
            <w:pPr>
              <w:spacing w:after="0"/>
              <w:rPr>
                <w:sz w:val="16"/>
                <w:szCs w:val="16"/>
                <w:color w:val="auto"/>
              </w:rPr>
            </w:pPr>
          </w:p>
        </w:tc>
        <w:tc>
          <w:tcPr>
            <w:tcW w:w="3140" w:type="dxa"/>
            <w:vAlign w:val="bottom"/>
            <w:gridSpan w:val="6"/>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3</w:t>
            </w: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500" w:type="dxa"/>
            <w:vAlign w:val="bottom"/>
            <w:gridSpan w:val="22"/>
          </w:tcPr>
          <w:p>
            <w:pPr>
              <w:spacing w:after="0" w:line="191"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Assets and Liabilities — June 30, 2021 (unaudited) and December 31, 2020</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500" w:type="dxa"/>
            <w:vAlign w:val="bottom"/>
            <w:gridSpan w:val="22"/>
          </w:tcPr>
          <w:p>
            <w:pPr>
              <w:spacing w:after="0" w:line="191"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Operations — Three and Six Months Ended June 30, 2021 (unaudited) and 2020 (unaudited)</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4</w:t>
            </w:r>
          </w:p>
        </w:tc>
      </w:tr>
      <w:tr>
        <w:trPr>
          <w:trHeight w:val="20"/>
        </w:trPr>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500" w:type="dxa"/>
            <w:vAlign w:val="bottom"/>
            <w:gridSpan w:val="22"/>
          </w:tcPr>
          <w:p>
            <w:pPr>
              <w:spacing w:after="0" w:line="191"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Net Assets — Three and Six Months Ended June 30, 2021 (unaudited) and 2020 (unaudited)</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5</w:t>
            </w: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300" w:type="dxa"/>
            <w:vAlign w:val="bottom"/>
            <w:tcBorders>
              <w:top w:val="single" w:sz="8" w:color="0000EE"/>
            </w:tcBorders>
            <w:gridSpan w:val="21"/>
          </w:tcPr>
          <w:p>
            <w:pPr>
              <w:spacing w:after="0" w:line="191"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Cash Flows — Three and Six Months Ended June 30, 2021 (unaudited) and 2020 (unaudited)</w:t>
              </w:r>
            </w:hyperlink>
          </w:p>
        </w:tc>
        <w:tc>
          <w:tcPr>
            <w:tcW w:w="200" w:type="dxa"/>
            <w:vAlign w:val="bottom"/>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w:t>
            </w: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Borders>
              <w:top w:val="single" w:sz="8" w:color="0000EE"/>
            </w:tcBorders>
            <w:gridSpan w:val="20"/>
          </w:tcPr>
          <w:p>
            <w:pPr>
              <w:spacing w:after="0" w:line="191"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 June 30, 2021 (unaudited) and December 31, 2020</w:t>
              </w:r>
            </w:hyperlink>
          </w:p>
        </w:tc>
        <w:tc>
          <w:tcPr>
            <w:tcW w:w="960" w:type="dxa"/>
            <w:vAlign w:val="bottom"/>
            <w:gridSpan w:val="2"/>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7</w:t>
            </w: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20" w:type="dxa"/>
            <w:vAlign w:val="bottom"/>
            <w:tcBorders>
              <w:top w:val="single" w:sz="8" w:color="0000EE"/>
            </w:tcBorders>
            <w:gridSpan w:val="17"/>
          </w:tcPr>
          <w:p>
            <w:pPr>
              <w:spacing w:after="0" w:line="191" w:lineRule="exact"/>
              <w:rPr>
                <w:rFonts w:ascii="Arial" w:cs="Arial" w:eastAsia="Arial" w:hAnsi="Arial"/>
                <w:sz w:val="18"/>
                <w:szCs w:val="18"/>
                <w:color w:val="0000EE"/>
              </w:rPr>
            </w:pPr>
            <w:hyperlink w:anchor="page21">
              <w:r>
                <w:rPr>
                  <w:rFonts w:ascii="Arial" w:cs="Arial" w:eastAsia="Arial" w:hAnsi="Arial"/>
                  <w:sz w:val="18"/>
                  <w:szCs w:val="18"/>
                  <w:color w:val="0000EE"/>
                </w:rPr>
                <w:t>Notes to Consolidated Financial Statements (unaudited)</w:t>
              </w:r>
            </w:hyperlink>
          </w:p>
        </w:tc>
        <w:tc>
          <w:tcPr>
            <w:tcW w:w="2880" w:type="dxa"/>
            <w:vAlign w:val="bottom"/>
            <w:gridSpan w:val="5"/>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18</w:t>
            </w:r>
          </w:p>
        </w:tc>
      </w:tr>
      <w:tr>
        <w:trPr>
          <w:trHeight w:val="20"/>
        </w:trPr>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line="191"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40</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3"/>
          </w:tcPr>
          <w:p>
            <w:pPr>
              <w:spacing w:after="0" w:line="191"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6"/>
                <w:szCs w:val="16"/>
                <w:color w:val="auto"/>
              </w:rPr>
            </w:pPr>
          </w:p>
        </w:tc>
        <w:tc>
          <w:tcPr>
            <w:tcW w:w="3160" w:type="dxa"/>
            <w:vAlign w:val="bottom"/>
            <w:gridSpan w:val="7"/>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60</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line="191"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61</w:t>
            </w:r>
          </w:p>
        </w:tc>
      </w:tr>
      <w:tr>
        <w:trPr>
          <w:trHeight w:val="191"/>
        </w:trPr>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tcBorders>
              <w:bottom w:val="single" w:sz="8" w:color="0000EE"/>
            </w:tcBorders>
            <w:gridSpan w:val="4"/>
          </w:tcPr>
          <w:p>
            <w:pPr>
              <w:jc w:val="center"/>
              <w:spacing w:after="0" w:line="191"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 — OTHER INFORMATION</w:t>
              </w:r>
            </w:hyperlink>
          </w:p>
        </w:tc>
        <w:tc>
          <w:tcPr>
            <w:tcW w:w="3280" w:type="dxa"/>
            <w:vAlign w:val="bottom"/>
            <w:gridSpan w:val="8"/>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62</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62</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5"/>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Risk Factors.</w:t>
              </w:r>
            </w:hyperlink>
          </w:p>
        </w:tc>
        <w:tc>
          <w:tcPr>
            <w:tcW w:w="8160" w:type="dxa"/>
            <w:vAlign w:val="bottom"/>
            <w:gridSpan w:val="17"/>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62</w:t>
            </w:r>
          </w:p>
        </w:tc>
      </w:tr>
      <w:tr>
        <w:trPr>
          <w:trHeight w:val="20"/>
        </w:trPr>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62</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tcBorders>
            <w:gridSpan w:val="12"/>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5220" w:type="dxa"/>
            <w:vAlign w:val="bottom"/>
            <w:gridSpan w:val="10"/>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62</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4.</w:t>
            </w:r>
          </w:p>
        </w:tc>
        <w:tc>
          <w:tcPr>
            <w:tcW w:w="2300" w:type="dxa"/>
            <w:vAlign w:val="bottom"/>
            <w:tcBorders>
              <w:top w:val="single" w:sz="8" w:color="0000EE"/>
            </w:tcBorders>
            <w:gridSpan w:val="8"/>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7200" w:type="dxa"/>
            <w:vAlign w:val="bottom"/>
            <w:gridSpan w:val="14"/>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62</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740" w:type="dxa"/>
            <w:vAlign w:val="bottom"/>
            <w:gridSpan w:val="15"/>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62</w:t>
            </w:r>
          </w:p>
        </w:tc>
      </w:tr>
      <w:tr>
        <w:trPr>
          <w:trHeight w:val="191"/>
        </w:trPr>
        <w:tc>
          <w:tcPr>
            <w:tcW w:w="240" w:type="dxa"/>
            <w:vAlign w:val="bottom"/>
          </w:tcPr>
          <w:p>
            <w:pPr>
              <w:spacing w:after="0"/>
              <w:rPr>
                <w:sz w:val="16"/>
                <w:szCs w:val="16"/>
                <w:color w:val="auto"/>
              </w:rPr>
            </w:pPr>
          </w:p>
        </w:tc>
        <w:tc>
          <w:tcPr>
            <w:tcW w:w="880" w:type="dxa"/>
            <w:vAlign w:val="bottom"/>
            <w:gridSpan w:val="2"/>
          </w:tcPr>
          <w:p>
            <w:pPr>
              <w:spacing w:after="0" w:line="191"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1"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180" w:type="dxa"/>
            <w:vAlign w:val="bottom"/>
            <w:gridSpan w:val="18"/>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63</w:t>
            </w:r>
          </w:p>
        </w:tc>
      </w:tr>
      <w:tr>
        <w:trPr>
          <w:trHeight w:val="191"/>
        </w:trPr>
        <w:tc>
          <w:tcPr>
            <w:tcW w:w="240" w:type="dxa"/>
            <w:vAlign w:val="bottom"/>
          </w:tcPr>
          <w:p>
            <w:pPr>
              <w:spacing w:after="0"/>
              <w:rPr>
                <w:sz w:val="16"/>
                <w:szCs w:val="16"/>
                <w:color w:val="auto"/>
              </w:rPr>
            </w:pPr>
          </w:p>
        </w:tc>
        <w:tc>
          <w:tcPr>
            <w:tcW w:w="760" w:type="dxa"/>
            <w:vAlign w:val="bottom"/>
            <w:tcBorders>
              <w:bottom w:val="single" w:sz="8" w:color="0000EE"/>
            </w:tcBorders>
          </w:tcPr>
          <w:p>
            <w:pPr>
              <w:spacing w:after="0" w:line="191"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1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Arial" w:cs="Arial" w:eastAsia="Arial" w:hAnsi="Arial"/>
                <w:sz w:val="18"/>
                <w:szCs w:val="18"/>
                <w:color w:val="auto"/>
              </w:rPr>
              <w:t>64</w:t>
            </w:r>
          </w:p>
        </w:tc>
      </w:tr>
      <w:tr>
        <w:trPr>
          <w:trHeight w:val="230"/>
        </w:trPr>
        <w:tc>
          <w:tcPr>
            <w:tcW w:w="240" w:type="dxa"/>
            <w:vAlign w:val="bottom"/>
          </w:tcPr>
          <w:p>
            <w:pPr>
              <w:spacing w:after="0"/>
              <w:rPr>
                <w:sz w:val="19"/>
                <w:szCs w:val="19"/>
                <w:color w:val="auto"/>
              </w:rPr>
            </w:pPr>
          </w:p>
        </w:tc>
        <w:tc>
          <w:tcPr>
            <w:tcW w:w="10380" w:type="dxa"/>
            <w:vAlign w:val="bottom"/>
            <w:gridSpan w:val="24"/>
          </w:tcPr>
          <w:p>
            <w:pPr>
              <w:spacing w:after="0"/>
              <w:rPr>
                <w:sz w:val="20"/>
                <w:szCs w:val="20"/>
                <w:color w:val="auto"/>
              </w:rPr>
            </w:pPr>
            <w:r>
              <w:rPr>
                <w:rFonts w:ascii="Arial" w:cs="Arial" w:eastAsia="Arial" w:hAnsi="Arial"/>
                <w:sz w:val="18"/>
                <w:szCs w:val="18"/>
                <w:color w:val="auto"/>
              </w:rPr>
              <w:t>Exhibit Index</w:t>
            </w:r>
          </w:p>
        </w:tc>
        <w:tc>
          <w:tcPr>
            <w:tcW w:w="380" w:type="dxa"/>
            <w:vAlign w:val="bottom"/>
          </w:tcPr>
          <w:p>
            <w:pPr>
              <w:spacing w:after="0"/>
              <w:rPr>
                <w:sz w:val="19"/>
                <w:szCs w:val="19"/>
                <w:color w:val="auto"/>
              </w:rPr>
            </w:pPr>
          </w:p>
        </w:tc>
      </w:tr>
      <w:tr>
        <w:trPr>
          <w:trHeight w:val="356"/>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20" w:type="dxa"/>
            <w:vAlign w:val="bottom"/>
            <w:gridSpan w:val="14"/>
          </w:tcPr>
          <w:p>
            <w:pPr>
              <w:jc w:val="center"/>
              <w:ind w:left="2692"/>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320" w:top="445"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 — FINANCIAL INFORMATION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1. Financial Statements.</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4"/>
          </w:tcPr>
          <w:p>
            <w:pPr>
              <w:ind w:left="140"/>
              <w:spacing w:after="0"/>
              <w:rPr>
                <w:sz w:val="20"/>
                <w:szCs w:val="20"/>
                <w:color w:val="auto"/>
              </w:rPr>
            </w:pPr>
            <w:r>
              <w:rPr>
                <w:rFonts w:ascii="Arial" w:cs="Arial" w:eastAsia="Arial" w:hAnsi="Arial"/>
                <w:sz w:val="14"/>
                <w:szCs w:val="14"/>
                <w:b w:val="1"/>
                <w:bCs w:val="1"/>
                <w:color w:val="auto"/>
                <w:w w:val="98"/>
              </w:rPr>
              <w:t>December 31,</w:t>
            </w:r>
          </w:p>
        </w:tc>
      </w:tr>
      <w:tr>
        <w:trPr>
          <w:trHeight w:val="167"/>
        </w:trPr>
        <w:tc>
          <w:tcPr>
            <w:tcW w:w="20" w:type="dxa"/>
            <w:vAlign w:val="bottom"/>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8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 (cost: $71,869 and $32,969, respectively)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28,253</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Affiliate investments (cost: $26,713 and $31,836, respectively)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81,394</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(cost: $572,350 and $622,222, respectively)</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589,651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633,222</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Total investments, at fair value (cost: $670,932 and $687,027, respectively)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743,458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742,869</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124,308</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Interest receivable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7,548</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807,680</w:t>
            </w:r>
          </w:p>
        </w:tc>
        <w:tc>
          <w:tcPr>
            <w:tcW w:w="1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875,740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3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LIABILITIES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135,848</w:t>
            </w:r>
          </w:p>
        </w:tc>
        <w:tc>
          <w:tcPr>
            <w:tcW w:w="1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144,004</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Notes, net of deferred financing costs (Note 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300,294</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interest and fees payable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net of base management fee waiver – due to affiliate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Income incentive fee payable, net of income incentive fee waiver – due to affiliate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Taxes (receivable) payable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378,313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464,980</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340" w:type="dxa"/>
            <w:vAlign w:val="bottom"/>
          </w:tcPr>
          <w:p>
            <w:pPr>
              <w:spacing w:after="0" w:line="199" w:lineRule="exact"/>
              <w:rPr>
                <w:sz w:val="20"/>
                <w:szCs w:val="20"/>
                <w:color w:val="auto"/>
              </w:rPr>
            </w:pPr>
            <w:r>
              <w:rPr>
                <w:rFonts w:ascii="Arial" w:cs="Arial" w:eastAsia="Arial" w:hAnsi="Arial"/>
                <w:sz w:val="18"/>
                <w:szCs w:val="18"/>
                <w:color w:val="auto"/>
                <w:w w:val="91"/>
              </w:rPr>
              <w:t>Common stock, $0.001 par value (100,000,000 shares authorized, 24,437,400 and 24,437,400 shares issued and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outstanding at June 30, 2021 and December 31, 2020, respectively)</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363,751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363,751</w:t>
            </w: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distributable earnings</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46,985</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429,367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410,760</w:t>
            </w:r>
          </w:p>
        </w:tc>
        <w:tc>
          <w:tcPr>
            <w:tcW w:w="100" w:type="dxa"/>
            <w:vAlign w:val="bottom"/>
            <w:shd w:val="clear" w:color="auto" w:fill="CCEEFF"/>
          </w:tcPr>
          <w:p>
            <w:pPr>
              <w:spacing w:after="0"/>
              <w:rPr>
                <w:sz w:val="18"/>
                <w:szCs w:val="18"/>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807,680</w:t>
            </w:r>
          </w:p>
        </w:tc>
        <w:tc>
          <w:tcPr>
            <w:tcW w:w="1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875,740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3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Net asset value per common share</w:t>
            </w:r>
          </w:p>
        </w:tc>
        <w:tc>
          <w:tcPr>
            <w:tcW w:w="5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17.57</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line="204"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320" w:top="451" w:right="5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1"/>
              <w:spacing w:after="0" w:line="13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81"/>
              <w:spacing w:after="0" w:line="138"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81"/>
              <w:spacing w:after="0" w:line="13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1"/>
              <w:spacing w:after="0" w:line="138"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Investment Income: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Control investments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Affiliate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Non-control/non-affiliate investments</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16,105</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17,559</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tcPr>
          <w:p>
            <w:pPr>
              <w:ind w:left="940"/>
              <w:spacing w:after="0"/>
              <w:rPr>
                <w:sz w:val="20"/>
                <w:szCs w:val="20"/>
                <w:color w:val="auto"/>
              </w:rPr>
            </w:pPr>
            <w:r>
              <w:rPr>
                <w:rFonts w:ascii="Arial" w:cs="Arial" w:eastAsia="Arial" w:hAnsi="Arial"/>
                <w:sz w:val="16"/>
                <w:szCs w:val="16"/>
                <w:color w:val="auto"/>
              </w:rPr>
              <w:t>Total interest income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17,791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36,929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36,306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Payment-in-kind interest income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Control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Affiliate investments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Non-control/non-affiliate investments</w:t>
            </w:r>
          </w:p>
        </w:tc>
        <w:tc>
          <w:tcPr>
            <w:tcW w:w="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payment-in-kind interest income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Dividend income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Control investments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Affiliate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Non-control/non-affiliate investments</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tcPr>
          <w:p>
            <w:pPr>
              <w:ind w:left="940"/>
              <w:spacing w:after="0"/>
              <w:rPr>
                <w:sz w:val="20"/>
                <w:szCs w:val="20"/>
                <w:color w:val="auto"/>
              </w:rPr>
            </w:pPr>
            <w:r>
              <w:rPr>
                <w:rFonts w:ascii="Arial" w:cs="Arial" w:eastAsia="Arial" w:hAnsi="Arial"/>
                <w:sz w:val="16"/>
                <w:szCs w:val="16"/>
                <w:color w:val="auto"/>
              </w:rPr>
              <w:t>Total dividend income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Fee income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Control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Affiliate investments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Non-control/non-affiliate investments</w:t>
            </w:r>
          </w:p>
        </w:tc>
        <w:tc>
          <w:tcPr>
            <w:tcW w:w="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fee income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Interest on idle funds</w:t>
            </w:r>
          </w:p>
        </w:tc>
        <w:tc>
          <w:tcPr>
            <w:tcW w:w="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21,826</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Expenses: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and financing expenses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Base management fee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Incentive fee—income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Incentive fee (reversal)—capital gains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3,883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(9,141)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Administrative service expenses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Professional fees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general and administrative expenses</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6"/>
                <w:szCs w:val="16"/>
                <w:color w:val="auto"/>
              </w:rPr>
              <w:t>Total expenses before base management and income incentive fee waivers</w:t>
            </w: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Base management and income incentive fee waivers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w:t>
            </w: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(423)</w:t>
            </w: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6"/>
                <w:szCs w:val="16"/>
                <w:color w:val="auto"/>
              </w:rPr>
              <w:t>Total expenses, net of base management and incentive fee waivers</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 before income taxes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6,507</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9,432</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Income tax provision (benefit)</w:t>
            </w:r>
          </w:p>
        </w:tc>
        <w:tc>
          <w:tcPr>
            <w:tcW w:w="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9,291</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Net realized and unrealized gains (losses) on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realized gains (losses):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Control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Affiliate investments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Non-control/non-affiliate investments</w:t>
            </w:r>
          </w:p>
        </w:tc>
        <w:tc>
          <w:tcPr>
            <w:tcW w:w="6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net realized gain (loss) on investments</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tcPr>
          <w:p>
            <w:pPr>
              <w:ind w:left="300"/>
              <w:spacing w:after="0"/>
              <w:rPr>
                <w:sz w:val="20"/>
                <w:szCs w:val="20"/>
                <w:color w:val="auto"/>
              </w:rPr>
            </w:pPr>
            <w:r>
              <w:rPr>
                <w:rFonts w:ascii="Arial" w:cs="Arial" w:eastAsia="Arial" w:hAnsi="Arial"/>
                <w:sz w:val="16"/>
                <w:szCs w:val="16"/>
                <w:color w:val="auto"/>
              </w:rPr>
              <w:t>Income tax (provision) benefit from realized gains on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change in unrealized appreciation (depreciation):</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Control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(6,877)</w:t>
            </w: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(5,985)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Affiliate investments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12,416</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(35,453)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ind w:left="620"/>
              <w:spacing w:after="0"/>
              <w:rPr>
                <w:sz w:val="20"/>
                <w:szCs w:val="20"/>
                <w:color w:val="auto"/>
              </w:rPr>
            </w:pPr>
            <w:r>
              <w:rPr>
                <w:rFonts w:ascii="Arial" w:cs="Arial" w:eastAsia="Arial" w:hAnsi="Arial"/>
                <w:sz w:val="16"/>
                <w:szCs w:val="16"/>
                <w:color w:val="auto"/>
              </w:rPr>
              <w:t>Non-control/non-affiliate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(5,237)</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(38,881)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net change in unrealized appreciation (depreciation) on investments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17,263</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(1,508)</w:t>
            </w: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(76,098)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gain (loss) on investments</w:t>
            </w: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(1,318)</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(45,581)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Realized losses on extinguishment of debt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increase (decrease) in net assets resulting from operations</w:t>
            </w: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0" w:type="dxa"/>
            <w:vAlign w:val="bottom"/>
            <w:gridSpan w:val="2"/>
            <w:vMerge w:val="continue"/>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25,886</w:t>
            </w:r>
          </w:p>
        </w:tc>
        <w:tc>
          <w:tcPr>
            <w:tcW w:w="2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7,973</w:t>
            </w:r>
          </w:p>
        </w:tc>
        <w:tc>
          <w:tcPr>
            <w:tcW w:w="2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37,424</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common share data:</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Arial" w:cs="Arial" w:eastAsia="Arial" w:hAnsi="Arial"/>
                <w:sz w:val="16"/>
                <w:szCs w:val="16"/>
                <w:color w:val="auto"/>
              </w:rPr>
              <w:t>Net investment income per share-basic and diluted</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0.26</w:t>
            </w:r>
          </w:p>
        </w:tc>
        <w:tc>
          <w:tcPr>
            <w:tcW w:w="2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0.38</w:t>
            </w:r>
          </w:p>
        </w:tc>
        <w:tc>
          <w:tcPr>
            <w:tcW w:w="2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w w:val="99"/>
              </w:rPr>
              <w:t>Net increase in net assets resulting from operations per share — basic and diluted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6"/>
                <w:szCs w:val="16"/>
                <w:color w:val="auto"/>
              </w:rPr>
              <w:t>Dividends declared per share</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00" w:type="dxa"/>
            <w:vAlign w:val="bottom"/>
            <w:gridSpan w:val="2"/>
            <w:vMerge w:val="continue"/>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0.39</w:t>
            </w:r>
          </w:p>
        </w:tc>
        <w:tc>
          <w:tcPr>
            <w:tcW w:w="2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0.30</w:t>
            </w:r>
          </w:p>
        </w:tc>
        <w:tc>
          <w:tcPr>
            <w:tcW w:w="2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0.77</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 — basic and diluted</w:t>
            </w:r>
          </w:p>
        </w:tc>
        <w:tc>
          <w:tcPr>
            <w:tcW w:w="6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24,437,400</w:t>
            </w: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24,437,400</w:t>
            </w: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24,437,400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24,447,517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000"/>
          </w:cols>
          <w:pgMar w:left="320" w:top="451" w:right="579" w:bottom="1440" w:gutter="0" w:footer="0" w:header="0"/>
        </w:sectPr>
      </w:pPr>
    </w:p>
    <w:p>
      <w:pPr>
        <w:spacing w:after="0" w:line="14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00"/>
          </w:cols>
          <w:pgMar w:left="320" w:top="451" w:right="579"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240"/>
              <w:spacing w:after="0" w:line="116"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jc w:val="center"/>
              <w:spacing w:after="0" w:line="116" w:lineRule="exact"/>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40"/>
              <w:spacing w:after="0" w:line="116" w:lineRule="exact"/>
              <w:rPr>
                <w:sz w:val="20"/>
                <w:szCs w:val="20"/>
                <w:color w:val="auto"/>
              </w:rPr>
            </w:pPr>
            <w:r>
              <w:rPr>
                <w:rFonts w:ascii="Arial" w:cs="Arial" w:eastAsia="Arial" w:hAnsi="Arial"/>
                <w:sz w:val="13"/>
                <w:szCs w:val="13"/>
                <w:b w:val="1"/>
                <w:bCs w:val="1"/>
                <w:color w:val="auto"/>
                <w:w w:val="98"/>
              </w:rPr>
              <w:t>paid-in</w:t>
            </w:r>
          </w:p>
        </w:tc>
        <w:tc>
          <w:tcPr>
            <w:tcW w:w="980" w:type="dxa"/>
            <w:vAlign w:val="bottom"/>
            <w:gridSpan w:val="4"/>
          </w:tcPr>
          <w:p>
            <w:pPr>
              <w:ind w:left="80"/>
              <w:spacing w:after="0" w:line="116" w:lineRule="exact"/>
              <w:rPr>
                <w:sz w:val="20"/>
                <w:szCs w:val="20"/>
                <w:color w:val="auto"/>
              </w:rPr>
            </w:pPr>
            <w:r>
              <w:rPr>
                <w:rFonts w:ascii="Arial" w:cs="Arial" w:eastAsia="Arial" w:hAnsi="Arial"/>
                <w:sz w:val="13"/>
                <w:szCs w:val="13"/>
                <w:b w:val="1"/>
                <w:bCs w:val="1"/>
                <w:color w:val="auto"/>
              </w:rPr>
              <w:t>distributable</w:t>
            </w: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6"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Balances at December 31, 2019</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24,463,119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$366,061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46,225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$412,310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(25,719)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30,327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(74,590)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(74,590)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Balances at March 31, 2020</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24,437,400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365,793</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9,717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375,534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investment income</w:t>
            </w:r>
          </w:p>
        </w:tc>
        <w:tc>
          <w:tcPr>
            <w:tcW w:w="98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320"/>
              <w:spacing w:after="0" w:line="204"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9,291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9,291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Balances at June 30, 2020</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24,437,400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365,793</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376,176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Balances at December 31, 2020</w:t>
            </w: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0"/>
              </w:rPr>
              <w:t>24,437,400</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363,751</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204"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46,985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410,760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tcPr>
          <w:p>
            <w:pPr>
              <w:spacing w:after="0"/>
              <w:rPr>
                <w:sz w:val="17"/>
                <w:szCs w:val="17"/>
                <w:color w:val="auto"/>
              </w:rPr>
            </w:pPr>
          </w:p>
        </w:tc>
        <w:tc>
          <w:tcPr>
            <w:tcW w:w="9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11,081</w:t>
            </w:r>
          </w:p>
        </w:tc>
        <w:tc>
          <w:tcPr>
            <w:tcW w:w="12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Dividends declared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(9,286)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24,437,400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363,751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413,012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tcPr>
          <w:p>
            <w:pPr>
              <w:spacing w:after="0"/>
              <w:rPr>
                <w:sz w:val="17"/>
                <w:szCs w:val="17"/>
                <w:color w:val="auto"/>
              </w:rPr>
            </w:pPr>
          </w:p>
        </w:tc>
        <w:tc>
          <w:tcPr>
            <w:tcW w:w="9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center"/>
              <w:ind w:right="320"/>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6,473</w:t>
            </w:r>
          </w:p>
        </w:tc>
        <w:tc>
          <w:tcPr>
            <w:tcW w:w="12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Dividends declared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(9,531)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(9,531)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24,437,400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363,751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429,367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amount is greater than zero but less than one</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1" w:right="5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w w:val="93"/>
              </w:rPr>
              <w:t>Six Months Ended June 30,</w:t>
            </w:r>
          </w:p>
        </w:tc>
      </w:tr>
      <w:tr>
        <w:trPr>
          <w:trHeight w:val="125"/>
        </w:trPr>
        <w:tc>
          <w:tcPr>
            <w:tcW w:w="20" w:type="dxa"/>
            <w:vAlign w:val="bottom"/>
          </w:tcPr>
          <w:p>
            <w:pPr>
              <w:spacing w:after="0"/>
              <w:rPr>
                <w:sz w:val="10"/>
                <w:szCs w:val="10"/>
                <w:color w:val="auto"/>
              </w:rPr>
            </w:pPr>
          </w:p>
        </w:tc>
        <w:tc>
          <w:tcPr>
            <w:tcW w:w="806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59"/>
              <w:spacing w:after="0" w:line="125"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59"/>
              <w:spacing w:after="0" w:line="125"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806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240"/>
              <w:spacing w:after="0" w:line="132" w:lineRule="exact"/>
              <w:rPr>
                <w:sz w:val="20"/>
                <w:szCs w:val="20"/>
                <w:color w:val="auto"/>
              </w:rPr>
            </w:pPr>
            <w:r>
              <w:rPr>
                <w:rFonts w:ascii="Arial" w:cs="Arial" w:eastAsia="Arial" w:hAnsi="Arial"/>
                <w:sz w:val="12"/>
                <w:szCs w:val="12"/>
                <w:color w:val="auto"/>
              </w:rPr>
              <w:t>Net increase (decrease) in net assets resulting from operations</w:t>
            </w:r>
          </w:p>
        </w:tc>
        <w:tc>
          <w:tcPr>
            <w:tcW w:w="960" w:type="dxa"/>
            <w:vAlign w:val="bottom"/>
            <w:gridSpan w:val="2"/>
          </w:tcPr>
          <w:p>
            <w:pPr>
              <w:jc w:val="right"/>
              <w:ind w:right="34"/>
              <w:spacing w:after="0" w:line="132"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37,424</w:t>
            </w:r>
          </w:p>
        </w:tc>
        <w:tc>
          <w:tcPr>
            <w:tcW w:w="200" w:type="dxa"/>
            <w:vAlign w:val="bottom"/>
          </w:tcPr>
          <w:p>
            <w:pPr>
              <w:spacing w:after="0"/>
              <w:rPr>
                <w:sz w:val="11"/>
                <w:szCs w:val="11"/>
                <w:color w:val="auto"/>
              </w:rPr>
            </w:pPr>
          </w:p>
        </w:tc>
        <w:tc>
          <w:tcPr>
            <w:tcW w:w="320" w:type="dxa"/>
            <w:vAlign w:val="bottom"/>
            <w:gridSpan w:val="2"/>
          </w:tcPr>
          <w:p>
            <w:pPr>
              <w:jc w:val="right"/>
              <w:ind w:right="29"/>
              <w:spacing w:after="0" w:line="132"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(18,998)</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Adjustments to reconcile net increase (decrease) in net assets resulting from operations to net cash provided by (used for) operating activities: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Net change in unrealized (appreciation) depreciation on investments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(16,684)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rPr>
              <w:t>76,098</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Net realized (gain) loss on investments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(5,366)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(31,582)</w:t>
            </w: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Interest and dividend income paid-in-kind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(2,177)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(2,262)</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Accretion of original issue discount</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(605)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(103)</w:t>
            </w: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Accretion of loan origination fees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(1,139)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(514)</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Purchase of investments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(167,349)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(85,097)</w:t>
            </w: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Proceeds from sales and repayments of investments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191,560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rPr>
              <w:t>76,315</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Proceeds from loan origination fees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1,171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1,444</w:t>
            </w: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Realized losses on extinguishment of debt</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2,180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rPr>
              <w:t>125</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Amortization of deferred financing costs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1,117</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1,098</w:t>
            </w: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Changes in operating assets and liabilities: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Interest receivable</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(219)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(1,877)</w:t>
            </w:r>
          </w:p>
        </w:tc>
      </w:tr>
      <w:tr>
        <w:trPr>
          <w:trHeight w:val="132"/>
        </w:trPr>
        <w:tc>
          <w:tcPr>
            <w:tcW w:w="20" w:type="dxa"/>
            <w:vAlign w:val="bottom"/>
          </w:tcPr>
          <w:p>
            <w:pPr>
              <w:spacing w:after="0"/>
              <w:rPr>
                <w:sz w:val="11"/>
                <w:szCs w:val="11"/>
                <w:color w:val="auto"/>
              </w:rPr>
            </w:pPr>
          </w:p>
        </w:tc>
        <w:tc>
          <w:tcPr>
            <w:tcW w:w="8060" w:type="dxa"/>
            <w:vAlign w:val="bottom"/>
          </w:tcPr>
          <w:p>
            <w:pPr>
              <w:ind w:left="720"/>
              <w:spacing w:after="0" w:line="132" w:lineRule="exact"/>
              <w:rPr>
                <w:sz w:val="20"/>
                <w:szCs w:val="20"/>
                <w:color w:val="auto"/>
              </w:rPr>
            </w:pPr>
            <w:r>
              <w:rPr>
                <w:rFonts w:ascii="Arial" w:cs="Arial" w:eastAsia="Arial" w:hAnsi="Arial"/>
                <w:sz w:val="12"/>
                <w:szCs w:val="12"/>
                <w:color w:val="auto"/>
              </w:rPr>
              <w:t>Prepaid expenses and other assets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(1,164)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(171)</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Accrued interest and fees payable</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1,976</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(94)</w:t>
            </w:r>
          </w:p>
        </w:tc>
      </w:tr>
      <w:tr>
        <w:trPr>
          <w:trHeight w:val="132"/>
        </w:trPr>
        <w:tc>
          <w:tcPr>
            <w:tcW w:w="20" w:type="dxa"/>
            <w:vAlign w:val="bottom"/>
          </w:tcPr>
          <w:p>
            <w:pPr>
              <w:spacing w:after="0"/>
              <w:rPr>
                <w:sz w:val="11"/>
                <w:szCs w:val="11"/>
                <w:color w:val="auto"/>
              </w:rPr>
            </w:pPr>
          </w:p>
        </w:tc>
        <w:tc>
          <w:tcPr>
            <w:tcW w:w="8060" w:type="dxa"/>
            <w:vAlign w:val="bottom"/>
          </w:tcPr>
          <w:p>
            <w:pPr>
              <w:ind w:left="720"/>
              <w:spacing w:after="0" w:line="132" w:lineRule="exact"/>
              <w:rPr>
                <w:sz w:val="20"/>
                <w:szCs w:val="20"/>
                <w:color w:val="auto"/>
              </w:rPr>
            </w:pPr>
            <w:r>
              <w:rPr>
                <w:rFonts w:ascii="Arial" w:cs="Arial" w:eastAsia="Arial" w:hAnsi="Arial"/>
                <w:sz w:val="12"/>
                <w:szCs w:val="12"/>
                <w:color w:val="auto"/>
              </w:rPr>
              <w:t>Base management fee payable, net of base management fee waiver – due to affiliate</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(58)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(141)</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Income incentive fee payable, net of income incentive fee waiver – due to affiliate</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(60)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193</w:t>
            </w: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720"/>
              <w:spacing w:after="0" w:line="132" w:lineRule="exact"/>
              <w:rPr>
                <w:sz w:val="20"/>
                <w:szCs w:val="20"/>
                <w:color w:val="auto"/>
              </w:rPr>
            </w:pPr>
            <w:r>
              <w:rPr>
                <w:rFonts w:ascii="Arial" w:cs="Arial" w:eastAsia="Arial" w:hAnsi="Arial"/>
                <w:sz w:val="12"/>
                <w:szCs w:val="12"/>
                <w:color w:val="auto"/>
              </w:rPr>
              <w:t>Capital gains incentive fee (reversal) – due to (from) affiliate</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3,974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(9,141)</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Administration fee payable and other – due to affiliate</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(393)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(72)</w:t>
            </w:r>
          </w:p>
        </w:tc>
      </w:tr>
      <w:tr>
        <w:trPr>
          <w:trHeight w:val="132"/>
        </w:trPr>
        <w:tc>
          <w:tcPr>
            <w:tcW w:w="20" w:type="dxa"/>
            <w:vAlign w:val="bottom"/>
          </w:tcPr>
          <w:p>
            <w:pPr>
              <w:spacing w:after="0"/>
              <w:rPr>
                <w:sz w:val="11"/>
                <w:szCs w:val="11"/>
                <w:color w:val="auto"/>
              </w:rPr>
            </w:pPr>
          </w:p>
        </w:tc>
        <w:tc>
          <w:tcPr>
            <w:tcW w:w="8060" w:type="dxa"/>
            <w:vAlign w:val="bottom"/>
          </w:tcPr>
          <w:p>
            <w:pPr>
              <w:ind w:left="720"/>
              <w:spacing w:after="0" w:line="132" w:lineRule="exact"/>
              <w:rPr>
                <w:sz w:val="20"/>
                <w:szCs w:val="20"/>
                <w:color w:val="auto"/>
              </w:rPr>
            </w:pPr>
            <w:r>
              <w:rPr>
                <w:rFonts w:ascii="Arial" w:cs="Arial" w:eastAsia="Arial" w:hAnsi="Arial"/>
                <w:sz w:val="12"/>
                <w:szCs w:val="12"/>
                <w:color w:val="auto"/>
              </w:rPr>
              <w:t>Taxes payable</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(700)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(424)</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Accounts payable and other liabilities</w:t>
            </w:r>
          </w:p>
        </w:tc>
        <w:tc>
          <w:tcPr>
            <w:tcW w:w="8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463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91</w:t>
            </w:r>
          </w:p>
        </w:tc>
        <w:tc>
          <w:tcPr>
            <w:tcW w:w="8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8060" w:type="dxa"/>
            <w:vAlign w:val="bottom"/>
          </w:tcPr>
          <w:p>
            <w:pPr>
              <w:ind w:left="980"/>
              <w:spacing w:after="0"/>
              <w:rPr>
                <w:sz w:val="20"/>
                <w:szCs w:val="20"/>
                <w:color w:val="auto"/>
              </w:rPr>
            </w:pPr>
            <w:r>
              <w:rPr>
                <w:rFonts w:ascii="Arial" w:cs="Arial" w:eastAsia="Arial" w:hAnsi="Arial"/>
                <w:sz w:val="12"/>
                <w:szCs w:val="12"/>
                <w:b w:val="1"/>
                <w:bCs w:val="1"/>
                <w:color w:val="auto"/>
              </w:rPr>
              <w:t>Net cash provided by (used for) operating activities</w:t>
            </w: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43,951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4,888</w:t>
            </w:r>
          </w:p>
        </w:tc>
        <w:tc>
          <w:tcPr>
            <w:tcW w:w="8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Proceeds received from SBA debentures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11,500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rPr>
              <w:t>6,000</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Repayments of SBA debentures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(19,200)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(7,000)</w:t>
            </w: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Principal payments on Notes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(100,000)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Proceeds received from (repayments of) borrowings under Credit Facility, net</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18,000</w:t>
            </w: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Proceeds from secured borrowings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13,500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Payment of deferred financing costs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(1,031)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(496)</w:t>
            </w: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Dividends paid to stockholders, including expenses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(18,817)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(16,868)</w:t>
            </w: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Repurchases of common stock under Stock Repurchase Program</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(268)</w:t>
            </w:r>
          </w:p>
        </w:tc>
      </w:tr>
      <w:tr>
        <w:trPr>
          <w:trHeight w:val="144"/>
        </w:trPr>
        <w:tc>
          <w:tcPr>
            <w:tcW w:w="20" w:type="dxa"/>
            <w:vAlign w:val="bottom"/>
          </w:tcPr>
          <w:p>
            <w:pPr>
              <w:spacing w:after="0"/>
              <w:rPr>
                <w:sz w:val="12"/>
                <w:szCs w:val="12"/>
                <w:color w:val="auto"/>
              </w:rPr>
            </w:pPr>
          </w:p>
        </w:tc>
        <w:tc>
          <w:tcPr>
            <w:tcW w:w="8060" w:type="dxa"/>
            <w:vAlign w:val="bottom"/>
          </w:tcPr>
          <w:p>
            <w:pPr>
              <w:ind w:left="980"/>
              <w:spacing w:after="0"/>
              <w:rPr>
                <w:sz w:val="20"/>
                <w:szCs w:val="20"/>
                <w:color w:val="auto"/>
              </w:rPr>
            </w:pPr>
            <w:r>
              <w:rPr>
                <w:rFonts w:ascii="Arial" w:cs="Arial" w:eastAsia="Arial" w:hAnsi="Arial"/>
                <w:sz w:val="12"/>
                <w:szCs w:val="12"/>
                <w:b w:val="1"/>
                <w:bCs w:val="1"/>
                <w:color w:val="auto"/>
              </w:rPr>
              <w:t>Net cash provided by (used for) financing activities</w:t>
            </w: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(114,048)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(632)</w:t>
            </w:r>
          </w:p>
        </w:tc>
        <w:tc>
          <w:tcPr>
            <w:tcW w:w="8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980"/>
              <w:spacing w:after="0" w:line="132" w:lineRule="exact"/>
              <w:rPr>
                <w:sz w:val="20"/>
                <w:szCs w:val="20"/>
                <w:color w:val="auto"/>
              </w:rPr>
            </w:pPr>
            <w:r>
              <w:rPr>
                <w:rFonts w:ascii="Arial" w:cs="Arial" w:eastAsia="Arial" w:hAnsi="Arial"/>
                <w:sz w:val="12"/>
                <w:szCs w:val="12"/>
                <w:b w:val="1"/>
                <w:bCs w:val="1"/>
                <w:color w:val="auto"/>
              </w:rPr>
              <w:t>Net increase (decrease) in cash and cash equivalents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(70,097)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4,256</w:t>
            </w:r>
          </w:p>
        </w:tc>
        <w:tc>
          <w:tcPr>
            <w:tcW w:w="8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line="132" w:lineRule="exact"/>
              <w:rPr>
                <w:sz w:val="20"/>
                <w:szCs w:val="20"/>
                <w:color w:val="auto"/>
              </w:rPr>
            </w:pPr>
            <w:r>
              <w:rPr>
                <w:rFonts w:ascii="Arial" w:cs="Arial" w:eastAsia="Arial" w:hAnsi="Arial"/>
                <w:sz w:val="12"/>
                <w:szCs w:val="12"/>
                <w:b w:val="1"/>
                <w:bCs w:val="1"/>
                <w:color w:val="auto"/>
              </w:rPr>
              <w:t>Cash and cash equivalents: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Beginning of period</w:t>
            </w:r>
          </w:p>
        </w:tc>
        <w:tc>
          <w:tcPr>
            <w:tcW w:w="8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124,308</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15,012</w:t>
            </w:r>
          </w:p>
        </w:tc>
        <w:tc>
          <w:tcPr>
            <w:tcW w:w="8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8060" w:type="dxa"/>
            <w:vAlign w:val="bottom"/>
          </w:tcPr>
          <w:p>
            <w:pPr>
              <w:ind w:left="480"/>
              <w:spacing w:after="0"/>
              <w:rPr>
                <w:sz w:val="20"/>
                <w:szCs w:val="20"/>
                <w:color w:val="auto"/>
              </w:rPr>
            </w:pPr>
            <w:r>
              <w:rPr>
                <w:rFonts w:ascii="Arial" w:cs="Arial" w:eastAsia="Arial" w:hAnsi="Arial"/>
                <w:sz w:val="12"/>
                <w:szCs w:val="12"/>
                <w:color w:val="auto"/>
              </w:rPr>
              <w:t>End of period</w:t>
            </w:r>
          </w:p>
        </w:tc>
        <w:tc>
          <w:tcPr>
            <w:tcW w:w="860" w:type="dxa"/>
            <w:vAlign w:val="bottom"/>
          </w:tcPr>
          <w:p>
            <w:pPr>
              <w:spacing w:after="0"/>
              <w:rPr>
                <w:sz w:val="12"/>
                <w:szCs w:val="12"/>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19,268</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6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Supplemental disclosure of cash flow information</w:t>
            </w:r>
            <w:r>
              <w:rPr>
                <w:rFonts w:ascii="Arial" w:cs="Arial" w:eastAsia="Arial" w:hAnsi="Arial"/>
                <w:sz w:val="12"/>
                <w:szCs w:val="12"/>
                <w:color w:val="auto"/>
              </w:rPr>
              <w:t>:</w:t>
            </w: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8060" w:type="dxa"/>
            <w:vAlign w:val="bottom"/>
          </w:tcPr>
          <w:p>
            <w:pPr>
              <w:ind w:left="480"/>
              <w:spacing w:after="0" w:line="132" w:lineRule="exact"/>
              <w:rPr>
                <w:sz w:val="20"/>
                <w:szCs w:val="20"/>
                <w:color w:val="auto"/>
              </w:rPr>
            </w:pPr>
            <w:r>
              <w:rPr>
                <w:rFonts w:ascii="Arial" w:cs="Arial" w:eastAsia="Arial" w:hAnsi="Arial"/>
                <w:sz w:val="12"/>
                <w:szCs w:val="12"/>
                <w:color w:val="auto"/>
              </w:rPr>
              <w:t>Cash payments for interest</w:t>
            </w:r>
          </w:p>
        </w:tc>
        <w:tc>
          <w:tcPr>
            <w:tcW w:w="960" w:type="dxa"/>
            <w:vAlign w:val="bottom"/>
            <w:gridSpan w:val="2"/>
          </w:tcPr>
          <w:p>
            <w:pPr>
              <w:jc w:val="right"/>
              <w:ind w:right="34"/>
              <w:spacing w:after="0" w:line="132"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6,663</w:t>
            </w:r>
          </w:p>
        </w:tc>
        <w:tc>
          <w:tcPr>
            <w:tcW w:w="200" w:type="dxa"/>
            <w:vAlign w:val="bottom"/>
          </w:tcPr>
          <w:p>
            <w:pPr>
              <w:spacing w:after="0"/>
              <w:rPr>
                <w:sz w:val="11"/>
                <w:szCs w:val="11"/>
                <w:color w:val="auto"/>
              </w:rPr>
            </w:pPr>
          </w:p>
        </w:tc>
        <w:tc>
          <w:tcPr>
            <w:tcW w:w="320" w:type="dxa"/>
            <w:vAlign w:val="bottom"/>
            <w:gridSpan w:val="2"/>
          </w:tcPr>
          <w:p>
            <w:pPr>
              <w:jc w:val="right"/>
              <w:ind w:right="29"/>
              <w:spacing w:after="0" w:line="132"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rPr>
              <w:t>8,819</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060" w:type="dxa"/>
            <w:vAlign w:val="bottom"/>
            <w:shd w:val="clear" w:color="auto" w:fill="CCEEFF"/>
          </w:tcPr>
          <w:p>
            <w:pPr>
              <w:ind w:left="480"/>
              <w:spacing w:after="0" w:line="132" w:lineRule="exact"/>
              <w:rPr>
                <w:sz w:val="20"/>
                <w:szCs w:val="20"/>
                <w:color w:val="auto"/>
              </w:rPr>
            </w:pPr>
            <w:r>
              <w:rPr>
                <w:rFonts w:ascii="Arial" w:cs="Arial" w:eastAsia="Arial" w:hAnsi="Arial"/>
                <w:sz w:val="12"/>
                <w:szCs w:val="12"/>
                <w:color w:val="auto"/>
              </w:rPr>
              <w:t>Cash payments for taxes, net of tax refunds received</w:t>
            </w:r>
          </w:p>
        </w:tc>
        <w:tc>
          <w:tcPr>
            <w:tcW w:w="960" w:type="dxa"/>
            <w:vAlign w:val="bottom"/>
            <w:gridSpan w:val="2"/>
            <w:shd w:val="clear" w:color="auto" w:fill="CCEEFF"/>
          </w:tcPr>
          <w:p>
            <w:pPr>
              <w:jc w:val="right"/>
              <w:ind w:right="34"/>
              <w:spacing w:after="0" w:line="132"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732</w:t>
            </w:r>
          </w:p>
        </w:tc>
        <w:tc>
          <w:tcPr>
            <w:tcW w:w="2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9"/>
              <w:spacing w:after="0" w:line="132"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1,633</w:t>
            </w:r>
          </w:p>
        </w:tc>
        <w:tc>
          <w:tcPr>
            <w:tcW w:w="80" w:type="dxa"/>
            <w:vAlign w:val="bottom"/>
            <w:shd w:val="clear" w:color="auto" w:fill="CCEEFF"/>
          </w:tcPr>
          <w:p>
            <w:pPr>
              <w:spacing w:after="0"/>
              <w:rPr>
                <w:sz w:val="11"/>
                <w:szCs w:val="11"/>
                <w:color w:val="auto"/>
              </w:rPr>
            </w:pPr>
          </w:p>
        </w:tc>
      </w:tr>
    </w:tbl>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320" w:top="451" w:right="5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Portfolio Company (a)(b)</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Variable Index</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Rate (e)</w:t>
            </w:r>
          </w:p>
        </w:tc>
        <w:tc>
          <w:tcPr>
            <w:tcW w:w="7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Investment</w:t>
            </w:r>
          </w:p>
        </w:tc>
        <w:tc>
          <w:tcPr>
            <w:tcW w:w="620" w:type="dxa"/>
            <w:vAlign w:val="bottom"/>
          </w:tcPr>
          <w:p>
            <w:pPr>
              <w:spacing w:after="0"/>
              <w:rPr>
                <w:sz w:val="12"/>
                <w:szCs w:val="12"/>
                <w:color w:val="auto"/>
              </w:rPr>
            </w:pPr>
          </w:p>
        </w:tc>
        <w:tc>
          <w:tcPr>
            <w:tcW w:w="680" w:type="dxa"/>
            <w:vAlign w:val="bottom"/>
            <w:gridSpan w:val="4"/>
          </w:tcPr>
          <w:p>
            <w:pPr>
              <w:ind w:left="100"/>
              <w:spacing w:after="0"/>
              <w:rPr>
                <w:sz w:val="20"/>
                <w:szCs w:val="20"/>
                <w:color w:val="auto"/>
              </w:rPr>
            </w:pPr>
            <w:r>
              <w:rPr>
                <w:rFonts w:ascii="Arial" w:cs="Arial" w:eastAsia="Arial" w:hAnsi="Arial"/>
                <w:sz w:val="12"/>
                <w:szCs w:val="12"/>
                <w:b w:val="1"/>
                <w:bCs w:val="1"/>
                <w:color w:val="auto"/>
              </w:rPr>
              <w:t>Principal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79"/>
              <w:spacing w:after="0"/>
              <w:rPr>
                <w:sz w:val="20"/>
                <w:szCs w:val="20"/>
                <w:color w:val="auto"/>
              </w:rPr>
            </w:pPr>
            <w:r>
              <w:rPr>
                <w:rFonts w:ascii="Arial" w:cs="Arial" w:eastAsia="Arial" w:hAnsi="Arial"/>
                <w:sz w:val="12"/>
                <w:szCs w:val="12"/>
                <w:b w:val="1"/>
                <w:bCs w:val="1"/>
                <w:color w:val="auto"/>
                <w:w w:val="99"/>
              </w:rPr>
              <w:t>Fair</w:t>
            </w: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Percent of</w:t>
            </w:r>
          </w:p>
        </w:tc>
      </w:tr>
      <w:tr>
        <w:trPr>
          <w:trHeight w:val="165"/>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Investment Type (c)</w:t>
            </w:r>
          </w:p>
        </w:tc>
        <w:tc>
          <w:tcPr>
            <w:tcW w:w="2020" w:type="dxa"/>
            <w:vAlign w:val="bottom"/>
            <w:gridSpan w:val="3"/>
          </w:tcPr>
          <w:p>
            <w:pPr>
              <w:ind w:left="20"/>
              <w:spacing w:after="0"/>
              <w:rPr>
                <w:sz w:val="20"/>
                <w:szCs w:val="20"/>
                <w:color w:val="auto"/>
              </w:rPr>
            </w:pPr>
            <w:r>
              <w:rPr>
                <w:rFonts w:ascii="Arial" w:cs="Arial" w:eastAsia="Arial" w:hAnsi="Arial"/>
                <w:sz w:val="12"/>
                <w:szCs w:val="12"/>
                <w:b w:val="1"/>
                <w:bCs w:val="1"/>
                <w:color w:val="auto"/>
              </w:rPr>
              <w:t>Industry</w:t>
            </w:r>
          </w:p>
        </w:tc>
        <w:tc>
          <w:tcPr>
            <w:tcW w:w="12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Spread / Floor (d)</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Cash/PIK</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Date (f)</w:t>
            </w:r>
          </w:p>
        </w:tc>
        <w:tc>
          <w:tcPr>
            <w:tcW w:w="620" w:type="dxa"/>
            <w:vAlign w:val="bottom"/>
          </w:tcPr>
          <w:p>
            <w:pPr>
              <w:jc w:val="right"/>
              <w:ind w:right="19"/>
              <w:spacing w:after="0"/>
              <w:rPr>
                <w:sz w:val="20"/>
                <w:szCs w:val="20"/>
                <w:color w:val="auto"/>
              </w:rPr>
            </w:pPr>
            <w:r>
              <w:rPr>
                <w:rFonts w:ascii="Arial" w:cs="Arial" w:eastAsia="Arial" w:hAnsi="Arial"/>
                <w:sz w:val="12"/>
                <w:szCs w:val="12"/>
                <w:b w:val="1"/>
                <w:bCs w:val="1"/>
                <w:color w:val="auto"/>
              </w:rPr>
              <w:t>Maturity</w:t>
            </w:r>
          </w:p>
        </w:tc>
        <w:tc>
          <w:tcPr>
            <w:tcW w:w="10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ind w:right="19"/>
              <w:spacing w:after="0"/>
              <w:rPr>
                <w:sz w:val="20"/>
                <w:szCs w:val="20"/>
                <w:color w:val="auto"/>
              </w:rPr>
            </w:pPr>
            <w:r>
              <w:rPr>
                <w:rFonts w:ascii="Arial" w:cs="Arial" w:eastAsia="Arial" w:hAnsi="Arial"/>
                <w:sz w:val="12"/>
                <w:szCs w:val="12"/>
                <w:b w:val="1"/>
                <w:bCs w:val="1"/>
                <w:color w:val="auto"/>
                <w:w w:val="89"/>
              </w:rPr>
              <w:t>Cost</w:t>
            </w:r>
          </w:p>
        </w:tc>
        <w:tc>
          <w:tcPr>
            <w:tcW w:w="580" w:type="dxa"/>
            <w:vAlign w:val="bottom"/>
            <w:gridSpan w:val="3"/>
          </w:tcPr>
          <w:p>
            <w:pPr>
              <w:ind w:left="100"/>
              <w:spacing w:after="0"/>
              <w:rPr>
                <w:sz w:val="20"/>
                <w:szCs w:val="20"/>
                <w:color w:val="auto"/>
              </w:rPr>
            </w:pPr>
            <w:r>
              <w:rPr>
                <w:rFonts w:ascii="Arial" w:cs="Arial" w:eastAsia="Arial" w:hAnsi="Arial"/>
                <w:sz w:val="12"/>
                <w:szCs w:val="12"/>
                <w:b w:val="1"/>
                <w:bCs w:val="1"/>
                <w:color w:val="auto"/>
                <w:w w:val="90"/>
              </w:rPr>
              <w:t>Value (g)</w:t>
            </w: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9"/>
              </w:rPr>
              <w:t>Net Assets</w:t>
            </w:r>
          </w:p>
        </w:tc>
      </w:tr>
      <w:tr>
        <w:trPr>
          <w:trHeight w:val="92"/>
        </w:trPr>
        <w:tc>
          <w:tcPr>
            <w:tcW w:w="20" w:type="dxa"/>
            <w:vAlign w:val="bottom"/>
            <w:tcBorders>
              <w:bottom w:val="single" w:sz="8" w:color="auto"/>
            </w:tcBorders>
          </w:tcPr>
          <w:p>
            <w:pPr>
              <w:spacing w:after="0"/>
              <w:rPr>
                <w:sz w:val="7"/>
                <w:szCs w:val="7"/>
                <w:color w:val="auto"/>
              </w:rPr>
            </w:pPr>
          </w:p>
        </w:tc>
        <w:tc>
          <w:tcPr>
            <w:tcW w:w="1220" w:type="dxa"/>
            <w:vAlign w:val="bottom"/>
            <w:tcBorders>
              <w:top w:val="single" w:sz="8" w:color="auto"/>
              <w:bottom w:val="single" w:sz="8" w:color="auto"/>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Control Investments (t)</w:t>
            </w:r>
          </w:p>
        </w:tc>
        <w:tc>
          <w:tcPr>
            <w:tcW w:w="120" w:type="dxa"/>
            <w:vAlign w:val="bottom"/>
            <w:tcBorders>
              <w:top w:val="single" w:sz="8" w:color="auto"/>
              <w:bottom w:val="single" w:sz="8" w:color="CCEEFF"/>
            </w:tcBorders>
            <w:gridSpan w:val="2"/>
            <w:shd w:val="clear" w:color="auto" w:fill="CCEEFF"/>
          </w:tcPr>
          <w:p>
            <w:pPr>
              <w:spacing w:after="0"/>
              <w:rPr>
                <w:sz w:val="7"/>
                <w:szCs w:val="7"/>
                <w:color w:val="auto"/>
              </w:rPr>
            </w:pPr>
          </w:p>
        </w:tc>
        <w:tc>
          <w:tcPr>
            <w:tcW w:w="152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88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160" w:type="dxa"/>
            <w:vAlign w:val="bottom"/>
            <w:tcBorders>
              <w:top w:val="single" w:sz="8" w:color="auto"/>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680" w:type="dxa"/>
            <w:vAlign w:val="bottom"/>
            <w:tcBorders>
              <w:top w:val="single" w:sz="8" w:color="auto"/>
              <w:bottom w:val="single" w:sz="8" w:color="CCEEFF"/>
            </w:tcBorders>
            <w:shd w:val="clear" w:color="auto" w:fill="CCEEFF"/>
          </w:tcPr>
          <w:p>
            <w:pPr>
              <w:spacing w:after="0"/>
              <w:rPr>
                <w:sz w:val="7"/>
                <w:szCs w:val="7"/>
                <w:color w:val="auto"/>
              </w:rPr>
            </w:pPr>
          </w:p>
        </w:tc>
        <w:tc>
          <w:tcPr>
            <w:tcW w:w="180" w:type="dxa"/>
            <w:vAlign w:val="bottom"/>
            <w:tcBorders>
              <w:top w:val="single" w:sz="8" w:color="CCEEFF"/>
              <w:bottom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CCEEFF"/>
            </w:tcBorders>
            <w:shd w:val="clear" w:color="auto" w:fill="CCEEFF"/>
          </w:tcPr>
          <w:p>
            <w:pPr>
              <w:spacing w:after="0"/>
              <w:rPr>
                <w:sz w:val="7"/>
                <w:szCs w:val="7"/>
                <w:color w:val="auto"/>
              </w:rPr>
            </w:pPr>
          </w:p>
        </w:tc>
        <w:tc>
          <w:tcPr>
            <w:tcW w:w="38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CCEEFF"/>
            </w:tcBorders>
            <w:shd w:val="clear" w:color="auto" w:fill="CCEEFF"/>
          </w:tcPr>
          <w:p>
            <w:pPr>
              <w:spacing w:after="0"/>
              <w:rPr>
                <w:sz w:val="7"/>
                <w:szCs w:val="7"/>
                <w:color w:val="auto"/>
              </w:rPr>
            </w:pPr>
          </w:p>
        </w:tc>
        <w:tc>
          <w:tcPr>
            <w:tcW w:w="34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CCEEFF"/>
            </w:tcBorders>
            <w:shd w:val="clear" w:color="auto" w:fill="CCEEFF"/>
          </w:tcPr>
          <w:p>
            <w:pPr>
              <w:spacing w:after="0"/>
              <w:rPr>
                <w:sz w:val="7"/>
                <w:szCs w:val="7"/>
                <w:color w:val="auto"/>
              </w:rPr>
            </w:pPr>
          </w:p>
        </w:tc>
        <w:tc>
          <w:tcPr>
            <w:tcW w:w="38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CCEEFF"/>
            </w:tcBorders>
            <w:shd w:val="clear" w:color="auto" w:fill="CCEEFF"/>
          </w:tcPr>
          <w:p>
            <w:pPr>
              <w:spacing w:after="0"/>
              <w:rPr>
                <w:sz w:val="7"/>
                <w:szCs w:val="7"/>
                <w:color w:val="auto"/>
              </w:rPr>
            </w:pPr>
          </w:p>
        </w:tc>
        <w:tc>
          <w:tcPr>
            <w:tcW w:w="160" w:type="dxa"/>
            <w:vAlign w:val="bottom"/>
            <w:tcBorders>
              <w:top w:val="single" w:sz="8" w:color="CCEEFF"/>
              <w:bottom w:val="single" w:sz="8" w:color="CCEEFF"/>
            </w:tcBorders>
            <w:shd w:val="clear" w:color="auto" w:fill="CCEEFF"/>
          </w:tcPr>
          <w:p>
            <w:pPr>
              <w:spacing w:after="0"/>
              <w:rPr>
                <w:sz w:val="7"/>
                <w:szCs w:val="7"/>
                <w:color w:val="auto"/>
              </w:rPr>
            </w:pPr>
          </w:p>
        </w:tc>
      </w:tr>
      <w:tr>
        <w:trPr>
          <w:trHeight w:val="125"/>
        </w:trPr>
        <w:tc>
          <w:tcPr>
            <w:tcW w:w="20" w:type="dxa"/>
            <w:vAlign w:val="bottom"/>
          </w:tcPr>
          <w:p>
            <w:pPr>
              <w:spacing w:after="0"/>
              <w:rPr>
                <w:sz w:val="10"/>
                <w:szCs w:val="10"/>
                <w:color w:val="auto"/>
              </w:rPr>
            </w:pPr>
          </w:p>
        </w:tc>
        <w:tc>
          <w:tcPr>
            <w:tcW w:w="2860" w:type="dxa"/>
            <w:vAlign w:val="bottom"/>
            <w:gridSpan w:val="4"/>
          </w:tcPr>
          <w:p>
            <w:pPr>
              <w:spacing w:after="0" w:line="125" w:lineRule="exact"/>
              <w:rPr>
                <w:sz w:val="20"/>
                <w:szCs w:val="20"/>
                <w:color w:val="auto"/>
              </w:rPr>
            </w:pPr>
            <w:r>
              <w:rPr>
                <w:rFonts w:ascii="Arial" w:cs="Arial" w:eastAsia="Arial" w:hAnsi="Arial"/>
                <w:sz w:val="12"/>
                <w:szCs w:val="12"/>
                <w:i w:val="1"/>
                <w:iCs w:val="1"/>
                <w:color w:val="auto"/>
                <w:w w:val="99"/>
              </w:rPr>
              <w:t>Hilco Plastics Holdings, LLC (dba Hilco Technologies)</w:t>
            </w:r>
          </w:p>
        </w:tc>
        <w:tc>
          <w:tcPr>
            <w:tcW w:w="40" w:type="dxa"/>
            <w:vAlign w:val="bottom"/>
          </w:tcPr>
          <w:p>
            <w:pPr>
              <w:spacing w:after="0"/>
              <w:rPr>
                <w:sz w:val="10"/>
                <w:szCs w:val="10"/>
                <w:color w:val="auto"/>
              </w:rPr>
            </w:pPr>
          </w:p>
        </w:tc>
        <w:tc>
          <w:tcPr>
            <w:tcW w:w="19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Component Manufacturing</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Revolving Loan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(L + 9.50%) / (0.50%)</w:t>
            </w:r>
          </w:p>
        </w:tc>
        <w:tc>
          <w:tcPr>
            <w:tcW w:w="8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w w:val="94"/>
              </w:rPr>
              <w:t>10.00%/0.00%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12/20/2019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6/30/2022</w:t>
            </w:r>
          </w:p>
        </w:tc>
        <w:tc>
          <w:tcPr>
            <w:tcW w:w="2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5,962</w:t>
            </w: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5,962</w:t>
            </w:r>
          </w:p>
        </w:tc>
        <w:tc>
          <w:tcPr>
            <w:tcW w:w="2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5,962</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First Lien Debt (j)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(L + 9.50%) / (0.50%)</w:t>
            </w:r>
          </w:p>
        </w:tc>
        <w:tc>
          <w:tcPr>
            <w:tcW w:w="86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w w:val="94"/>
              </w:rPr>
              <w:t>10.00%/0.00%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12/20/2019</w:t>
            </w:r>
          </w:p>
        </w:tc>
        <w:tc>
          <w:tcPr>
            <w:tcW w:w="10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6/30/2022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4,324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4,324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4,324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(1,000,000 units) (h)(j)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4/18/2018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(72,507 units) (h)(j)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9/23/2016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473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(Units N/A)</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4/6/2021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10,450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10,428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22,209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20,714</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5%</w:t>
            </w: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Mesa Line Services, LLC</w:t>
            </w:r>
          </w:p>
        </w:tc>
        <w:tc>
          <w:tcPr>
            <w:tcW w:w="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Utilities: Services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5.00%/7.00%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11/30/2017</w:t>
            </w:r>
          </w:p>
        </w:tc>
        <w:tc>
          <w:tcPr>
            <w:tcW w:w="10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2/1/2024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20,804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w w:val="87"/>
              </w:rPr>
              <w:t>20,745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16,298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(981 shares)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11/30/2017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(10 shares) (j)</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4/22/2021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21,893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16,298</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4%</w:t>
            </w:r>
          </w:p>
        </w:tc>
      </w:tr>
      <w:tr>
        <w:trPr>
          <w:trHeight w:val="132"/>
        </w:trPr>
        <w:tc>
          <w:tcPr>
            <w:tcW w:w="20" w:type="dxa"/>
            <w:vAlign w:val="bottom"/>
          </w:tcPr>
          <w:p>
            <w:pPr>
              <w:spacing w:after="0"/>
              <w:rPr>
                <w:sz w:val="11"/>
                <w:szCs w:val="11"/>
                <w:color w:val="auto"/>
              </w:rPr>
            </w:pPr>
          </w:p>
        </w:tc>
        <w:tc>
          <w:tcPr>
            <w:tcW w:w="2860" w:type="dxa"/>
            <w:vAlign w:val="bottom"/>
            <w:gridSpan w:val="4"/>
          </w:tcPr>
          <w:p>
            <w:pPr>
              <w:spacing w:after="0" w:line="132" w:lineRule="exact"/>
              <w:rPr>
                <w:sz w:val="20"/>
                <w:szCs w:val="20"/>
                <w:color w:val="auto"/>
              </w:rPr>
            </w:pPr>
            <w:r>
              <w:rPr>
                <w:rFonts w:ascii="Arial" w:cs="Arial" w:eastAsia="Arial" w:hAnsi="Arial"/>
                <w:sz w:val="12"/>
                <w:szCs w:val="12"/>
                <w:i w:val="1"/>
                <w:iCs w:val="1"/>
                <w:color w:val="auto"/>
              </w:rPr>
              <w:t>US GreenFiber, LLC</w:t>
            </w:r>
          </w:p>
        </w:tc>
        <w:tc>
          <w:tcPr>
            <w:tcW w:w="40" w:type="dxa"/>
            <w:vAlign w:val="bottom"/>
          </w:tcPr>
          <w:p>
            <w:pPr>
              <w:spacing w:after="0"/>
              <w:rPr>
                <w:sz w:val="11"/>
                <w:szCs w:val="11"/>
                <w:color w:val="auto"/>
              </w:rPr>
            </w:pPr>
          </w:p>
        </w:tc>
        <w:tc>
          <w:tcPr>
            <w:tcW w:w="198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Building Products Manufacturing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8.00%/5.00%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7/3/2014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8/30/2024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15,784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15,780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13,557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8.50%/6.50%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11/9/2018</w:t>
            </w:r>
          </w:p>
        </w:tc>
        <w:tc>
          <w:tcPr>
            <w:tcW w:w="10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8/30/2024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5,203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5,203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5,328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8.50%/6.50%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8/10/2020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8/30/2024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5,174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5,174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5,271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(2,522 units) (h)(j)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7/3/2014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586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(425,508 units)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8/30/2019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(1,022,813 units) (h)(j)</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7/1/2020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1,023</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27,767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24,156</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w:t>
            </w:r>
          </w:p>
        </w:tc>
      </w:tr>
      <w:tr>
        <w:trPr>
          <w:trHeight w:val="138"/>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Total Control Investments</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71,869</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61,168</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14%</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2"/>
              </w:rPr>
              <w:t>Affiliate Investments (l)</w:t>
            </w:r>
          </w:p>
        </w:tc>
        <w:tc>
          <w:tcPr>
            <w:tcW w:w="1620" w:type="dxa"/>
            <w:vAlign w:val="bottom"/>
            <w:tcBorders>
              <w:bottom w:val="single" w:sz="8" w:color="CCEEFF"/>
            </w:tcBorders>
            <w:gridSpan w:val="2"/>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r>
      <w:tr>
        <w:trPr>
          <w:trHeight w:val="125"/>
        </w:trPr>
        <w:tc>
          <w:tcPr>
            <w:tcW w:w="20" w:type="dxa"/>
            <w:vAlign w:val="bottom"/>
          </w:tcPr>
          <w:p>
            <w:pPr>
              <w:spacing w:after="0"/>
              <w:rPr>
                <w:sz w:val="10"/>
                <w:szCs w:val="10"/>
                <w:color w:val="auto"/>
              </w:rPr>
            </w:pPr>
          </w:p>
        </w:tc>
        <w:tc>
          <w:tcPr>
            <w:tcW w:w="2860" w:type="dxa"/>
            <w:vAlign w:val="bottom"/>
            <w:gridSpan w:val="4"/>
          </w:tcPr>
          <w:p>
            <w:pPr>
              <w:spacing w:after="0" w:line="125" w:lineRule="exact"/>
              <w:rPr>
                <w:sz w:val="20"/>
                <w:szCs w:val="20"/>
                <w:color w:val="auto"/>
              </w:rPr>
            </w:pPr>
            <w:r>
              <w:rPr>
                <w:rFonts w:ascii="Arial" w:cs="Arial" w:eastAsia="Arial" w:hAnsi="Arial"/>
                <w:sz w:val="12"/>
                <w:szCs w:val="12"/>
                <w:i w:val="1"/>
                <w:iCs w:val="1"/>
                <w:color w:val="auto"/>
              </w:rPr>
              <w:t>FAR Research Inc. (n)</w:t>
            </w:r>
          </w:p>
        </w:tc>
        <w:tc>
          <w:tcPr>
            <w:tcW w:w="40" w:type="dxa"/>
            <w:vAlign w:val="bottom"/>
          </w:tcPr>
          <w:p>
            <w:pPr>
              <w:spacing w:after="0"/>
              <w:rPr>
                <w:sz w:val="10"/>
                <w:szCs w:val="10"/>
                <w:color w:val="auto"/>
              </w:rPr>
            </w:pPr>
          </w:p>
        </w:tc>
        <w:tc>
          <w:tcPr>
            <w:tcW w:w="19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Specialty Chemicals</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(1,396 units)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3/31/2014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28</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w:t>
            </w:r>
          </w:p>
        </w:tc>
      </w:tr>
      <w:tr>
        <w:trPr>
          <w:trHeight w:val="237"/>
        </w:trPr>
        <w:tc>
          <w:tcPr>
            <w:tcW w:w="2880" w:type="dxa"/>
            <w:vAlign w:val="bottom"/>
            <w:gridSpan w:val="5"/>
          </w:tcPr>
          <w:p>
            <w:pPr>
              <w:spacing w:after="0"/>
              <w:rPr>
                <w:sz w:val="20"/>
                <w:szCs w:val="20"/>
                <w:color w:val="auto"/>
              </w:rPr>
            </w:pPr>
            <w:r>
              <w:rPr>
                <w:rFonts w:ascii="Arial" w:cs="Arial" w:eastAsia="Arial" w:hAnsi="Arial"/>
                <w:sz w:val="12"/>
                <w:szCs w:val="12"/>
                <w:i w:val="1"/>
                <w:iCs w:val="1"/>
                <w:color w:val="auto"/>
              </w:rPr>
              <w:t>Fiber Materials, Inc. (n)</w:t>
            </w:r>
          </w:p>
        </w:tc>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2"/>
                <w:szCs w:val="12"/>
                <w:color w:val="auto"/>
                <w:w w:val="98"/>
              </w:rPr>
              <w:t>Aerospace &amp; Defense Manufacturing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 units)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11/30/2016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42</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w:t>
            </w:r>
          </w:p>
        </w:tc>
      </w:tr>
      <w:tr>
        <w:trPr>
          <w:trHeight w:val="237"/>
        </w:trPr>
        <w:tc>
          <w:tcPr>
            <w:tcW w:w="2880" w:type="dxa"/>
            <w:vAlign w:val="bottom"/>
            <w:gridSpan w:val="5"/>
          </w:tcPr>
          <w:p>
            <w:pPr>
              <w:spacing w:after="0"/>
              <w:rPr>
                <w:sz w:val="20"/>
                <w:szCs w:val="20"/>
                <w:color w:val="auto"/>
              </w:rPr>
            </w:pPr>
            <w:r>
              <w:rPr>
                <w:rFonts w:ascii="Arial" w:cs="Arial" w:eastAsia="Arial" w:hAnsi="Arial"/>
                <w:sz w:val="12"/>
                <w:szCs w:val="12"/>
                <w:i w:val="1"/>
                <w:iCs w:val="1"/>
                <w:color w:val="auto"/>
              </w:rPr>
              <w:t>Medsurant Holdings, LLC</w:t>
            </w:r>
          </w:p>
        </w:tc>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Healthcare Services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(63,331 units) (h)(j)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4/12/2011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864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Warrant (252,588 units) (h)(j)(m)</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4/12/2011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2,258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3,140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2,931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4,004</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w:t>
            </w:r>
          </w:p>
        </w:tc>
      </w:tr>
      <w:tr>
        <w:trPr>
          <w:trHeight w:val="132"/>
        </w:trPr>
        <w:tc>
          <w:tcPr>
            <w:tcW w:w="20" w:type="dxa"/>
            <w:vAlign w:val="bottom"/>
          </w:tcPr>
          <w:p>
            <w:pPr>
              <w:spacing w:after="0"/>
              <w:rPr>
                <w:sz w:val="11"/>
                <w:szCs w:val="11"/>
                <w:color w:val="auto"/>
              </w:rPr>
            </w:pPr>
          </w:p>
        </w:tc>
        <w:tc>
          <w:tcPr>
            <w:tcW w:w="2860" w:type="dxa"/>
            <w:vAlign w:val="bottom"/>
            <w:gridSpan w:val="4"/>
          </w:tcPr>
          <w:p>
            <w:pPr>
              <w:spacing w:after="0" w:line="132" w:lineRule="exact"/>
              <w:rPr>
                <w:sz w:val="20"/>
                <w:szCs w:val="20"/>
                <w:color w:val="auto"/>
              </w:rPr>
            </w:pPr>
            <w:r>
              <w:rPr>
                <w:rFonts w:ascii="Arial" w:cs="Arial" w:eastAsia="Arial" w:hAnsi="Arial"/>
                <w:sz w:val="12"/>
                <w:szCs w:val="12"/>
                <w:i w:val="1"/>
                <w:iCs w:val="1"/>
                <w:color w:val="auto"/>
              </w:rPr>
              <w:t>Mirage Trailers LLC</w:t>
            </w:r>
          </w:p>
        </w:tc>
        <w:tc>
          <w:tcPr>
            <w:tcW w:w="40" w:type="dxa"/>
            <w:vAlign w:val="bottom"/>
          </w:tcPr>
          <w:p>
            <w:pPr>
              <w:spacing w:after="0"/>
              <w:rPr>
                <w:sz w:val="11"/>
                <w:szCs w:val="11"/>
                <w:color w:val="auto"/>
              </w:rPr>
            </w:pPr>
          </w:p>
        </w:tc>
        <w:tc>
          <w:tcPr>
            <w:tcW w:w="198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Utility Equipment Manufacturing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(L + 10.00%) / (1.00%)</w:t>
            </w:r>
          </w:p>
        </w:tc>
        <w:tc>
          <w:tcPr>
            <w:tcW w:w="8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w w:val="94"/>
              </w:rPr>
              <w:t>11.00%/5.00%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11/25/2015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11/25/2021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6,532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6,615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6,532</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(2,500,000 shares)</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11/25/2015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2,188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3,540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8,803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10,072</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2%</w:t>
            </w:r>
          </w:p>
        </w:tc>
      </w:tr>
      <w:tr>
        <w:trPr>
          <w:trHeight w:val="132"/>
        </w:trPr>
        <w:tc>
          <w:tcPr>
            <w:tcW w:w="20" w:type="dxa"/>
            <w:vAlign w:val="bottom"/>
          </w:tcPr>
          <w:p>
            <w:pPr>
              <w:spacing w:after="0"/>
              <w:rPr>
                <w:sz w:val="11"/>
                <w:szCs w:val="11"/>
                <w:color w:val="auto"/>
              </w:rPr>
            </w:pPr>
          </w:p>
        </w:tc>
        <w:tc>
          <w:tcPr>
            <w:tcW w:w="2860" w:type="dxa"/>
            <w:vAlign w:val="bottom"/>
            <w:gridSpan w:val="4"/>
          </w:tcPr>
          <w:p>
            <w:pPr>
              <w:spacing w:after="0" w:line="132" w:lineRule="exact"/>
              <w:rPr>
                <w:sz w:val="20"/>
                <w:szCs w:val="20"/>
                <w:color w:val="auto"/>
              </w:rPr>
            </w:pPr>
            <w:r>
              <w:rPr>
                <w:rFonts w:ascii="Arial" w:cs="Arial" w:eastAsia="Arial" w:hAnsi="Arial"/>
                <w:sz w:val="12"/>
                <w:szCs w:val="12"/>
                <w:i w:val="1"/>
                <w:iCs w:val="1"/>
                <w:color w:val="auto"/>
              </w:rPr>
              <w:t>Pfanstiehl, Inc.</w:t>
            </w:r>
          </w:p>
        </w:tc>
        <w:tc>
          <w:tcPr>
            <w:tcW w:w="40" w:type="dxa"/>
            <w:vAlign w:val="bottom"/>
          </w:tcPr>
          <w:p>
            <w:pPr>
              <w:spacing w:after="0"/>
              <w:rPr>
                <w:sz w:val="11"/>
                <w:szCs w:val="11"/>
                <w:color w:val="auto"/>
              </w:rPr>
            </w:pPr>
          </w:p>
        </w:tc>
        <w:tc>
          <w:tcPr>
            <w:tcW w:w="198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Healthcare Products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(4,250 units)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3/29/2013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43,181</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10%</w:t>
            </w:r>
          </w:p>
        </w:tc>
      </w:tr>
      <w:tr>
        <w:trPr>
          <w:trHeight w:val="237"/>
        </w:trPr>
        <w:tc>
          <w:tcPr>
            <w:tcW w:w="2880" w:type="dxa"/>
            <w:vAlign w:val="bottom"/>
            <w:gridSpan w:val="5"/>
          </w:tcPr>
          <w:p>
            <w:pPr>
              <w:spacing w:after="0"/>
              <w:rPr>
                <w:sz w:val="20"/>
                <w:szCs w:val="20"/>
                <w:color w:val="auto"/>
              </w:rPr>
            </w:pPr>
            <w:r>
              <w:rPr>
                <w:rFonts w:ascii="Arial" w:cs="Arial" w:eastAsia="Arial" w:hAnsi="Arial"/>
                <w:sz w:val="12"/>
                <w:szCs w:val="12"/>
                <w:i w:val="1"/>
                <w:iCs w:val="1"/>
                <w:color w:val="auto"/>
              </w:rPr>
              <w:t>Pinnergy, Ltd.</w:t>
            </w:r>
          </w:p>
        </w:tc>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Oil &amp; Gas Services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Equity—Class A-2 (42,500 units)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10/13/2016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20,797</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w:t>
            </w:r>
          </w:p>
        </w:tc>
      </w:tr>
      <w:tr>
        <w:trPr>
          <w:trHeight w:val="237"/>
        </w:trPr>
        <w:tc>
          <w:tcPr>
            <w:tcW w:w="2880" w:type="dxa"/>
            <w:vAlign w:val="bottom"/>
            <w:gridSpan w:val="5"/>
          </w:tcPr>
          <w:p>
            <w:pPr>
              <w:spacing w:after="0"/>
              <w:rPr>
                <w:sz w:val="20"/>
                <w:szCs w:val="20"/>
                <w:color w:val="auto"/>
              </w:rPr>
            </w:pPr>
            <w:r>
              <w:rPr>
                <w:rFonts w:ascii="Arial" w:cs="Arial" w:eastAsia="Arial" w:hAnsi="Arial"/>
                <w:sz w:val="12"/>
                <w:szCs w:val="12"/>
                <w:i w:val="1"/>
                <w:iCs w:val="1"/>
                <w:color w:val="auto"/>
                <w:w w:val="97"/>
              </w:rPr>
              <w:t>Spectra A&amp;D Acquisition, Inc. (fka FDS Avionics Corp.)</w:t>
            </w:r>
          </w:p>
        </w:tc>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2"/>
                <w:szCs w:val="12"/>
                <w:color w:val="auto"/>
                <w:w w:val="98"/>
              </w:rPr>
              <w:t>Aerospace &amp; Defense Manufacturing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(ag)</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(L + 5.50%) / (1.00%)</w:t>
            </w:r>
          </w:p>
        </w:tc>
        <w:tc>
          <w:tcPr>
            <w:tcW w:w="8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6.50%/0.00%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2/12/2021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2/11/2026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8,000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7,946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7,946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(41,290 units) (j)</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2/12/2021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2,608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4,272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10,554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12,218</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3%</w:t>
            </w:r>
          </w:p>
        </w:tc>
      </w:tr>
      <w:tr>
        <w:trPr>
          <w:trHeight w:val="132"/>
        </w:trPr>
        <w:tc>
          <w:tcPr>
            <w:tcW w:w="20" w:type="dxa"/>
            <w:vAlign w:val="bottom"/>
          </w:tcPr>
          <w:p>
            <w:pPr>
              <w:spacing w:after="0"/>
              <w:rPr>
                <w:sz w:val="11"/>
                <w:szCs w:val="11"/>
                <w:color w:val="auto"/>
              </w:rPr>
            </w:pPr>
          </w:p>
        </w:tc>
        <w:tc>
          <w:tcPr>
            <w:tcW w:w="2860" w:type="dxa"/>
            <w:vAlign w:val="bottom"/>
            <w:gridSpan w:val="4"/>
          </w:tcPr>
          <w:p>
            <w:pPr>
              <w:spacing w:after="0" w:line="132" w:lineRule="exact"/>
              <w:rPr>
                <w:sz w:val="20"/>
                <w:szCs w:val="20"/>
                <w:color w:val="auto"/>
              </w:rPr>
            </w:pPr>
            <w:r>
              <w:rPr>
                <w:rFonts w:ascii="Arial" w:cs="Arial" w:eastAsia="Arial" w:hAnsi="Arial"/>
                <w:sz w:val="12"/>
                <w:szCs w:val="12"/>
                <w:i w:val="1"/>
                <w:iCs w:val="1"/>
                <w:color w:val="auto"/>
                <w:w w:val="94"/>
              </w:rPr>
              <w:t>Steward Holding LLC (dba Steward Advanced Materials)</w:t>
            </w:r>
          </w:p>
        </w:tc>
        <w:tc>
          <w:tcPr>
            <w:tcW w:w="40" w:type="dxa"/>
            <w:vAlign w:val="bottom"/>
          </w:tcPr>
          <w:p>
            <w:pPr>
              <w:spacing w:after="0"/>
              <w:rPr>
                <w:sz w:val="11"/>
                <w:szCs w:val="11"/>
                <w:color w:val="auto"/>
              </w:rPr>
            </w:pPr>
          </w:p>
        </w:tc>
        <w:tc>
          <w:tcPr>
            <w:tcW w:w="1980" w:type="dxa"/>
            <w:vAlign w:val="bottom"/>
            <w:gridSpan w:val="2"/>
          </w:tcPr>
          <w:p>
            <w:pPr>
              <w:ind w:left="20"/>
              <w:spacing w:after="0" w:line="132" w:lineRule="exact"/>
              <w:rPr>
                <w:sz w:val="20"/>
                <w:szCs w:val="20"/>
                <w:color w:val="auto"/>
              </w:rPr>
            </w:pPr>
            <w:r>
              <w:rPr>
                <w:rFonts w:ascii="Arial" w:cs="Arial" w:eastAsia="Arial" w:hAnsi="Arial"/>
                <w:sz w:val="12"/>
                <w:szCs w:val="12"/>
                <w:color w:val="auto"/>
                <w:w w:val="98"/>
              </w:rPr>
              <w:t>Aerospace &amp; Defense Manufacturing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(1,000,000 units)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11/12/2015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2,297</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w:t>
            </w:r>
          </w:p>
        </w:tc>
      </w:tr>
      <w:tr>
        <w:trPr>
          <w:trHeight w:val="138"/>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Total Affiliate Investments</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26,713</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92,639</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22%</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1" w:right="4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2021</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41" w:lineRule="exact"/>
        <w:rPr>
          <w:sz w:val="20"/>
          <w:szCs w:val="20"/>
          <w:color w:val="auto"/>
        </w:rPr>
      </w:pPr>
    </w:p>
    <w:tbl>
      <w:tblPr>
        <w:tblLayout w:type="fixed"/>
        <w:tblInd w:w="240" w:type="dxa"/>
        <w:tblCellMar>
          <w:top w:w="0" w:type="dxa"/>
          <w:left w:w="0" w:type="dxa"/>
          <w:bottom w:w="0" w:type="dxa"/>
          <w:right w:w="0" w:type="dxa"/>
        </w:tblCellMar>
      </w:tblPr>
      <w:tr>
        <w:trPr>
          <w:trHeight w:val="132"/>
        </w:trPr>
        <w:tc>
          <w:tcPr>
            <w:tcW w:w="3320" w:type="dxa"/>
            <w:vAlign w:val="bottom"/>
            <w:gridSpan w:val="4"/>
          </w:tcPr>
          <w:p>
            <w:pPr>
              <w:spacing w:after="0"/>
              <w:rPr>
                <w:sz w:val="20"/>
                <w:szCs w:val="20"/>
                <w:color w:val="auto"/>
              </w:rPr>
            </w:pPr>
            <w:r>
              <w:rPr>
                <w:rFonts w:ascii="Arial" w:cs="Arial" w:eastAsia="Arial" w:hAnsi="Arial"/>
                <w:sz w:val="11"/>
                <w:szCs w:val="11"/>
                <w:b w:val="1"/>
                <w:bCs w:val="1"/>
                <w:color w:val="auto"/>
              </w:rPr>
              <w:t>Portfolio Company (a)(b)</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Variable Index</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Rate (e)</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Investment</w:t>
            </w:r>
          </w:p>
        </w:tc>
        <w:tc>
          <w:tcPr>
            <w:tcW w:w="58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rPr>
              <w:t>Principal</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3"/>
              <w:spacing w:after="0"/>
              <w:rPr>
                <w:sz w:val="20"/>
                <w:szCs w:val="20"/>
                <w:color w:val="auto"/>
              </w:rPr>
            </w:pPr>
            <w:r>
              <w:rPr>
                <w:rFonts w:ascii="Arial" w:cs="Arial" w:eastAsia="Arial" w:hAnsi="Arial"/>
                <w:sz w:val="11"/>
                <w:szCs w:val="11"/>
                <w:b w:val="1"/>
                <w:bCs w:val="1"/>
                <w:color w:val="auto"/>
              </w:rPr>
              <w:t>Fair</w:t>
            </w:r>
          </w:p>
        </w:tc>
        <w:tc>
          <w:tcPr>
            <w:tcW w:w="72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Percent of</w:t>
            </w:r>
          </w:p>
        </w:tc>
      </w:tr>
      <w:tr>
        <w:trPr>
          <w:trHeight w:val="140"/>
        </w:trPr>
        <w:tc>
          <w:tcPr>
            <w:tcW w:w="3320" w:type="dxa"/>
            <w:vAlign w:val="bottom"/>
            <w:gridSpan w:val="4"/>
          </w:tcPr>
          <w:p>
            <w:pPr>
              <w:spacing w:after="0"/>
              <w:rPr>
                <w:sz w:val="20"/>
                <w:szCs w:val="20"/>
                <w:color w:val="auto"/>
              </w:rPr>
            </w:pPr>
            <w:r>
              <w:rPr>
                <w:rFonts w:ascii="Arial" w:cs="Arial" w:eastAsia="Arial" w:hAnsi="Arial"/>
                <w:sz w:val="11"/>
                <w:szCs w:val="11"/>
                <w:b w:val="1"/>
                <w:bCs w:val="1"/>
                <w:color w:val="auto"/>
              </w:rPr>
              <w:t>Investment Type (c)</w:t>
            </w:r>
          </w:p>
        </w:tc>
        <w:tc>
          <w:tcPr>
            <w:tcW w:w="1900" w:type="dxa"/>
            <w:vAlign w:val="bottom"/>
            <w:gridSpan w:val="3"/>
          </w:tcPr>
          <w:p>
            <w:pPr>
              <w:ind w:left="40"/>
              <w:spacing w:after="0"/>
              <w:rPr>
                <w:sz w:val="20"/>
                <w:szCs w:val="20"/>
                <w:color w:val="auto"/>
              </w:rPr>
            </w:pPr>
            <w:r>
              <w:rPr>
                <w:rFonts w:ascii="Arial" w:cs="Arial" w:eastAsia="Arial" w:hAnsi="Arial"/>
                <w:sz w:val="11"/>
                <w:szCs w:val="11"/>
                <w:b w:val="1"/>
                <w:bCs w:val="1"/>
                <w:color w:val="auto"/>
              </w:rPr>
              <w:t>Industry</w:t>
            </w:r>
          </w:p>
        </w:tc>
        <w:tc>
          <w:tcPr>
            <w:tcW w:w="12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Spread / Floor (d)</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Cash/PIK</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Date (f)</w:t>
            </w:r>
          </w:p>
        </w:tc>
        <w:tc>
          <w:tcPr>
            <w:tcW w:w="580" w:type="dxa"/>
            <w:vAlign w:val="bottom"/>
          </w:tcPr>
          <w:p>
            <w:pPr>
              <w:jc w:val="right"/>
              <w:ind w:right="23"/>
              <w:spacing w:after="0"/>
              <w:rPr>
                <w:sz w:val="20"/>
                <w:szCs w:val="20"/>
                <w:color w:val="auto"/>
              </w:rPr>
            </w:pPr>
            <w:r>
              <w:rPr>
                <w:rFonts w:ascii="Arial" w:cs="Arial" w:eastAsia="Arial" w:hAnsi="Arial"/>
                <w:sz w:val="11"/>
                <w:szCs w:val="11"/>
                <w:b w:val="1"/>
                <w:bCs w:val="1"/>
                <w:color w:val="auto"/>
              </w:rPr>
              <w:t>Maturity</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2"/>
                <w:szCs w:val="12"/>
                <w:color w:val="auto"/>
              </w:rPr>
            </w:pPr>
          </w:p>
        </w:tc>
        <w:tc>
          <w:tcPr>
            <w:tcW w:w="380" w:type="dxa"/>
            <w:vAlign w:val="bottom"/>
          </w:tcPr>
          <w:p>
            <w:pPr>
              <w:jc w:val="right"/>
              <w:ind w:right="23"/>
              <w:spacing w:after="0"/>
              <w:rPr>
                <w:sz w:val="20"/>
                <w:szCs w:val="20"/>
                <w:color w:val="auto"/>
              </w:rPr>
            </w:pPr>
            <w:r>
              <w:rPr>
                <w:rFonts w:ascii="Arial" w:cs="Arial" w:eastAsia="Arial" w:hAnsi="Arial"/>
                <w:sz w:val="11"/>
                <w:szCs w:val="11"/>
                <w:b w:val="1"/>
                <w:bCs w:val="1"/>
                <w:color w:val="auto"/>
              </w:rPr>
              <w:t>Cost</w:t>
            </w: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rPr>
              <w:t>Value (g)</w:t>
            </w:r>
          </w:p>
        </w:tc>
        <w:tc>
          <w:tcPr>
            <w:tcW w:w="72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8"/>
              </w:rPr>
              <w:t>Net Assets</w:t>
            </w: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92"/>
        </w:trPr>
        <w:tc>
          <w:tcPr>
            <w:tcW w:w="2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gridSpan w:val="2"/>
            <w:shd w:val="clear" w:color="auto" w:fill="CCEEFF"/>
          </w:tcPr>
          <w:p>
            <w:pPr>
              <w:spacing w:after="0" w:line="92" w:lineRule="exact"/>
              <w:rPr>
                <w:sz w:val="20"/>
                <w:szCs w:val="20"/>
                <w:color w:val="auto"/>
              </w:rPr>
            </w:pPr>
            <w:r>
              <w:rPr>
                <w:rFonts w:ascii="Arial" w:cs="Arial" w:eastAsia="Arial" w:hAnsi="Arial"/>
                <w:sz w:val="10"/>
                <w:szCs w:val="10"/>
                <w:b w:val="1"/>
                <w:bCs w:val="1"/>
                <w:color w:val="auto"/>
              </w:rPr>
              <w:t>Non-control/Non-affiliate Investments</w:t>
            </w:r>
          </w:p>
        </w:tc>
        <w:tc>
          <w:tcPr>
            <w:tcW w:w="14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r>
      <w:tr>
        <w:trPr>
          <w:trHeight w:val="125"/>
        </w:trPr>
        <w:tc>
          <w:tcPr>
            <w:tcW w:w="20" w:type="dxa"/>
            <w:vAlign w:val="bottom"/>
          </w:tcPr>
          <w:p>
            <w:pPr>
              <w:spacing w:after="0"/>
              <w:rPr>
                <w:sz w:val="10"/>
                <w:szCs w:val="10"/>
                <w:color w:val="auto"/>
              </w:rPr>
            </w:pPr>
          </w:p>
        </w:tc>
        <w:tc>
          <w:tcPr>
            <w:tcW w:w="3300" w:type="dxa"/>
            <w:vAlign w:val="bottom"/>
            <w:gridSpan w:val="3"/>
          </w:tcPr>
          <w:p>
            <w:pPr>
              <w:spacing w:after="0" w:line="125" w:lineRule="exact"/>
              <w:rPr>
                <w:sz w:val="20"/>
                <w:szCs w:val="20"/>
                <w:color w:val="auto"/>
              </w:rPr>
            </w:pPr>
            <w:r>
              <w:rPr>
                <w:rFonts w:ascii="Arial" w:cs="Arial" w:eastAsia="Arial" w:hAnsi="Arial"/>
                <w:sz w:val="11"/>
                <w:szCs w:val="11"/>
                <w:i w:val="1"/>
                <w:iCs w:val="1"/>
                <w:color w:val="auto"/>
              </w:rPr>
              <w:t>2KDirect, Inc. (dba iPromote)</w:t>
            </w:r>
          </w:p>
        </w:tc>
        <w:tc>
          <w:tcPr>
            <w:tcW w:w="60" w:type="dxa"/>
            <w:vAlign w:val="bottom"/>
          </w:tcPr>
          <w:p>
            <w:pPr>
              <w:spacing w:after="0"/>
              <w:rPr>
                <w:sz w:val="10"/>
                <w:szCs w:val="10"/>
                <w:color w:val="auto"/>
              </w:rPr>
            </w:pPr>
          </w:p>
        </w:tc>
        <w:tc>
          <w:tcPr>
            <w:tcW w:w="1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Information Technology Services</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First Lien Debt (k)(ah)</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(L + 6.75%) / (0.50%)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7.25%/0.00%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6/25/2021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6/25/2026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17,000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$ 16,931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16,931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(1,000,000 units)</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6/25/2021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17,931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17,931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4%</w:t>
            </w:r>
          </w:p>
        </w:tc>
      </w:tr>
      <w:tr>
        <w:trPr>
          <w:trHeight w:val="132"/>
        </w:trPr>
        <w:tc>
          <w:tcPr>
            <w:tcW w:w="20" w:type="dxa"/>
            <w:vAlign w:val="bottom"/>
          </w:tcPr>
          <w:p>
            <w:pPr>
              <w:spacing w:after="0"/>
              <w:rPr>
                <w:sz w:val="11"/>
                <w:szCs w:val="11"/>
                <w:color w:val="auto"/>
              </w:rPr>
            </w:pPr>
          </w:p>
        </w:tc>
        <w:tc>
          <w:tcPr>
            <w:tcW w:w="3300" w:type="dxa"/>
            <w:vAlign w:val="bottom"/>
            <w:gridSpan w:val="3"/>
          </w:tcPr>
          <w:p>
            <w:pPr>
              <w:spacing w:after="0"/>
              <w:rPr>
                <w:sz w:val="20"/>
                <w:szCs w:val="20"/>
                <w:color w:val="auto"/>
              </w:rPr>
            </w:pPr>
            <w:r>
              <w:rPr>
                <w:rFonts w:ascii="Arial" w:cs="Arial" w:eastAsia="Arial" w:hAnsi="Arial"/>
                <w:sz w:val="11"/>
                <w:szCs w:val="11"/>
                <w:i w:val="1"/>
                <w:iCs w:val="1"/>
                <w:color w:val="auto"/>
              </w:rPr>
              <w:t>Aeronix Inc.</w:t>
            </w:r>
          </w:p>
        </w:tc>
        <w:tc>
          <w:tcPr>
            <w:tcW w:w="6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Aerospace &amp; Defense Manufacturing</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First Lien Debt (ai)</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(L + 5.88%) / (0.50%)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6.38%/0.00%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6/11/2021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6/11/2026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6,454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(500 units)</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6/11/2021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6,954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r>
      <w:tr>
        <w:trPr>
          <w:trHeight w:val="132"/>
        </w:trPr>
        <w:tc>
          <w:tcPr>
            <w:tcW w:w="20" w:type="dxa"/>
            <w:vAlign w:val="bottom"/>
          </w:tcPr>
          <w:p>
            <w:pPr>
              <w:spacing w:after="0"/>
              <w:rPr>
                <w:sz w:val="11"/>
                <w:szCs w:val="11"/>
                <w:color w:val="auto"/>
              </w:rPr>
            </w:pPr>
          </w:p>
        </w:tc>
        <w:tc>
          <w:tcPr>
            <w:tcW w:w="3300" w:type="dxa"/>
            <w:vAlign w:val="bottom"/>
            <w:gridSpan w:val="3"/>
          </w:tcPr>
          <w:p>
            <w:pPr>
              <w:spacing w:after="0"/>
              <w:rPr>
                <w:sz w:val="20"/>
                <w:szCs w:val="20"/>
                <w:color w:val="auto"/>
              </w:rPr>
            </w:pPr>
            <w:r>
              <w:rPr>
                <w:rFonts w:ascii="Arial" w:cs="Arial" w:eastAsia="Arial" w:hAnsi="Arial"/>
                <w:sz w:val="11"/>
                <w:szCs w:val="11"/>
                <w:i w:val="1"/>
                <w:iCs w:val="1"/>
                <w:color w:val="auto"/>
              </w:rPr>
              <w:t>Allied 100 Group, Inc.</w:t>
            </w:r>
          </w:p>
        </w:tc>
        <w:tc>
          <w:tcPr>
            <w:tcW w:w="6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Healthcare Products</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Subordinated Debt (k)</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11.25%/0.00%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7/31/2019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5/26/2023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21,446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21,500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(625,000 units) (j)</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11/26/2014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626</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22,072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22,638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w:t>
            </w:r>
          </w:p>
        </w:tc>
      </w:tr>
      <w:tr>
        <w:trPr>
          <w:trHeight w:val="132"/>
        </w:trPr>
        <w:tc>
          <w:tcPr>
            <w:tcW w:w="20" w:type="dxa"/>
            <w:vAlign w:val="bottom"/>
          </w:tcPr>
          <w:p>
            <w:pPr>
              <w:spacing w:after="0"/>
              <w:rPr>
                <w:sz w:val="11"/>
                <w:szCs w:val="11"/>
                <w:color w:val="auto"/>
              </w:rPr>
            </w:pPr>
          </w:p>
        </w:tc>
        <w:tc>
          <w:tcPr>
            <w:tcW w:w="3300" w:type="dxa"/>
            <w:vAlign w:val="bottom"/>
            <w:gridSpan w:val="3"/>
          </w:tcPr>
          <w:p>
            <w:pPr>
              <w:spacing w:after="0"/>
              <w:rPr>
                <w:sz w:val="20"/>
                <w:szCs w:val="20"/>
                <w:color w:val="auto"/>
              </w:rPr>
            </w:pPr>
            <w:r>
              <w:rPr>
                <w:rFonts w:ascii="Arial" w:cs="Arial" w:eastAsia="Arial" w:hAnsi="Arial"/>
                <w:sz w:val="11"/>
                <w:szCs w:val="11"/>
                <w:i w:val="1"/>
                <w:iCs w:val="1"/>
                <w:color w:val="auto"/>
              </w:rPr>
              <w:t>Allredi, LLC (fka Marco Group International OpCo, LLC)</w:t>
            </w:r>
          </w:p>
        </w:tc>
        <w:tc>
          <w:tcPr>
            <w:tcW w:w="6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Industrial Cleaning &amp; Coatings</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Second Lien Debt</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10.50%/1.75%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3/2/2020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9/2/2026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10,169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8,109</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(570,636 units) (h)(j)</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7/21/2017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10,727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8,161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r>
      <w:tr>
        <w:trPr>
          <w:trHeight w:val="132"/>
        </w:trPr>
        <w:tc>
          <w:tcPr>
            <w:tcW w:w="20" w:type="dxa"/>
            <w:vAlign w:val="bottom"/>
          </w:tcPr>
          <w:p>
            <w:pPr>
              <w:spacing w:after="0"/>
              <w:rPr>
                <w:sz w:val="11"/>
                <w:szCs w:val="11"/>
                <w:color w:val="auto"/>
              </w:rPr>
            </w:pPr>
          </w:p>
        </w:tc>
        <w:tc>
          <w:tcPr>
            <w:tcW w:w="3300" w:type="dxa"/>
            <w:vAlign w:val="bottom"/>
            <w:gridSpan w:val="3"/>
          </w:tcPr>
          <w:p>
            <w:pPr>
              <w:spacing w:after="0"/>
              <w:rPr>
                <w:sz w:val="20"/>
                <w:szCs w:val="20"/>
                <w:color w:val="auto"/>
              </w:rPr>
            </w:pPr>
            <w:r>
              <w:rPr>
                <w:rFonts w:ascii="Arial" w:cs="Arial" w:eastAsia="Arial" w:hAnsi="Arial"/>
                <w:sz w:val="11"/>
                <w:szCs w:val="11"/>
                <w:i w:val="1"/>
                <w:iCs w:val="1"/>
                <w:color w:val="auto"/>
              </w:rPr>
              <w:t>Alzheimer’s Research and Treatment Center, LLC</w:t>
            </w:r>
          </w:p>
        </w:tc>
        <w:tc>
          <w:tcPr>
            <w:tcW w:w="6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Healthcare Services</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(500 units) (h)(j)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10/23/2018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1,098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237"/>
        </w:trPr>
        <w:tc>
          <w:tcPr>
            <w:tcW w:w="3320" w:type="dxa"/>
            <w:vAlign w:val="bottom"/>
            <w:gridSpan w:val="4"/>
          </w:tcPr>
          <w:p>
            <w:pPr>
              <w:spacing w:after="0"/>
              <w:rPr>
                <w:sz w:val="20"/>
                <w:szCs w:val="20"/>
                <w:color w:val="auto"/>
              </w:rPr>
            </w:pPr>
            <w:r>
              <w:rPr>
                <w:rFonts w:ascii="Arial" w:cs="Arial" w:eastAsia="Arial" w:hAnsi="Arial"/>
                <w:sz w:val="11"/>
                <w:szCs w:val="11"/>
                <w:i w:val="1"/>
                <w:iCs w:val="1"/>
                <w:color w:val="auto"/>
              </w:rPr>
              <w:t>American AllWaste LLC (dba WasteWater Transport Services)</w:t>
            </w:r>
          </w:p>
        </w:tc>
        <w:tc>
          <w:tcPr>
            <w:tcW w:w="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Environmental Industries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First Lien Debt (j)(p)</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(L + 6.15%) / (1.00%)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7.15%/0.00%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6/28/2021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6/28/2026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18,851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18,851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w w:val="96"/>
              </w:rPr>
              <w:t>Delayed Draw Commitment ($3,900 unfunded commitment) (j)(o)</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rPr>
              <w:t>(L + 3.75%) / (1.00%)</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4.75%/0.00%</w:t>
            </w:r>
          </w:p>
        </w:tc>
        <w:tc>
          <w:tcPr>
            <w:tcW w:w="580" w:type="dxa"/>
            <w:vAlign w:val="bottom"/>
          </w:tcPr>
          <w:p>
            <w:pPr>
              <w:jc w:val="right"/>
              <w:spacing w:after="0"/>
              <w:rPr>
                <w:sz w:val="20"/>
                <w:szCs w:val="20"/>
                <w:color w:val="auto"/>
              </w:rPr>
            </w:pPr>
            <w:r>
              <w:rPr>
                <w:rFonts w:ascii="Arial" w:cs="Arial" w:eastAsia="Arial" w:hAnsi="Arial"/>
                <w:sz w:val="11"/>
                <w:szCs w:val="11"/>
                <w:color w:val="auto"/>
              </w:rPr>
              <w:t>6/28/2021</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12/31/2022</w:t>
            </w:r>
          </w:p>
        </w:tc>
        <w:tc>
          <w:tcPr>
            <w:tcW w:w="80" w:type="dxa"/>
            <w:vAlign w:val="bottom"/>
          </w:tcPr>
          <w:p>
            <w:pPr>
              <w:spacing w:after="0"/>
              <w:rPr>
                <w:sz w:val="11"/>
                <w:szCs w:val="11"/>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Preferred Equity (500 units) (h)(j)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Preferred Equity (207 units) (h)(j)</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8/6/2019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250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226</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Preferred Equity (141 units) (h)(j)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11/2/2020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19,772</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19,436</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5%</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Applied Data Corporation</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Information Technology Services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First Lien Debt (v)</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rPr>
              <w:t>(L + 6.25%) / (1.50%)</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7.75%/0.00%</w:t>
            </w:r>
          </w:p>
        </w:tc>
        <w:tc>
          <w:tcPr>
            <w:tcW w:w="580" w:type="dxa"/>
            <w:vAlign w:val="bottom"/>
          </w:tcPr>
          <w:p>
            <w:pPr>
              <w:jc w:val="right"/>
              <w:spacing w:after="0"/>
              <w:rPr>
                <w:sz w:val="20"/>
                <w:szCs w:val="20"/>
                <w:color w:val="auto"/>
              </w:rPr>
            </w:pPr>
            <w:r>
              <w:rPr>
                <w:rFonts w:ascii="Arial" w:cs="Arial" w:eastAsia="Arial" w:hAnsi="Arial"/>
                <w:sz w:val="11"/>
                <w:szCs w:val="11"/>
                <w:color w:val="auto"/>
              </w:rPr>
              <w:t>11/6/2020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11/6/2025</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8,000</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7,954</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8,000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(22 units)</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11/6/2020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Preferred Equity (1,070,614 units)</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11/6/2020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1,071</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9,025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9,101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r>
      <w:tr>
        <w:trPr>
          <w:trHeight w:val="132"/>
        </w:trPr>
        <w:tc>
          <w:tcPr>
            <w:tcW w:w="20" w:type="dxa"/>
            <w:vAlign w:val="bottom"/>
          </w:tcPr>
          <w:p>
            <w:pPr>
              <w:spacing w:after="0"/>
              <w:rPr>
                <w:sz w:val="11"/>
                <w:szCs w:val="11"/>
                <w:color w:val="auto"/>
              </w:rPr>
            </w:pPr>
          </w:p>
        </w:tc>
        <w:tc>
          <w:tcPr>
            <w:tcW w:w="3300" w:type="dxa"/>
            <w:vAlign w:val="bottom"/>
            <w:gridSpan w:val="3"/>
          </w:tcPr>
          <w:p>
            <w:pPr>
              <w:spacing w:after="0"/>
              <w:rPr>
                <w:sz w:val="20"/>
                <w:szCs w:val="20"/>
                <w:color w:val="auto"/>
              </w:rPr>
            </w:pPr>
            <w:r>
              <w:rPr>
                <w:rFonts w:ascii="Arial" w:cs="Arial" w:eastAsia="Arial" w:hAnsi="Arial"/>
                <w:sz w:val="11"/>
                <w:szCs w:val="11"/>
                <w:i w:val="1"/>
                <w:iCs w:val="1"/>
                <w:color w:val="auto"/>
              </w:rPr>
              <w:t>Argo Turboserve Corporation</w:t>
            </w:r>
          </w:p>
        </w:tc>
        <w:tc>
          <w:tcPr>
            <w:tcW w:w="6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Business Services</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Second Lien Debt (j)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9"/>
              </w:rPr>
              <w:t>(L + 12.00%) / (2.00%)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14.00%/0.00%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12/26/2018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6/28/2023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12,469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12,436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12,469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w:t>
            </w:r>
          </w:p>
        </w:tc>
      </w:tr>
      <w:tr>
        <w:trPr>
          <w:trHeight w:val="237"/>
        </w:trPr>
        <w:tc>
          <w:tcPr>
            <w:tcW w:w="3320" w:type="dxa"/>
            <w:vAlign w:val="bottom"/>
            <w:gridSpan w:val="4"/>
          </w:tcPr>
          <w:p>
            <w:pPr>
              <w:spacing w:after="0"/>
              <w:rPr>
                <w:sz w:val="20"/>
                <w:szCs w:val="20"/>
                <w:color w:val="auto"/>
              </w:rPr>
            </w:pPr>
            <w:r>
              <w:rPr>
                <w:rFonts w:ascii="Arial" w:cs="Arial" w:eastAsia="Arial" w:hAnsi="Arial"/>
                <w:sz w:val="11"/>
                <w:szCs w:val="11"/>
                <w:i w:val="1"/>
                <w:iCs w:val="1"/>
                <w:color w:val="auto"/>
              </w:rPr>
              <w:t>AVC Investors, LLC (dba Auveco)</w:t>
            </w:r>
          </w:p>
        </w:tc>
        <w:tc>
          <w:tcPr>
            <w:tcW w:w="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Specialty Distribution</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(5,000 units) (j)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237"/>
        </w:trPr>
        <w:tc>
          <w:tcPr>
            <w:tcW w:w="3320" w:type="dxa"/>
            <w:vAlign w:val="bottom"/>
            <w:gridSpan w:val="4"/>
          </w:tcPr>
          <w:p>
            <w:pPr>
              <w:spacing w:after="0"/>
              <w:rPr>
                <w:sz w:val="20"/>
                <w:szCs w:val="20"/>
                <w:color w:val="auto"/>
              </w:rPr>
            </w:pPr>
            <w:r>
              <w:rPr>
                <w:rFonts w:ascii="Arial" w:cs="Arial" w:eastAsia="Arial" w:hAnsi="Arial"/>
                <w:sz w:val="11"/>
                <w:szCs w:val="11"/>
                <w:i w:val="1"/>
                <w:iCs w:val="1"/>
                <w:color w:val="auto"/>
              </w:rPr>
              <w:t>B&amp;B Roadway and Security Solutions, LLC</w:t>
            </w:r>
          </w:p>
        </w:tc>
        <w:tc>
          <w:tcPr>
            <w:tcW w:w="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Component Manufacturing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Second Lien Debt</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11.25%/4.00%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11,131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11,120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10,451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(50,000 units) (h)(j)</w:t>
            </w: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2/27/2018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11,617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10,451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r>
      <w:tr>
        <w:trPr>
          <w:trHeight w:val="132"/>
        </w:trPr>
        <w:tc>
          <w:tcPr>
            <w:tcW w:w="20" w:type="dxa"/>
            <w:vAlign w:val="bottom"/>
          </w:tcPr>
          <w:p>
            <w:pPr>
              <w:spacing w:after="0"/>
              <w:rPr>
                <w:sz w:val="11"/>
                <w:szCs w:val="11"/>
                <w:color w:val="auto"/>
              </w:rPr>
            </w:pPr>
          </w:p>
        </w:tc>
        <w:tc>
          <w:tcPr>
            <w:tcW w:w="3300" w:type="dxa"/>
            <w:vAlign w:val="bottom"/>
            <w:gridSpan w:val="3"/>
          </w:tcPr>
          <w:p>
            <w:pPr>
              <w:spacing w:after="0"/>
              <w:rPr>
                <w:sz w:val="20"/>
                <w:szCs w:val="20"/>
                <w:color w:val="auto"/>
              </w:rPr>
            </w:pPr>
            <w:r>
              <w:rPr>
                <w:rFonts w:ascii="Arial" w:cs="Arial" w:eastAsia="Arial" w:hAnsi="Arial"/>
                <w:sz w:val="11"/>
                <w:szCs w:val="11"/>
                <w:i w:val="1"/>
                <w:iCs w:val="1"/>
                <w:color w:val="auto"/>
              </w:rPr>
              <w:t>Bandon Fitness (Texas), Inc.</w:t>
            </w:r>
          </w:p>
        </w:tc>
        <w:tc>
          <w:tcPr>
            <w:tcW w:w="60" w:type="dxa"/>
            <w:vAlign w:val="bottom"/>
          </w:tcPr>
          <w:p>
            <w:pPr>
              <w:spacing w:after="0"/>
              <w:rPr>
                <w:sz w:val="11"/>
                <w:szCs w:val="11"/>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Retail</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(545,810 units) (j)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1,659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237"/>
        </w:trPr>
        <w:tc>
          <w:tcPr>
            <w:tcW w:w="3320" w:type="dxa"/>
            <w:vAlign w:val="bottom"/>
            <w:gridSpan w:val="4"/>
          </w:tcPr>
          <w:p>
            <w:pPr>
              <w:spacing w:after="0"/>
              <w:rPr>
                <w:sz w:val="20"/>
                <w:szCs w:val="20"/>
                <w:color w:val="auto"/>
              </w:rPr>
            </w:pPr>
            <w:r>
              <w:rPr>
                <w:rFonts w:ascii="Arial" w:cs="Arial" w:eastAsia="Arial" w:hAnsi="Arial"/>
                <w:sz w:val="11"/>
                <w:szCs w:val="11"/>
                <w:i w:val="1"/>
                <w:iCs w:val="1"/>
                <w:color w:val="auto"/>
              </w:rPr>
              <w:t>BCM One Group Holdings, Inc.</w:t>
            </w:r>
          </w:p>
        </w:tc>
        <w:tc>
          <w:tcPr>
            <w:tcW w:w="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Information Technology Services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Subordinated Debt (k)</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11.00%/0.00%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7/3/2024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29,903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30,000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(1,281 shares)</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1/3/2019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48</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752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Preferred Equity (74 shares)</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737</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30,687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31,489</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7%</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Bedford Precision Parts LLC</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Specialty Distribution</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First Lien Debt (j)(s)</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rPr>
              <w:t>(L + 6.25%) / (2.00%)</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8.25%/0.00%</w:t>
            </w:r>
          </w:p>
        </w:tc>
        <w:tc>
          <w:tcPr>
            <w:tcW w:w="580" w:type="dxa"/>
            <w:vAlign w:val="bottom"/>
          </w:tcPr>
          <w:p>
            <w:pPr>
              <w:jc w:val="right"/>
              <w:spacing w:after="0"/>
              <w:rPr>
                <w:sz w:val="20"/>
                <w:szCs w:val="20"/>
                <w:color w:val="auto"/>
              </w:rPr>
            </w:pPr>
            <w:r>
              <w:rPr>
                <w:rFonts w:ascii="Arial" w:cs="Arial" w:eastAsia="Arial" w:hAnsi="Arial"/>
                <w:sz w:val="11"/>
                <w:szCs w:val="11"/>
                <w:color w:val="auto"/>
              </w:rPr>
              <w:t>3/12/2019</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3/12/2024</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4,531</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4,510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4,477</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(500,000 units) (h)(j)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5,010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4,790</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1%</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Cardboard Box LLC (dba Anthony’s Coal Fired Pizza)</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Restaurants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Common Equity (521,021 units) (j)</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12/15/2015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521</w:t>
            </w:r>
          </w:p>
        </w:tc>
        <w:tc>
          <w:tcPr>
            <w:tcW w:w="100" w:type="dxa"/>
            <w:vAlign w:val="bottom"/>
          </w:tcPr>
          <w:p>
            <w:pPr>
              <w:spacing w:after="0"/>
              <w:rPr>
                <w:sz w:val="11"/>
                <w:szCs w:val="11"/>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Preferred Equity (1,043,133 units) (j)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617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Combined Systems, Inc.</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Aerospace &amp; Defense Manufacturing</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First Lien Debt</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w w:val="99"/>
              </w:rPr>
              <w:t>(L + 11.00%) / (2.00%)</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13.00%/0.00%</w:t>
            </w:r>
          </w:p>
        </w:tc>
        <w:tc>
          <w:tcPr>
            <w:tcW w:w="580" w:type="dxa"/>
            <w:vAlign w:val="bottom"/>
          </w:tcPr>
          <w:p>
            <w:pPr>
              <w:jc w:val="right"/>
              <w:spacing w:after="0"/>
              <w:rPr>
                <w:sz w:val="20"/>
                <w:szCs w:val="20"/>
                <w:color w:val="auto"/>
              </w:rPr>
            </w:pPr>
            <w:r>
              <w:rPr>
                <w:rFonts w:ascii="Arial" w:cs="Arial" w:eastAsia="Arial" w:hAnsi="Arial"/>
                <w:sz w:val="11"/>
                <w:szCs w:val="11"/>
                <w:color w:val="auto"/>
              </w:rPr>
              <w:t>1/31/2020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1/31/2025</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7,291</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7,250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7,105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Revolving Loan ($550 unfunded commitment) (j)(ac)</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9"/>
              </w:rPr>
              <w:t>(L + 10.00%) / (2.00%)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12.00%/0.00%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1/31/2020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1/31/2025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3,432</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10,682</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10,555</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2%</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Comply365, LLC</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Aerospace &amp; Defense Manufacturing</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First Lien Debt (ad)</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rPr>
              <w:t>(L + 8.00%) /(1.00%)</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9.00%/0.00%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12/11/2020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12/11/2025</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9,570</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9,440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9,570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(1,000,000 units)</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12/11/2020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1,232</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10,440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10,802</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CRS Solutions Holdings, LLC (dba CRS Texas)</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Business Services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Second Lien Debt</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10.50%/1.50%</w:t>
            </w:r>
          </w:p>
        </w:tc>
        <w:tc>
          <w:tcPr>
            <w:tcW w:w="580" w:type="dxa"/>
            <w:vAlign w:val="bottom"/>
          </w:tcPr>
          <w:p>
            <w:pPr>
              <w:jc w:val="right"/>
              <w:spacing w:after="0"/>
              <w:rPr>
                <w:sz w:val="20"/>
                <w:szCs w:val="20"/>
                <w:color w:val="auto"/>
              </w:rPr>
            </w:pPr>
            <w:r>
              <w:rPr>
                <w:rFonts w:ascii="Arial" w:cs="Arial" w:eastAsia="Arial" w:hAnsi="Arial"/>
                <w:sz w:val="11"/>
                <w:szCs w:val="11"/>
                <w:color w:val="auto"/>
              </w:rPr>
              <w:t>3/14/2018</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4/30/2024</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11,390</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11,360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11,390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(538,875 units) (h)(j)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709</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11,981</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12,099</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Dataguise, Inc.</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Information Technology Services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First Lien Debt (j)</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11.00%/0.00%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12/31/2020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12/31/2023</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19,950</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19,867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19,751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(909 shares) (j)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12/31/2020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1,500</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21,367</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21,242</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5%</w:t>
            </w: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1"/>
                <w:szCs w:val="11"/>
                <w:i w:val="1"/>
                <w:iCs w:val="1"/>
                <w:color w:val="auto"/>
              </w:rPr>
              <w:t>Diversified Search LLC</w:t>
            </w:r>
          </w:p>
        </w:tc>
        <w:tc>
          <w:tcPr>
            <w:tcW w:w="6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Business Services</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20"/>
              <w:spacing w:after="0"/>
              <w:rPr>
                <w:sz w:val="20"/>
                <w:szCs w:val="20"/>
                <w:color w:val="auto"/>
              </w:rPr>
            </w:pPr>
            <w:r>
              <w:rPr>
                <w:rFonts w:ascii="Arial" w:cs="Arial" w:eastAsia="Arial" w:hAnsi="Arial"/>
                <w:sz w:val="11"/>
                <w:szCs w:val="11"/>
                <w:color w:val="auto"/>
              </w:rPr>
              <w:t>First Lien Debt (k)(r)</w:t>
            </w:r>
          </w:p>
        </w:tc>
        <w:tc>
          <w:tcPr>
            <w:tcW w:w="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rPr>
              <w:t>(L + 6.50%) / (1.00%)</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7.50%/0.00%</w:t>
            </w:r>
          </w:p>
        </w:tc>
        <w:tc>
          <w:tcPr>
            <w:tcW w:w="580" w:type="dxa"/>
            <w:vAlign w:val="bottom"/>
          </w:tcPr>
          <w:p>
            <w:pPr>
              <w:jc w:val="right"/>
              <w:spacing w:after="0"/>
              <w:rPr>
                <w:sz w:val="20"/>
                <w:szCs w:val="20"/>
                <w:color w:val="auto"/>
              </w:rPr>
            </w:pPr>
            <w:r>
              <w:rPr>
                <w:rFonts w:ascii="Arial" w:cs="Arial" w:eastAsia="Arial" w:hAnsi="Arial"/>
                <w:sz w:val="11"/>
                <w:szCs w:val="11"/>
                <w:color w:val="auto"/>
              </w:rPr>
              <w:t>2/7/2019</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2/7/2024</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17,355</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17,190</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17,355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Common Equity (573 units) (h)(j)</w:t>
            </w:r>
          </w:p>
        </w:tc>
        <w:tc>
          <w:tcPr>
            <w:tcW w:w="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593</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17,783</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18,139</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4%</w:t>
            </w:r>
          </w:p>
        </w:tc>
      </w:tr>
    </w:tbl>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1" w:right="5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Consolidated Schedule of Investments (unaudited)</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340"/>
          </w:cols>
          <w:pgMar w:left="320" w:top="451" w:right="239" w:bottom="1440" w:gutter="0" w:footer="0" w:header="0"/>
        </w:sectPr>
      </w:pPr>
    </w:p>
    <w:p>
      <w:pPr>
        <w:spacing w:after="0" w:line="141"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auto"/>
        </w:rPr>
        <w:t>Portfolio Company (a)(b)</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1"/>
          <w:szCs w:val="11"/>
          <w:b w:val="1"/>
          <w:bCs w:val="1"/>
          <w:u w:val="single" w:color="auto"/>
          <w:color w:val="auto"/>
        </w:rPr>
        <w:t>Investment Type (c)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EBL, LLC (EbLens)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Second Lien Debt (j)</w:t>
      </w:r>
    </w:p>
    <w:p>
      <w:pPr>
        <w:ind w:left="500"/>
        <w:spacing w:after="0"/>
        <w:rPr>
          <w:sz w:val="20"/>
          <w:szCs w:val="20"/>
          <w:color w:val="auto"/>
        </w:rPr>
      </w:pPr>
      <w:r>
        <w:rPr>
          <w:rFonts w:ascii="Arial" w:cs="Arial" w:eastAsia="Arial" w:hAnsi="Arial"/>
          <w:sz w:val="12"/>
          <w:szCs w:val="12"/>
          <w:color w:val="auto"/>
        </w:rPr>
        <w:t>Common Equity (75,000 units) (j)</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ECM Industries, LLC</w:t>
      </w:r>
    </w:p>
    <w:p>
      <w:pPr>
        <w:ind w:left="500"/>
        <w:spacing w:after="0" w:line="235" w:lineRule="auto"/>
        <w:rPr>
          <w:sz w:val="20"/>
          <w:szCs w:val="20"/>
          <w:color w:val="auto"/>
        </w:rPr>
      </w:pPr>
      <w:r>
        <w:rPr>
          <w:rFonts w:ascii="Arial" w:cs="Arial" w:eastAsia="Arial" w:hAnsi="Arial"/>
          <w:sz w:val="12"/>
          <w:szCs w:val="12"/>
          <w:color w:val="auto"/>
        </w:rPr>
        <w:t>Subordinated Debt (j)</w:t>
      </w:r>
    </w:p>
    <w:p>
      <w:pPr>
        <w:ind w:left="500"/>
        <w:spacing w:after="0"/>
        <w:rPr>
          <w:sz w:val="20"/>
          <w:szCs w:val="20"/>
          <w:color w:val="auto"/>
        </w:rPr>
      </w:pPr>
      <w:r>
        <w:rPr>
          <w:rFonts w:ascii="Arial" w:cs="Arial" w:eastAsia="Arial" w:hAnsi="Arial"/>
          <w:sz w:val="12"/>
          <w:szCs w:val="12"/>
          <w:color w:val="auto"/>
        </w:rPr>
        <w:t>Common Equity (1,000,000 units) (h)(j)</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Elements Brands, LLC</w:t>
      </w:r>
    </w:p>
    <w:p>
      <w:pPr>
        <w:ind w:left="500"/>
        <w:spacing w:after="0" w:line="235" w:lineRule="auto"/>
        <w:rPr>
          <w:sz w:val="20"/>
          <w:szCs w:val="20"/>
          <w:color w:val="auto"/>
        </w:rPr>
      </w:pPr>
      <w:r>
        <w:rPr>
          <w:rFonts w:ascii="Arial" w:cs="Arial" w:eastAsia="Arial" w:hAnsi="Arial"/>
          <w:sz w:val="12"/>
          <w:szCs w:val="12"/>
          <w:color w:val="auto"/>
        </w:rPr>
        <w:t>First Lien Debt</w:t>
      </w:r>
    </w:p>
    <w:p>
      <w:pPr>
        <w:ind w:left="500"/>
        <w:spacing w:after="0"/>
        <w:rPr>
          <w:sz w:val="20"/>
          <w:szCs w:val="20"/>
          <w:color w:val="auto"/>
        </w:rPr>
      </w:pPr>
      <w:r>
        <w:rPr>
          <w:rFonts w:ascii="Arial" w:cs="Arial" w:eastAsia="Arial" w:hAnsi="Arial"/>
          <w:sz w:val="11"/>
          <w:szCs w:val="11"/>
          <w:color w:val="auto"/>
        </w:rPr>
        <w:t>Revolving Loan ($838 unfunded commitment) (i)(j)</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Variable Index</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Rate (e)</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Investment</w:t>
            </w:r>
          </w:p>
        </w:tc>
        <w:tc>
          <w:tcPr>
            <w:tcW w:w="620" w:type="dxa"/>
            <w:vAlign w:val="bottom"/>
          </w:tcPr>
          <w:p>
            <w:pPr>
              <w:spacing w:after="0"/>
              <w:rPr>
                <w:sz w:val="11"/>
                <w:szCs w:val="11"/>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4"/>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60"/>
              <w:spacing w:after="0"/>
              <w:rPr>
                <w:sz w:val="20"/>
                <w:szCs w:val="20"/>
                <w:color w:val="auto"/>
              </w:rPr>
            </w:pPr>
            <w:r>
              <w:rPr>
                <w:rFonts w:ascii="Arial" w:cs="Arial" w:eastAsia="Arial" w:hAnsi="Arial"/>
                <w:sz w:val="11"/>
                <w:szCs w:val="11"/>
                <w:b w:val="1"/>
                <w:bCs w:val="1"/>
                <w:color w:val="auto"/>
              </w:rPr>
              <w:t>Fair</w:t>
            </w: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Percent of</w:t>
            </w:r>
          </w:p>
        </w:tc>
        <w:tc>
          <w:tcPr>
            <w:tcW w:w="0" w:type="dxa"/>
            <w:vAlign w:val="bottom"/>
          </w:tcPr>
          <w:p>
            <w:pPr>
              <w:spacing w:after="0"/>
              <w:rPr>
                <w:sz w:val="1"/>
                <w:szCs w:val="1"/>
                <w:color w:val="auto"/>
              </w:rPr>
            </w:pPr>
          </w:p>
        </w:tc>
      </w:tr>
      <w:tr>
        <w:trPr>
          <w:trHeight w:val="140"/>
        </w:trPr>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Industry</w:t>
            </w:r>
          </w:p>
        </w:tc>
        <w:tc>
          <w:tcPr>
            <w:tcW w:w="12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Spread / Floor (d)</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Cash/PIK</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Date (f)</w:t>
            </w:r>
          </w:p>
        </w:tc>
        <w:tc>
          <w:tcPr>
            <w:tcW w:w="620" w:type="dxa"/>
            <w:vAlign w:val="bottom"/>
          </w:tcPr>
          <w:p>
            <w:pPr>
              <w:jc w:val="right"/>
              <w:ind w:right="39"/>
              <w:spacing w:after="0"/>
              <w:rPr>
                <w:sz w:val="20"/>
                <w:szCs w:val="20"/>
                <w:color w:val="auto"/>
              </w:rPr>
            </w:pPr>
            <w:r>
              <w:rPr>
                <w:rFonts w:ascii="Arial" w:cs="Arial" w:eastAsia="Arial" w:hAnsi="Arial"/>
                <w:sz w:val="11"/>
                <w:szCs w:val="11"/>
                <w:b w:val="1"/>
                <w:bCs w:val="1"/>
                <w:color w:val="auto"/>
              </w:rPr>
              <w:t>Maturity</w:t>
            </w:r>
          </w:p>
        </w:tc>
        <w:tc>
          <w:tcPr>
            <w:tcW w:w="100" w:type="dxa"/>
            <w:vAlign w:val="bottom"/>
          </w:tcPr>
          <w:p>
            <w:pPr>
              <w:spacing w:after="0"/>
              <w:rPr>
                <w:sz w:val="12"/>
                <w:szCs w:val="12"/>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Amount</w:t>
            </w:r>
          </w:p>
        </w:tc>
        <w:tc>
          <w:tcPr>
            <w:tcW w:w="380" w:type="dxa"/>
            <w:vAlign w:val="bottom"/>
          </w:tcPr>
          <w:p>
            <w:pPr>
              <w:jc w:val="right"/>
              <w:ind w:right="19"/>
              <w:spacing w:after="0"/>
              <w:rPr>
                <w:sz w:val="20"/>
                <w:szCs w:val="20"/>
                <w:color w:val="auto"/>
              </w:rPr>
            </w:pPr>
            <w:r>
              <w:rPr>
                <w:rFonts w:ascii="Arial" w:cs="Arial" w:eastAsia="Arial" w:hAnsi="Arial"/>
                <w:sz w:val="11"/>
                <w:szCs w:val="11"/>
                <w:b w:val="1"/>
                <w:bCs w:val="1"/>
                <w:color w:val="auto"/>
              </w:rPr>
              <w:t>Cost</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Value (g)</w:t>
            </w: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Net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tcPr>
          <w:p>
            <w:pPr>
              <w:ind w:left="20"/>
              <w:spacing w:after="0"/>
              <w:rPr>
                <w:sz w:val="20"/>
                <w:szCs w:val="20"/>
                <w:color w:val="auto"/>
              </w:rPr>
            </w:pPr>
            <w:r>
              <w:rPr>
                <w:rFonts w:ascii="Arial" w:cs="Arial" w:eastAsia="Arial" w:hAnsi="Arial"/>
                <w:sz w:val="12"/>
                <w:szCs w:val="12"/>
                <w:color w:val="auto"/>
              </w:rPr>
              <w:t>Retail</w:t>
            </w:r>
          </w:p>
        </w:tc>
        <w:tc>
          <w:tcPr>
            <w:tcW w:w="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4"/>
              </w:rPr>
              <w:t>12.00%/1.00%</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7/13/2017</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1/13/2023</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9,277</w:t>
            </w: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9,247</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7,939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7/13/2017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2"/>
                <w:szCs w:val="12"/>
                <w:color w:val="auto"/>
              </w:rPr>
              <w:t>Component Manufacturing</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9,997</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7,939</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4"/>
              </w:rPr>
              <w:t>11.50%/0.00%</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4/30/2020</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5/23/2026</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11,500</w:t>
            </w: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w w:val="97"/>
              </w:rPr>
              <w:t>11,314</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11,500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4/30/2020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1,000</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1,847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2"/>
                <w:szCs w:val="12"/>
                <w:color w:val="auto"/>
              </w:rPr>
              <w:t>Consumer Products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12,314</w:t>
            </w: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13,347</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w w:val="94"/>
              </w:rPr>
              <w:t>12.25%/0.00%</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w w:val="96"/>
              </w:rPr>
              <w:t>12/31/2020</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6"/>
              </w:rPr>
              <w:t>12/31/2025</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5,925</w:t>
            </w: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5,895</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5,925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w w:val="94"/>
              </w:rPr>
              <w:t>12.25%/0.00%</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12/31/2020</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12/31/2025</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2,162</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2,147</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2,162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-961390</wp:posOffset>
            </wp:positionV>
            <wp:extent cx="7038340" cy="92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8340" cy="9207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-785495</wp:posOffset>
            </wp:positionV>
            <wp:extent cx="7038340" cy="83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8340" cy="8382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-601980</wp:posOffset>
            </wp:positionV>
            <wp:extent cx="7038340" cy="83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8340" cy="8382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-434340</wp:posOffset>
            </wp:positionV>
            <wp:extent cx="7038340" cy="83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8340" cy="8382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-250190</wp:posOffset>
            </wp:positionV>
            <wp:extent cx="7038340" cy="83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8340" cy="8382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-83185</wp:posOffset>
            </wp:positionV>
            <wp:extent cx="7038340" cy="83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8340" cy="838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20" w:space="720"/>
            <w:col w:w="7500"/>
          </w:cols>
          <w:pgMar w:left="320" w:top="451" w:right="239" w:bottom="1440" w:gutter="0" w:footer="0" w:header="0"/>
          <w:type w:val="continuous"/>
        </w:sectPr>
      </w:pPr>
    </w:p>
    <w:tbl>
      <w:tblPr>
        <w:tblLayout w:type="fixed"/>
        <w:tblInd w:w="2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8,042</w:t>
            </w: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8,087</w:t>
            </w:r>
          </w:p>
        </w:tc>
        <w:tc>
          <w:tcPr>
            <w:tcW w:w="6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Frontline Food Services, LLC (f/k/a Accent Food Services, LLC)</w:t>
            </w:r>
          </w:p>
        </w:tc>
        <w:tc>
          <w:tcPr>
            <w:tcW w:w="3120" w:type="dxa"/>
            <w:vAlign w:val="bottom"/>
            <w:shd w:val="clear" w:color="auto" w:fill="CCEEFF"/>
          </w:tcPr>
          <w:p>
            <w:pPr>
              <w:ind w:left="60"/>
              <w:spacing w:after="0" w:line="132" w:lineRule="exact"/>
              <w:rPr>
                <w:sz w:val="20"/>
                <w:szCs w:val="20"/>
                <w:color w:val="auto"/>
              </w:rPr>
            </w:pPr>
            <w:r>
              <w:rPr>
                <w:rFonts w:ascii="Arial" w:cs="Arial" w:eastAsia="Arial" w:hAnsi="Arial"/>
                <w:sz w:val="12"/>
                <w:szCs w:val="12"/>
                <w:color w:val="auto"/>
              </w:rPr>
              <w:t>Vending Equipment Manufacturing</w:t>
            </w: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Preferred Equity (Class A Units) (46 units) (j)</w:t>
            </w:r>
          </w:p>
        </w:tc>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9"/>
              </w:rPr>
              <w:t>12/31/2020</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2,000</w:t>
            </w:r>
          </w:p>
        </w:tc>
        <w:tc>
          <w:tcPr>
            <w:tcW w:w="5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1,825</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(Class B Units) (124 units) (j)</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9"/>
              </w:rPr>
              <w:t>12/31/2020</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Preferred Equity (Class C Units) (100 units) (j)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9"/>
              </w:rPr>
              <w:t>12/31/2020</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2,000</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1,825</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Global Plasma Solutions, Inc.</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Component Manufacturing</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(947 shares) (j)</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9/21/2018</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52</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6,108</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2"/>
                <w:szCs w:val="12"/>
                <w:i w:val="1"/>
                <w:iCs w:val="1"/>
                <w:color w:val="auto"/>
              </w:rPr>
              <w:t>GP&amp;C Operations, LLC (dba Garlock Printing and Converting)</w:t>
            </w:r>
          </w:p>
        </w:tc>
        <w:tc>
          <w:tcPr>
            <w:tcW w:w="3120" w:type="dxa"/>
            <w:vAlign w:val="bottom"/>
          </w:tcPr>
          <w:p>
            <w:pPr>
              <w:ind w:left="60"/>
              <w:spacing w:after="0"/>
              <w:rPr>
                <w:sz w:val="20"/>
                <w:szCs w:val="20"/>
                <w:color w:val="auto"/>
              </w:rPr>
            </w:pPr>
            <w:r>
              <w:rPr>
                <w:rFonts w:ascii="Arial" w:cs="Arial" w:eastAsia="Arial" w:hAnsi="Arial"/>
                <w:sz w:val="12"/>
                <w:szCs w:val="12"/>
                <w:color w:val="auto"/>
              </w:rPr>
              <w:t>Component Manufacturing</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(w)</w:t>
            </w:r>
          </w:p>
        </w:tc>
        <w:tc>
          <w:tcPr>
            <w:tcW w:w="3120" w:type="dxa"/>
            <w:vAlign w:val="bottom"/>
            <w:shd w:val="clear" w:color="auto" w:fill="CCEEFF"/>
          </w:tcPr>
          <w:p>
            <w:pPr>
              <w:ind w:left="1960"/>
              <w:spacing w:after="0" w:line="132" w:lineRule="exact"/>
              <w:rPr>
                <w:sz w:val="20"/>
                <w:szCs w:val="20"/>
                <w:color w:val="auto"/>
              </w:rPr>
            </w:pPr>
            <w:r>
              <w:rPr>
                <w:rFonts w:ascii="Arial" w:cs="Arial" w:eastAsia="Arial" w:hAnsi="Arial"/>
                <w:sz w:val="12"/>
                <w:szCs w:val="12"/>
                <w:color w:val="auto"/>
                <w:w w:val="99"/>
              </w:rPr>
              <w:t>(L + 7.25%) / (1.00%)</w:t>
            </w: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8.25%/0.00%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1/22/2021</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1/22/2026</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11,000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10,849</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10,849</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(515,625 units) (h)(j)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1/22/2021</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516</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516</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11,365</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11,365</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Gurobi Optimization, LLC</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Information Technology Services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(3 shares)</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9"/>
              </w:rPr>
              <w:t>12/19/2017</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607</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2,138</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2"/>
                <w:szCs w:val="12"/>
                <w:i w:val="1"/>
                <w:iCs w:val="1"/>
                <w:color w:val="auto"/>
              </w:rPr>
              <w:t>Haematologic Technologies, Inc.</w:t>
            </w:r>
          </w:p>
        </w:tc>
        <w:tc>
          <w:tcPr>
            <w:tcW w:w="3120" w:type="dxa"/>
            <w:vAlign w:val="bottom"/>
          </w:tcPr>
          <w:p>
            <w:pPr>
              <w:ind w:left="60"/>
              <w:spacing w:after="0"/>
              <w:rPr>
                <w:sz w:val="20"/>
                <w:szCs w:val="20"/>
                <w:color w:val="auto"/>
              </w:rPr>
            </w:pPr>
            <w:r>
              <w:rPr>
                <w:rFonts w:ascii="Arial" w:cs="Arial" w:eastAsia="Arial" w:hAnsi="Arial"/>
                <w:sz w:val="12"/>
                <w:szCs w:val="12"/>
                <w:color w:val="auto"/>
              </w:rPr>
              <w:t>Healthcare Services</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(x)</w:t>
            </w:r>
          </w:p>
        </w:tc>
        <w:tc>
          <w:tcPr>
            <w:tcW w:w="3120" w:type="dxa"/>
            <w:vAlign w:val="bottom"/>
            <w:shd w:val="clear" w:color="auto" w:fill="CCEEFF"/>
          </w:tcPr>
          <w:p>
            <w:pPr>
              <w:ind w:left="1960"/>
              <w:spacing w:after="0" w:line="132" w:lineRule="exact"/>
              <w:rPr>
                <w:sz w:val="20"/>
                <w:szCs w:val="20"/>
                <w:color w:val="auto"/>
              </w:rPr>
            </w:pPr>
            <w:r>
              <w:rPr>
                <w:rFonts w:ascii="Arial" w:cs="Arial" w:eastAsia="Arial" w:hAnsi="Arial"/>
                <w:sz w:val="12"/>
                <w:szCs w:val="12"/>
                <w:color w:val="auto"/>
                <w:w w:val="99"/>
              </w:rPr>
              <w:t>(L + 8.25%) / (2.00%)</w:t>
            </w: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7"/>
              </w:rPr>
              <w:t>10.25%/0.00%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9"/>
              </w:rPr>
              <w:t>10/11/2019</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w w:val="99"/>
              </w:rPr>
              <w:t>10/11/2024</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5,500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5,473</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4,759</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(549 units) (h)(j)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9"/>
              </w:rPr>
              <w:t>10/11/2019</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549</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6,022</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4,808</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Hallmark Health Care Solutions, Inc.</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Healthcare Services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(j)(ae)</w:t>
            </w:r>
          </w:p>
        </w:tc>
        <w:tc>
          <w:tcPr>
            <w:tcW w:w="3120" w:type="dxa"/>
            <w:vAlign w:val="bottom"/>
            <w:shd w:val="clear" w:color="auto" w:fill="CCEEFF"/>
          </w:tcPr>
          <w:p>
            <w:pPr>
              <w:ind w:left="1960"/>
              <w:spacing w:after="0" w:line="132" w:lineRule="exact"/>
              <w:rPr>
                <w:sz w:val="20"/>
                <w:szCs w:val="20"/>
                <w:color w:val="auto"/>
              </w:rPr>
            </w:pPr>
            <w:r>
              <w:rPr>
                <w:rFonts w:ascii="Arial" w:cs="Arial" w:eastAsia="Arial" w:hAnsi="Arial"/>
                <w:sz w:val="12"/>
                <w:szCs w:val="12"/>
                <w:color w:val="auto"/>
                <w:w w:val="99"/>
              </w:rPr>
              <w:t>(L + 7.25%) / (1.50%)</w:t>
            </w: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8.75%/0.00%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12/4/2020</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12/4/2025</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8,460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8,404</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8,460</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(750,000 units) (j)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12/4/2020</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750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1,633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9,154</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10,093</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Healthfuse, LLC</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Healthcare Services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(af)</w:t>
            </w:r>
          </w:p>
        </w:tc>
        <w:tc>
          <w:tcPr>
            <w:tcW w:w="3120" w:type="dxa"/>
            <w:vAlign w:val="bottom"/>
            <w:shd w:val="clear" w:color="auto" w:fill="CCEEFF"/>
          </w:tcPr>
          <w:p>
            <w:pPr>
              <w:ind w:left="1960"/>
              <w:spacing w:after="0" w:line="132" w:lineRule="exact"/>
              <w:rPr>
                <w:sz w:val="20"/>
                <w:szCs w:val="20"/>
                <w:color w:val="auto"/>
              </w:rPr>
            </w:pPr>
            <w:r>
              <w:rPr>
                <w:rFonts w:ascii="Arial" w:cs="Arial" w:eastAsia="Arial" w:hAnsi="Arial"/>
                <w:sz w:val="12"/>
                <w:szCs w:val="12"/>
                <w:color w:val="auto"/>
                <w:w w:val="99"/>
              </w:rPr>
              <w:t>(L + 7.25%) / (1.00%)</w:t>
            </w: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8.25%/0.00%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9"/>
              </w:rPr>
              <w:t>11/13/2020</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w w:val="99"/>
              </w:rPr>
              <w:t>11/13/2025</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5,985</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5,949</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5,985</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Preferred Equity (197,980 units)</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9"/>
              </w:rPr>
              <w:t>11/13/2020</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750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6,699</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6,786</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Hub Acquisition Sub, LLC (dba Hub Pen)</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Promotional products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7"/>
              </w:rPr>
              <w:t>13.50%/0.00%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3/23/2016</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3/31/2023</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25,000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24,979</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21,672</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(3,750 units)</w:t>
            </w:r>
          </w:p>
        </w:tc>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3/23/2016</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128</w:t>
            </w:r>
          </w:p>
        </w:tc>
        <w:tc>
          <w:tcPr>
            <w:tcW w:w="12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(868 units) (j)</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9"/>
              </w:rPr>
              <w:t>10/16/2020</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25,260</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21,672</w:t>
            </w:r>
          </w:p>
        </w:tc>
        <w:tc>
          <w:tcPr>
            <w:tcW w:w="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IBH Holdings, LLC (fka Inflexxion, Inc.)</w:t>
            </w:r>
          </w:p>
        </w:tc>
        <w:tc>
          <w:tcPr>
            <w:tcW w:w="3120" w:type="dxa"/>
            <w:vAlign w:val="bottom"/>
            <w:shd w:val="clear" w:color="auto" w:fill="CCEEFF"/>
          </w:tcPr>
          <w:p>
            <w:pPr>
              <w:ind w:left="60"/>
              <w:spacing w:after="0" w:line="132" w:lineRule="exact"/>
              <w:rPr>
                <w:sz w:val="20"/>
                <w:szCs w:val="20"/>
                <w:color w:val="auto"/>
              </w:rPr>
            </w:pPr>
            <w:r>
              <w:rPr>
                <w:rFonts w:ascii="Arial" w:cs="Arial" w:eastAsia="Arial" w:hAnsi="Arial"/>
                <w:sz w:val="12"/>
                <w:szCs w:val="12"/>
                <w:color w:val="auto"/>
              </w:rPr>
              <w:t>Business Services</w:t>
            </w: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ind w:left="240"/>
              <w:spacing w:after="0"/>
              <w:rPr>
                <w:sz w:val="20"/>
                <w:szCs w:val="20"/>
                <w:color w:val="auto"/>
              </w:rPr>
            </w:pPr>
            <w:r>
              <w:rPr>
                <w:rFonts w:ascii="Arial" w:cs="Arial" w:eastAsia="Arial" w:hAnsi="Arial"/>
                <w:sz w:val="12"/>
                <w:szCs w:val="12"/>
                <w:color w:val="auto"/>
              </w:rPr>
              <w:t>Common Equity (150,000 units)</w:t>
            </w: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6/20/2018</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390</w:t>
            </w:r>
          </w:p>
        </w:tc>
        <w:tc>
          <w:tcPr>
            <w:tcW w:w="600" w:type="dxa"/>
            <w:vAlign w:val="bottom"/>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5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Ipro Tech, LLC</w:t>
            </w:r>
          </w:p>
        </w:tc>
        <w:tc>
          <w:tcPr>
            <w:tcW w:w="3120" w:type="dxa"/>
            <w:vAlign w:val="bottom"/>
            <w:shd w:val="clear" w:color="auto" w:fill="CCEEFF"/>
          </w:tcPr>
          <w:p>
            <w:pPr>
              <w:ind w:left="60"/>
              <w:spacing w:after="0" w:line="132" w:lineRule="exact"/>
              <w:rPr>
                <w:sz w:val="20"/>
                <w:szCs w:val="20"/>
                <w:color w:val="auto"/>
              </w:rPr>
            </w:pPr>
            <w:r>
              <w:rPr>
                <w:rFonts w:ascii="Arial" w:cs="Arial" w:eastAsia="Arial" w:hAnsi="Arial"/>
                <w:sz w:val="12"/>
                <w:szCs w:val="12"/>
                <w:color w:val="auto"/>
              </w:rPr>
              <w:t>Information Technology Services</w:t>
            </w: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ind w:left="240"/>
              <w:spacing w:after="0"/>
              <w:rPr>
                <w:sz w:val="20"/>
                <w:szCs w:val="20"/>
                <w:color w:val="auto"/>
              </w:rPr>
            </w:pPr>
            <w:r>
              <w:rPr>
                <w:rFonts w:ascii="Arial" w:cs="Arial" w:eastAsia="Arial" w:hAnsi="Arial"/>
                <w:sz w:val="12"/>
                <w:szCs w:val="12"/>
                <w:color w:val="auto"/>
              </w:rPr>
              <w:t>First Lien Debt (j)(u)</w:t>
            </w:r>
          </w:p>
        </w:tc>
        <w:tc>
          <w:tcPr>
            <w:tcW w:w="3120" w:type="dxa"/>
            <w:vAlign w:val="bottom"/>
          </w:tcPr>
          <w:p>
            <w:pPr>
              <w:ind w:left="1960"/>
              <w:spacing w:after="0"/>
              <w:rPr>
                <w:sz w:val="20"/>
                <w:szCs w:val="20"/>
                <w:color w:val="auto"/>
              </w:rPr>
            </w:pPr>
            <w:r>
              <w:rPr>
                <w:rFonts w:ascii="Arial" w:cs="Arial" w:eastAsia="Arial" w:hAnsi="Arial"/>
                <w:sz w:val="12"/>
                <w:szCs w:val="12"/>
                <w:color w:val="auto"/>
                <w:w w:val="99"/>
              </w:rPr>
              <w:t>(L + 8.50%) / (2.00%)</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w w:val="97"/>
              </w:rPr>
              <w:t>10.50%/0.00%</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6/30/2020</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6/30/2025</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2,453</w:t>
            </w:r>
          </w:p>
        </w:tc>
        <w:tc>
          <w:tcPr>
            <w:tcW w:w="380" w:type="dxa"/>
            <w:vAlign w:val="bottom"/>
          </w:tcPr>
          <w:p>
            <w:pPr>
              <w:jc w:val="right"/>
              <w:spacing w:after="0"/>
              <w:rPr>
                <w:sz w:val="20"/>
                <w:szCs w:val="20"/>
                <w:color w:val="auto"/>
              </w:rPr>
            </w:pPr>
            <w:r>
              <w:rPr>
                <w:rFonts w:ascii="Arial" w:cs="Arial" w:eastAsia="Arial" w:hAnsi="Arial"/>
                <w:sz w:val="12"/>
                <w:szCs w:val="12"/>
                <w:color w:val="auto"/>
              </w:rPr>
              <w:t>1,961</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2,438</w:t>
            </w: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5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ISI PSG Holdings, LLC (dba Incentive Solutions, Inc.)</w:t>
            </w:r>
          </w:p>
        </w:tc>
        <w:tc>
          <w:tcPr>
            <w:tcW w:w="3120" w:type="dxa"/>
            <w:vAlign w:val="bottom"/>
            <w:shd w:val="clear" w:color="auto" w:fill="CCEEFF"/>
          </w:tcPr>
          <w:p>
            <w:pPr>
              <w:ind w:left="60"/>
              <w:spacing w:after="0" w:line="132" w:lineRule="exact"/>
              <w:rPr>
                <w:sz w:val="20"/>
                <w:szCs w:val="20"/>
                <w:color w:val="auto"/>
              </w:rPr>
            </w:pPr>
            <w:r>
              <w:rPr>
                <w:rFonts w:ascii="Arial" w:cs="Arial" w:eastAsia="Arial" w:hAnsi="Arial"/>
                <w:sz w:val="12"/>
                <w:szCs w:val="12"/>
                <w:color w:val="auto"/>
              </w:rPr>
              <w:t>Business Services</w:t>
            </w: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First Lien Debt (j)(aj)</w:t>
            </w:r>
          </w:p>
        </w:tc>
        <w:tc>
          <w:tcPr>
            <w:tcW w:w="3120" w:type="dxa"/>
            <w:vAlign w:val="bottom"/>
          </w:tcPr>
          <w:p>
            <w:pPr>
              <w:ind w:left="1960"/>
              <w:spacing w:after="0" w:line="132" w:lineRule="exact"/>
              <w:rPr>
                <w:sz w:val="20"/>
                <w:szCs w:val="20"/>
                <w:color w:val="auto"/>
              </w:rPr>
            </w:pPr>
            <w:r>
              <w:rPr>
                <w:rFonts w:ascii="Arial" w:cs="Arial" w:eastAsia="Arial" w:hAnsi="Arial"/>
                <w:sz w:val="12"/>
                <w:szCs w:val="12"/>
                <w:color w:val="auto"/>
                <w:w w:val="99"/>
              </w:rPr>
              <w:t>(L + 7.50%) / (0.50%)</w:t>
            </w:r>
          </w:p>
        </w:tc>
        <w:tc>
          <w:tcPr>
            <w:tcW w:w="860" w:type="dxa"/>
            <w:vAlign w:val="bottom"/>
          </w:tcPr>
          <w:p>
            <w:pPr>
              <w:jc w:val="right"/>
              <w:ind w:right="19"/>
              <w:spacing w:after="0" w:line="132" w:lineRule="exact"/>
              <w:rPr>
                <w:sz w:val="20"/>
                <w:szCs w:val="20"/>
                <w:color w:val="auto"/>
              </w:rPr>
            </w:pPr>
            <w:r>
              <w:rPr>
                <w:rFonts w:ascii="Arial" w:cs="Arial" w:eastAsia="Arial" w:hAnsi="Arial"/>
                <w:sz w:val="12"/>
                <w:szCs w:val="12"/>
                <w:color w:val="auto"/>
              </w:rPr>
              <w:t>8.00%/0.00%</w:t>
            </w: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4/5/2021</w:t>
            </w:r>
          </w:p>
        </w:tc>
        <w:tc>
          <w:tcPr>
            <w:tcW w:w="740" w:type="dxa"/>
            <w:vAlign w:val="bottom"/>
          </w:tcPr>
          <w:p>
            <w:pPr>
              <w:jc w:val="right"/>
              <w:ind w:right="59"/>
              <w:spacing w:after="0" w:line="132" w:lineRule="exact"/>
              <w:rPr>
                <w:sz w:val="20"/>
                <w:szCs w:val="20"/>
                <w:color w:val="auto"/>
              </w:rPr>
            </w:pPr>
            <w:r>
              <w:rPr>
                <w:rFonts w:ascii="Arial" w:cs="Arial" w:eastAsia="Arial" w:hAnsi="Arial"/>
                <w:sz w:val="12"/>
                <w:szCs w:val="12"/>
                <w:color w:val="auto"/>
              </w:rPr>
              <w:t>4/5/2026</w:t>
            </w:r>
          </w:p>
        </w:tc>
        <w:tc>
          <w:tcPr>
            <w:tcW w:w="560" w:type="dxa"/>
            <w:vAlign w:val="bottom"/>
          </w:tcPr>
          <w:p>
            <w:pPr>
              <w:jc w:val="right"/>
              <w:ind w:right="39"/>
              <w:spacing w:after="0" w:line="132" w:lineRule="exact"/>
              <w:rPr>
                <w:sz w:val="20"/>
                <w:szCs w:val="20"/>
                <w:color w:val="auto"/>
              </w:rPr>
            </w:pPr>
            <w:r>
              <w:rPr>
                <w:rFonts w:ascii="Arial" w:cs="Arial" w:eastAsia="Arial" w:hAnsi="Arial"/>
                <w:sz w:val="12"/>
                <w:szCs w:val="12"/>
                <w:color w:val="auto"/>
              </w:rPr>
              <w:t>11,500</w:t>
            </w: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11,410</w:t>
            </w:r>
          </w:p>
        </w:tc>
        <w:tc>
          <w:tcPr>
            <w:tcW w:w="5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11,410</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(j)(an)</w:t>
            </w:r>
          </w:p>
        </w:tc>
        <w:tc>
          <w:tcPr>
            <w:tcW w:w="3120" w:type="dxa"/>
            <w:vAlign w:val="bottom"/>
            <w:shd w:val="clear" w:color="auto" w:fill="CCEEFF"/>
          </w:tcPr>
          <w:p>
            <w:pPr>
              <w:ind w:left="1960"/>
              <w:spacing w:after="0" w:line="132" w:lineRule="exact"/>
              <w:rPr>
                <w:sz w:val="20"/>
                <w:szCs w:val="20"/>
                <w:color w:val="auto"/>
              </w:rPr>
            </w:pPr>
            <w:r>
              <w:rPr>
                <w:rFonts w:ascii="Arial" w:cs="Arial" w:eastAsia="Arial" w:hAnsi="Arial"/>
                <w:sz w:val="12"/>
                <w:szCs w:val="12"/>
                <w:color w:val="auto"/>
                <w:w w:val="99"/>
              </w:rPr>
              <w:t>(L + 7.50%) / (0.50%)</w:t>
            </w: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8.00%/0.00%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6/30/2021</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4/5/2026</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13,500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13,500</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13,500</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(256,964 units) (h)(j)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4/5/2021</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500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25,410</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25,410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w w:val="95"/>
              </w:rPr>
              <w:t>K2 Merger Agreement Agent, LLC (fka K2 Industrial Services, Inc.) (n)</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Industrial Cleaning &amp; Coatings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7"/>
              </w:rPr>
              <w:t>0.00%/10.00%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1/28/2019</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1/28/2023</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2,250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2,250</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2,250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The Kyjen Company, LLC (dba Outward Hound)</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Consumer Products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(855 shares) (j)</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12/8/2017</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933</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1,601</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2"/>
                <w:szCs w:val="12"/>
                <w:i w:val="1"/>
                <w:iCs w:val="1"/>
                <w:color w:val="auto"/>
              </w:rPr>
              <w:t>Level Education Group, LLC (dba CE4Less)</w:t>
            </w:r>
          </w:p>
        </w:tc>
        <w:tc>
          <w:tcPr>
            <w:tcW w:w="3120" w:type="dxa"/>
            <w:vAlign w:val="bottom"/>
          </w:tcPr>
          <w:p>
            <w:pPr>
              <w:ind w:left="60"/>
              <w:spacing w:after="0"/>
              <w:rPr>
                <w:sz w:val="20"/>
                <w:szCs w:val="20"/>
                <w:color w:val="auto"/>
              </w:rPr>
            </w:pPr>
            <w:r>
              <w:rPr>
                <w:rFonts w:ascii="Arial" w:cs="Arial" w:eastAsia="Arial" w:hAnsi="Arial"/>
                <w:sz w:val="12"/>
                <w:szCs w:val="12"/>
                <w:color w:val="auto"/>
              </w:rPr>
              <w:t>Business Services</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(ak)</w:t>
            </w:r>
          </w:p>
        </w:tc>
        <w:tc>
          <w:tcPr>
            <w:tcW w:w="3120" w:type="dxa"/>
            <w:vAlign w:val="bottom"/>
            <w:shd w:val="clear" w:color="auto" w:fill="CCEEFF"/>
          </w:tcPr>
          <w:p>
            <w:pPr>
              <w:ind w:left="1960"/>
              <w:spacing w:after="0" w:line="132" w:lineRule="exact"/>
              <w:rPr>
                <w:sz w:val="20"/>
                <w:szCs w:val="20"/>
                <w:color w:val="auto"/>
              </w:rPr>
            </w:pPr>
            <w:r>
              <w:rPr>
                <w:rFonts w:ascii="Arial" w:cs="Arial" w:eastAsia="Arial" w:hAnsi="Arial"/>
                <w:sz w:val="12"/>
                <w:szCs w:val="12"/>
                <w:color w:val="auto"/>
                <w:w w:val="99"/>
              </w:rPr>
              <w:t>(L + 6.75%) / (0.50%)</w:t>
            </w: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7.25%/0.00%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4/1/2021</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4/1/2026</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5,500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5,461</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5,461</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(1,000,000 units) (j)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4/1/2021</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6,461</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6,461</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LifeSpan Biosciences, Inc.</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Healthcare Products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Subordinated Debt (j)</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7"/>
              </w:rPr>
              <w:t>11.50%/0.00%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3/19/2021</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rPr>
              <w:t>9/19/2026</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16,000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15,924</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15,924</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(100 shares) (j)</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3/19/2021</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16,924</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16,924</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LNG Indy, LLC (dba Kinetrex Energy)</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Oil &amp; Gas Distribution</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7"/>
              </w:rPr>
              <w:t>11.50%/0.00%</w:t>
            </w: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9"/>
              </w:rPr>
              <w:t>12/28/2016</w:t>
            </w:r>
          </w:p>
        </w:tc>
        <w:tc>
          <w:tcPr>
            <w:tcW w:w="740" w:type="dxa"/>
            <w:vAlign w:val="bottom"/>
            <w:shd w:val="clear" w:color="auto" w:fill="CCEEFF"/>
          </w:tcPr>
          <w:p>
            <w:pPr>
              <w:jc w:val="right"/>
              <w:ind w:right="59"/>
              <w:spacing w:after="0" w:line="132" w:lineRule="exact"/>
              <w:rPr>
                <w:sz w:val="20"/>
                <w:szCs w:val="20"/>
                <w:color w:val="auto"/>
              </w:rPr>
            </w:pPr>
            <w:r>
              <w:rPr>
                <w:rFonts w:ascii="Arial" w:cs="Arial" w:eastAsia="Arial" w:hAnsi="Arial"/>
                <w:sz w:val="12"/>
                <w:szCs w:val="12"/>
                <w:color w:val="auto"/>
                <w:w w:val="99"/>
              </w:rPr>
              <w:t>12/31/2023</w:t>
            </w:r>
          </w:p>
        </w:tc>
        <w:tc>
          <w:tcPr>
            <w:tcW w:w="56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rPr>
              <w:t>11,000</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10,986</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11,000</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Common Equity (500 units)</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9"/>
              </w:rPr>
              <w:t>12/28/2016</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500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1,689</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11,486</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12,689</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line="132" w:lineRule="exact"/>
              <w:rPr>
                <w:sz w:val="20"/>
                <w:szCs w:val="20"/>
                <w:color w:val="auto"/>
              </w:rPr>
            </w:pPr>
            <w:r>
              <w:rPr>
                <w:rFonts w:ascii="Arial" w:cs="Arial" w:eastAsia="Arial" w:hAnsi="Arial"/>
                <w:sz w:val="12"/>
                <w:szCs w:val="12"/>
                <w:i w:val="1"/>
                <w:iCs w:val="1"/>
                <w:color w:val="auto"/>
              </w:rPr>
              <w:t>Midwest Transit Equipment, Inc.</w:t>
            </w:r>
          </w:p>
        </w:tc>
        <w:tc>
          <w:tcPr>
            <w:tcW w:w="3120" w:type="dxa"/>
            <w:vAlign w:val="bottom"/>
          </w:tcPr>
          <w:p>
            <w:pPr>
              <w:ind w:left="60"/>
              <w:spacing w:after="0" w:line="132" w:lineRule="exact"/>
              <w:rPr>
                <w:sz w:val="20"/>
                <w:szCs w:val="20"/>
                <w:color w:val="auto"/>
              </w:rPr>
            </w:pPr>
            <w:r>
              <w:rPr>
                <w:rFonts w:ascii="Arial" w:cs="Arial" w:eastAsia="Arial" w:hAnsi="Arial"/>
                <w:sz w:val="12"/>
                <w:szCs w:val="12"/>
                <w:color w:val="auto"/>
              </w:rPr>
              <w:t>Transportation services</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ind w:left="240"/>
              <w:spacing w:after="0" w:line="132" w:lineRule="exact"/>
              <w:rPr>
                <w:sz w:val="20"/>
                <w:szCs w:val="20"/>
                <w:color w:val="auto"/>
              </w:rPr>
            </w:pPr>
            <w:r>
              <w:rPr>
                <w:rFonts w:ascii="Arial" w:cs="Arial" w:eastAsia="Arial" w:hAnsi="Arial"/>
                <w:sz w:val="12"/>
                <w:szCs w:val="12"/>
                <w:color w:val="auto"/>
              </w:rPr>
              <w:t>Warrant (7,192 shares) (j)(m)</w:t>
            </w: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6/23/2017</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180</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18</w:t>
            </w: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ind w:left="240"/>
              <w:spacing w:after="0" w:line="132" w:lineRule="exact"/>
              <w:rPr>
                <w:sz w:val="20"/>
                <w:szCs w:val="20"/>
                <w:color w:val="auto"/>
              </w:rPr>
            </w:pPr>
            <w:r>
              <w:rPr>
                <w:rFonts w:ascii="Arial" w:cs="Arial" w:eastAsia="Arial" w:hAnsi="Arial"/>
                <w:sz w:val="12"/>
                <w:szCs w:val="12"/>
                <w:color w:val="auto"/>
              </w:rPr>
              <w:t>Warrant (4.79% of Junior Subordinated Notes) (j)(q)</w:t>
            </w: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6/23/2017</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190</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256</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370</w:t>
            </w:r>
          </w:p>
        </w:tc>
        <w:tc>
          <w:tcPr>
            <w:tcW w:w="5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274</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451" w:right="2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June 30, 2021</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346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 (a)(b)</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Variable Index</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Rate (e)</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Investment</w:t>
            </w:r>
          </w:p>
        </w:tc>
        <w:tc>
          <w:tcPr>
            <w:tcW w:w="600" w:type="dxa"/>
            <w:vAlign w:val="bottom"/>
          </w:tcPr>
          <w:p>
            <w:pPr>
              <w:spacing w:after="0"/>
              <w:rPr>
                <w:sz w:val="12"/>
                <w:szCs w:val="12"/>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4"/>
              </w:rPr>
              <w:t>Principal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rPr>
                <w:sz w:val="20"/>
                <w:szCs w:val="20"/>
                <w:color w:val="auto"/>
              </w:rPr>
            </w:pPr>
            <w:r>
              <w:rPr>
                <w:rFonts w:ascii="Arial" w:cs="Arial" w:eastAsia="Arial" w:hAnsi="Arial"/>
                <w:sz w:val="12"/>
                <w:szCs w:val="12"/>
                <w:b w:val="1"/>
                <w:bCs w:val="1"/>
                <w:color w:val="auto"/>
              </w:rPr>
              <w:t>Fair</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45"/>
        </w:trPr>
        <w:tc>
          <w:tcPr>
            <w:tcW w:w="3460" w:type="dxa"/>
            <w:vAlign w:val="bottom"/>
            <w:gridSpan w:val="3"/>
          </w:tcPr>
          <w:p>
            <w:pPr>
              <w:spacing w:after="0"/>
              <w:rPr>
                <w:sz w:val="20"/>
                <w:szCs w:val="20"/>
                <w:color w:val="auto"/>
              </w:rPr>
            </w:pPr>
            <w:r>
              <w:rPr>
                <w:rFonts w:ascii="Arial" w:cs="Arial" w:eastAsia="Arial" w:hAnsi="Arial"/>
                <w:sz w:val="12"/>
                <w:szCs w:val="12"/>
                <w:b w:val="1"/>
                <w:bCs w:val="1"/>
                <w:color w:val="auto"/>
              </w:rPr>
              <w:t>Investment Type (c)</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Industry</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Spread / Floor (d)</w:t>
            </w:r>
          </w:p>
        </w:tc>
        <w:tc>
          <w:tcPr>
            <w:tcW w:w="8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Cash/PIK</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Date (f)</w:t>
            </w:r>
          </w:p>
        </w:tc>
        <w:tc>
          <w:tcPr>
            <w:tcW w:w="600" w:type="dxa"/>
            <w:vAlign w:val="bottom"/>
          </w:tcPr>
          <w:p>
            <w:pPr>
              <w:jc w:val="right"/>
              <w:ind w:right="19"/>
              <w:spacing w:after="0"/>
              <w:rPr>
                <w:sz w:val="20"/>
                <w:szCs w:val="20"/>
                <w:color w:val="auto"/>
              </w:rPr>
            </w:pPr>
            <w:r>
              <w:rPr>
                <w:rFonts w:ascii="Arial" w:cs="Arial" w:eastAsia="Arial" w:hAnsi="Arial"/>
                <w:sz w:val="12"/>
                <w:szCs w:val="12"/>
                <w:b w:val="1"/>
                <w:bCs w:val="1"/>
                <w:color w:val="auto"/>
              </w:rPr>
              <w:t>Maturity</w:t>
            </w:r>
          </w:p>
        </w:tc>
        <w:tc>
          <w:tcPr>
            <w:tcW w:w="10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tcPr>
          <w:p>
            <w:pPr>
              <w:jc w:val="right"/>
              <w:ind w:right="19"/>
              <w:spacing w:after="0"/>
              <w:rPr>
                <w:sz w:val="20"/>
                <w:szCs w:val="20"/>
                <w:color w:val="auto"/>
              </w:rPr>
            </w:pPr>
            <w:r>
              <w:rPr>
                <w:rFonts w:ascii="Arial" w:cs="Arial" w:eastAsia="Arial" w:hAnsi="Arial"/>
                <w:sz w:val="12"/>
                <w:szCs w:val="12"/>
                <w:b w:val="1"/>
                <w:bCs w:val="1"/>
                <w:color w:val="auto"/>
              </w:rPr>
              <w:t>Cost</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(g)</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9"/>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i w:val="1"/>
                <w:iCs w:val="1"/>
                <w:color w:val="auto"/>
              </w:rPr>
              <w:t>NGT Acquisition Holdings, LLC (dba Techniks Industries)</w:t>
            </w:r>
          </w:p>
        </w:tc>
        <w:tc>
          <w:tcPr>
            <w:tcW w:w="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Component Manufacturing</w:t>
            </w: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(378 units) (j)</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5/24/2017</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238</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OMC Investors, LLC (dba Ohio Medical Corporation)</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Healthcare Products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13.00%/0.00%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1/26/2021</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6/30/2024</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5,000</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4,956</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(5,000 units)</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1/15/2016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215</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721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5,171</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5,721</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Palisade Company,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w w:val="98"/>
              </w:rPr>
              <w:t>Information Technology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(50 shares) (j)</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11/15/2018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1,010</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Palmetto Moon,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Retail</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(499 units) (j)</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11/3/2016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494</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513</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Pool &amp; Electrical Products,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11.75%/0.00%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10/28/2020</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4/28/2027</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12,000</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11,892</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12,000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(15,000 units)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10/28/2020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1,500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3,688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13,392</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15,688</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Power Grid Components, Inc.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11.00%/0.50%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12/2/2025</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17,488</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17,420</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17,488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(392 shares)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392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535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Preferred Equity (48 shares)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12/2/2019</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48</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(10,622 shares)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462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585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18,322</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18,674</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Prime AE Group, Inc.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First Lien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(L + 6.25%) / (2.00%)</w:t>
            </w: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8.25%/0.00%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11/25/2019</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11/25/2024</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6,500</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6,369</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6,500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(500,000 shares)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11/25/2019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500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568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6,869</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7,068</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Pugh Lubricants, LLC (n)</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(3,062 units) (h)(j)</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11/10/2016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23</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Revenue Management Solutions,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w w:val="98"/>
              </w:rPr>
              <w:t>Information Technology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(113 shares)</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1/4/2017</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1,125</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3,982</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Rhino Assembly Company,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12.00%/1.50%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8/11/2017</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2/11/2023</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10,748</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10,729</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10,748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w w:val="95"/>
              </w:rPr>
              <w:t>Delayed Draw Commitment ($875 unfunded commitment) (i)(j)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12.00%/1.50%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8/11/2017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5/17/2022</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(Class A Units) (8,864 units) (h)(j)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8/11/2017</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944</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694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(Units N/A)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12/10/2020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136</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(Class F Units) (355 units) (h)(j)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12/10/2020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11,809</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11,586</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Road Safety Services, Inc.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11.25%/1.00%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9/18/2018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3/18/2024</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10,451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10,427</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10,451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(655 units)</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9/18/2018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621</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972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11,048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11,423</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Routeware, Inc.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w w:val="98"/>
              </w:rPr>
              <w:t>Information Technology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(k)(aa)</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40"/>
              <w:spacing w:after="0" w:line="132" w:lineRule="exact"/>
              <w:rPr>
                <w:sz w:val="20"/>
                <w:szCs w:val="20"/>
                <w:color w:val="auto"/>
              </w:rPr>
            </w:pPr>
            <w:r>
              <w:rPr>
                <w:rFonts w:ascii="Arial" w:cs="Arial" w:eastAsia="Arial" w:hAnsi="Arial"/>
                <w:sz w:val="12"/>
                <w:szCs w:val="12"/>
                <w:color w:val="auto"/>
              </w:rPr>
              <w:t>(L + 6.75%) / (1.25%)</w:t>
            </w: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8.00%/0.00%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2/7/2026</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16,845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16,759</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16,845</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2"/>
                <w:szCs w:val="12"/>
                <w:i w:val="1"/>
                <w:iCs w:val="1"/>
                <w:color w:val="auto"/>
              </w:rPr>
              <w:t>SES Investors, LLC (dba SES Foam)</w:t>
            </w:r>
          </w:p>
        </w:tc>
        <w:tc>
          <w:tcPr>
            <w:tcW w:w="1760" w:type="dxa"/>
            <w:vAlign w:val="bottom"/>
            <w:gridSpan w:val="3"/>
          </w:tcPr>
          <w:p>
            <w:pPr>
              <w:ind w:left="20"/>
              <w:spacing w:after="0"/>
              <w:rPr>
                <w:sz w:val="20"/>
                <w:szCs w:val="20"/>
                <w:color w:val="auto"/>
              </w:rPr>
            </w:pPr>
            <w:r>
              <w:rPr>
                <w:rFonts w:ascii="Arial" w:cs="Arial" w:eastAsia="Arial" w:hAnsi="Arial"/>
                <w:sz w:val="12"/>
                <w:szCs w:val="12"/>
                <w:color w:val="auto"/>
                <w:w w:val="99"/>
              </w:rPr>
              <w:t>Building Products Manufacturing</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9/8/2016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(6,000 units) (h)(j)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9/8/2016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537</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2,091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537</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2,091</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Specialized Elevator Services Holdings, LLC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(j)(y)</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40"/>
              <w:spacing w:after="0" w:line="132" w:lineRule="exact"/>
              <w:rPr>
                <w:sz w:val="20"/>
                <w:szCs w:val="20"/>
                <w:color w:val="auto"/>
              </w:rPr>
            </w:pPr>
            <w:r>
              <w:rPr>
                <w:rFonts w:ascii="Arial" w:cs="Arial" w:eastAsia="Arial" w:hAnsi="Arial"/>
                <w:sz w:val="12"/>
                <w:szCs w:val="12"/>
                <w:color w:val="auto"/>
              </w:rPr>
              <w:t>(L + 5.50%) / (2.00%)</w:t>
            </w: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7.50%/0.00%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5/7/2019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5/3/2024</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12,889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12,798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12,889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(596 units) (j)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5/8/2019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596</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586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13,394</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13,475</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SpendMend LLC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(1,000,000 units)</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1/8/2018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967</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2,000</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2"/>
                <w:szCs w:val="12"/>
                <w:i w:val="1"/>
                <w:iCs w:val="1"/>
                <w:color w:val="auto"/>
              </w:rPr>
              <w:t>TransGo, LLC</w:t>
            </w:r>
          </w:p>
        </w:tc>
        <w:tc>
          <w:tcPr>
            <w:tcW w:w="1760" w:type="dxa"/>
            <w:vAlign w:val="bottom"/>
            <w:gridSpan w:val="3"/>
          </w:tcPr>
          <w:p>
            <w:pPr>
              <w:ind w:left="20"/>
              <w:spacing w:after="0"/>
              <w:rPr>
                <w:sz w:val="20"/>
                <w:szCs w:val="20"/>
                <w:color w:val="auto"/>
              </w:rPr>
            </w:pPr>
            <w:r>
              <w:rPr>
                <w:rFonts w:ascii="Arial" w:cs="Arial" w:eastAsia="Arial" w:hAnsi="Arial"/>
                <w:sz w:val="12"/>
                <w:szCs w:val="12"/>
                <w:color w:val="auto"/>
              </w:rPr>
              <w:t>Component Manufacturing</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(500 units)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2/28/2017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430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1,416</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2"/>
                <w:szCs w:val="12"/>
                <w:i w:val="1"/>
                <w:iCs w:val="1"/>
                <w:color w:val="auto"/>
              </w:rPr>
              <w:t>The Tranzonic Companies</w:t>
            </w:r>
          </w:p>
        </w:tc>
        <w:tc>
          <w:tcPr>
            <w:tcW w:w="1760" w:type="dxa"/>
            <w:vAlign w:val="bottom"/>
            <w:gridSpan w:val="3"/>
          </w:tcPr>
          <w:p>
            <w:pPr>
              <w:ind w:left="20"/>
              <w:spacing w:after="0"/>
              <w:rPr>
                <w:sz w:val="20"/>
                <w:szCs w:val="20"/>
                <w:color w:val="auto"/>
              </w:rPr>
            </w:pPr>
            <w:r>
              <w:rPr>
                <w:rFonts w:ascii="Arial" w:cs="Arial" w:eastAsia="Arial" w:hAnsi="Arial"/>
                <w:sz w:val="12"/>
                <w:szCs w:val="12"/>
                <w:color w:val="auto"/>
              </w:rPr>
              <w:t>Specialty Distribution</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Subordinated Debt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10.00%/1.00%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3/27/2018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3/27/2025</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7,037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7,000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7,037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Preferred Equity (5,653 units)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3/27/2018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565</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765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 units)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3/27/2018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1,227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7,565</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9,029</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UBEO,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Subordinated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11.00%/0.00%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4/3/2018</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10/3/2024</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13,893</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13,824</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13,893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(705,000 units)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4/3/2018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668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866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14,492</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14,759</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United Biologics,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Healthcare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Preferred Equity (98,377 units) (h)(j)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4/1/2012</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1,008</w:t>
            </w:r>
          </w:p>
        </w:tc>
        <w:tc>
          <w:tcPr>
            <w:tcW w:w="10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Warrant (57,469 units) (j)(m)</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3/5/2012</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566</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1,574</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UPG Company,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Component Manufacturing</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First Lien Debt (j)(al)</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color w:val="auto"/>
              </w:rPr>
              <w:t>(L + 8.25%) / (0.50%)</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8.75%/0.00%</w:t>
            </w:r>
          </w:p>
        </w:tc>
        <w:tc>
          <w:tcPr>
            <w:tcW w:w="600" w:type="dxa"/>
            <w:vAlign w:val="bottom"/>
          </w:tcPr>
          <w:p>
            <w:pPr>
              <w:jc w:val="right"/>
              <w:spacing w:after="0"/>
              <w:rPr>
                <w:sz w:val="20"/>
                <w:szCs w:val="20"/>
                <w:color w:val="auto"/>
              </w:rPr>
            </w:pPr>
            <w:r>
              <w:rPr>
                <w:rFonts w:ascii="Arial" w:cs="Arial" w:eastAsia="Arial" w:hAnsi="Arial"/>
                <w:sz w:val="12"/>
                <w:szCs w:val="12"/>
                <w:color w:val="auto"/>
              </w:rPr>
              <w:t>6/21/2021</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6/21/2024</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12,000</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11,906</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11,906</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Virginia Tile Company,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(17 units) (j)</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12/19/2014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342</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686</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20" w:top="451" w:right="2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2021</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322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 (a)(b)</w:t>
            </w: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5"/>
              </w:rPr>
              <w:t>Variable Index</w:t>
            </w:r>
          </w:p>
        </w:tc>
        <w:tc>
          <w:tcPr>
            <w:tcW w:w="780" w:type="dxa"/>
            <w:vAlign w:val="bottom"/>
          </w:tcPr>
          <w:p>
            <w:pPr>
              <w:jc w:val="right"/>
              <w:ind w:right="119"/>
              <w:spacing w:after="0"/>
              <w:rPr>
                <w:sz w:val="20"/>
                <w:szCs w:val="20"/>
                <w:color w:val="auto"/>
              </w:rPr>
            </w:pPr>
            <w:r>
              <w:rPr>
                <w:rFonts w:ascii="Arial" w:cs="Arial" w:eastAsia="Arial" w:hAnsi="Arial"/>
                <w:sz w:val="12"/>
                <w:szCs w:val="12"/>
                <w:b w:val="1"/>
                <w:bCs w:val="1"/>
                <w:color w:val="auto"/>
              </w:rPr>
              <w:t>Rate (e)</w:t>
            </w:r>
          </w:p>
        </w:tc>
        <w:tc>
          <w:tcPr>
            <w:tcW w:w="8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4"/>
              </w:rPr>
              <w:t>Investment</w:t>
            </w:r>
          </w:p>
        </w:tc>
        <w:tc>
          <w:tcPr>
            <w:tcW w:w="620" w:type="dxa"/>
            <w:vAlign w:val="bottom"/>
          </w:tcPr>
          <w:p>
            <w:pPr>
              <w:spacing w:after="0"/>
              <w:rPr>
                <w:sz w:val="12"/>
                <w:szCs w:val="12"/>
                <w:color w:val="auto"/>
              </w:rPr>
            </w:pPr>
          </w:p>
        </w:tc>
        <w:tc>
          <w:tcPr>
            <w:tcW w:w="6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b w:val="1"/>
                <w:bCs w:val="1"/>
                <w:color w:val="auto"/>
              </w:rPr>
              <w:t>Fair</w:t>
            </w: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2"/>
                <w:szCs w:val="12"/>
                <w:b w:val="1"/>
                <w:bCs w:val="1"/>
                <w:color w:val="auto"/>
              </w:rPr>
              <w:t>Investment Type (c)</w:t>
            </w:r>
          </w:p>
        </w:tc>
        <w:tc>
          <w:tcPr>
            <w:tcW w:w="1680" w:type="dxa"/>
            <w:vAlign w:val="bottom"/>
            <w:gridSpan w:val="2"/>
          </w:tcPr>
          <w:p>
            <w:pPr>
              <w:ind w:left="20"/>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Spread / Floor (d)</w:t>
            </w:r>
          </w:p>
        </w:tc>
        <w:tc>
          <w:tcPr>
            <w:tcW w:w="780" w:type="dxa"/>
            <w:vAlign w:val="bottom"/>
          </w:tcPr>
          <w:p>
            <w:pPr>
              <w:jc w:val="right"/>
              <w:ind w:right="79"/>
              <w:spacing w:after="0"/>
              <w:rPr>
                <w:sz w:val="20"/>
                <w:szCs w:val="20"/>
                <w:color w:val="auto"/>
              </w:rPr>
            </w:pPr>
            <w:r>
              <w:rPr>
                <w:rFonts w:ascii="Arial" w:cs="Arial" w:eastAsia="Arial" w:hAnsi="Arial"/>
                <w:sz w:val="12"/>
                <w:szCs w:val="12"/>
                <w:b w:val="1"/>
                <w:bCs w:val="1"/>
                <w:color w:val="auto"/>
              </w:rPr>
              <w:t>Cash/PIK</w:t>
            </w:r>
          </w:p>
        </w:tc>
        <w:tc>
          <w:tcPr>
            <w:tcW w:w="12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Date (f)</w:t>
            </w:r>
          </w:p>
        </w:tc>
        <w:tc>
          <w:tcPr>
            <w:tcW w:w="620" w:type="dxa"/>
            <w:vAlign w:val="bottom"/>
          </w:tcPr>
          <w:p>
            <w:pPr>
              <w:jc w:val="right"/>
              <w:ind w:right="19"/>
              <w:spacing w:after="0"/>
              <w:rPr>
                <w:sz w:val="20"/>
                <w:szCs w:val="20"/>
                <w:color w:val="auto"/>
              </w:rPr>
            </w:pPr>
            <w:r>
              <w:rPr>
                <w:rFonts w:ascii="Arial" w:cs="Arial" w:eastAsia="Arial" w:hAnsi="Arial"/>
                <w:sz w:val="12"/>
                <w:szCs w:val="12"/>
                <w:b w:val="1"/>
                <w:bCs w:val="1"/>
                <w:color w:val="auto"/>
              </w:rPr>
              <w:t>Maturity</w:t>
            </w:r>
          </w:p>
        </w:tc>
        <w:tc>
          <w:tcPr>
            <w:tcW w:w="10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2"/>
                <w:szCs w:val="12"/>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b w:val="1"/>
                <w:bCs w:val="1"/>
                <w:color w:val="auto"/>
              </w:rPr>
              <w:t>Cost</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(g)</w:t>
            </w: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9"/>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i w:val="1"/>
                <w:iCs w:val="1"/>
                <w:color w:val="auto"/>
              </w:rPr>
              <w:t>Western’s Smokehouse, LLC</w:t>
            </w:r>
          </w:p>
        </w:tc>
        <w:tc>
          <w:tcPr>
            <w:tcW w:w="4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Consumer Products</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gridSpan w:val="2"/>
          </w:tcPr>
          <w:p>
            <w:pPr>
              <w:ind w:left="240"/>
              <w:spacing w:after="0"/>
              <w:rPr>
                <w:sz w:val="20"/>
                <w:szCs w:val="20"/>
                <w:color w:val="auto"/>
              </w:rPr>
            </w:pPr>
            <w:r>
              <w:rPr>
                <w:rFonts w:ascii="Arial" w:cs="Arial" w:eastAsia="Arial" w:hAnsi="Arial"/>
                <w:sz w:val="12"/>
                <w:szCs w:val="12"/>
                <w:color w:val="auto"/>
              </w:rPr>
              <w:t>First Lien Debt (j)(ab)</w:t>
            </w:r>
          </w:p>
        </w:tc>
        <w:tc>
          <w:tcPr>
            <w:tcW w:w="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Arial" w:cs="Arial" w:eastAsia="Arial" w:hAnsi="Arial"/>
                <w:sz w:val="12"/>
                <w:szCs w:val="12"/>
                <w:color w:val="auto"/>
              </w:rPr>
              <w:t>(L + 6.50%) / (1.25%)</w:t>
            </w:r>
          </w:p>
        </w:tc>
        <w:tc>
          <w:tcPr>
            <w:tcW w:w="780" w:type="dxa"/>
            <w:vAlign w:val="bottom"/>
          </w:tcPr>
          <w:p>
            <w:pPr>
              <w:jc w:val="right"/>
              <w:spacing w:after="0"/>
              <w:rPr>
                <w:sz w:val="20"/>
                <w:szCs w:val="20"/>
                <w:color w:val="auto"/>
              </w:rPr>
            </w:pPr>
            <w:r>
              <w:rPr>
                <w:rFonts w:ascii="Arial" w:cs="Arial" w:eastAsia="Arial" w:hAnsi="Arial"/>
                <w:sz w:val="12"/>
                <w:szCs w:val="12"/>
                <w:color w:val="auto"/>
              </w:rPr>
              <w:t>7.75%/0.00%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12/23/2024</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9,625</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9,517</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9,625</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3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20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Winona Foods, Inc.</w:t>
            </w:r>
          </w:p>
        </w:tc>
        <w:tc>
          <w:tcPr>
            <w:tcW w:w="16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First Lien Debt (j)(am)</w:t>
            </w: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color w:val="auto"/>
                <w:w w:val="97"/>
              </w:rPr>
              <w:t>(L + 12.00%) / (1.00%)</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w w:val="97"/>
              </w:rPr>
              <w:t>13.00%/0.00%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4/1/2021</w:t>
            </w:r>
          </w:p>
        </w:tc>
        <w:tc>
          <w:tcPr>
            <w:tcW w:w="10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4/1/2026</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4,000</w:t>
            </w:r>
          </w:p>
        </w:tc>
        <w:tc>
          <w:tcPr>
            <w:tcW w:w="100" w:type="dxa"/>
            <w:vAlign w:val="bottom"/>
          </w:tcPr>
          <w:p>
            <w:pPr>
              <w:spacing w:after="0"/>
              <w:rPr>
                <w:sz w:val="11"/>
                <w:szCs w:val="11"/>
                <w:color w:val="auto"/>
              </w:rPr>
            </w:pPr>
          </w:p>
        </w:tc>
        <w:tc>
          <w:tcPr>
            <w:tcW w:w="4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3,864</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3,864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w:t>
            </w:r>
          </w:p>
        </w:tc>
        <w:tc>
          <w:tcPr>
            <w:tcW w:w="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2"/>
                <w:szCs w:val="12"/>
                <w:color w:val="auto"/>
                <w:w w:val="97"/>
              </w:rPr>
              <w:t>(L + 13.00%) / (1.00%)</w:t>
            </w: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14.00%/0.00%</w:t>
            </w:r>
          </w:p>
        </w:tc>
        <w:tc>
          <w:tcPr>
            <w:tcW w:w="7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4/1/2021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4/1/2026</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7,000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6,950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6,950</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10,814</w:t>
            </w:r>
          </w:p>
        </w:tc>
        <w:tc>
          <w:tcPr>
            <w:tcW w:w="12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10,814</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w w:val="92"/>
              </w:rPr>
              <w:t>Wonderware Holdings, LLC (dba CORE Business Technologies)</w:t>
            </w:r>
          </w:p>
        </w:tc>
        <w:tc>
          <w:tcPr>
            <w:tcW w:w="16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w w:val="93"/>
              </w:rPr>
              <w:t>Information Technology Services</w:t>
            </w: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gridSpan w:val="2"/>
          </w:tcPr>
          <w:p>
            <w:pPr>
              <w:ind w:left="240"/>
              <w:spacing w:after="0"/>
              <w:rPr>
                <w:sz w:val="20"/>
                <w:szCs w:val="20"/>
                <w:color w:val="auto"/>
              </w:rPr>
            </w:pPr>
            <w:r>
              <w:rPr>
                <w:rFonts w:ascii="Arial" w:cs="Arial" w:eastAsia="Arial" w:hAnsi="Arial"/>
                <w:sz w:val="12"/>
                <w:szCs w:val="12"/>
                <w:color w:val="auto"/>
              </w:rPr>
              <w:t>First Lien Debt ($2,000 unfunded commitment) (k)(z)</w:t>
            </w:r>
          </w:p>
        </w:tc>
        <w:tc>
          <w:tcPr>
            <w:tcW w:w="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Arial" w:cs="Arial" w:eastAsia="Arial" w:hAnsi="Arial"/>
                <w:sz w:val="12"/>
                <w:szCs w:val="12"/>
                <w:color w:val="auto"/>
              </w:rPr>
              <w:t>(L + 7.25%) / (1.00%)</w:t>
            </w:r>
          </w:p>
        </w:tc>
        <w:tc>
          <w:tcPr>
            <w:tcW w:w="780" w:type="dxa"/>
            <w:vAlign w:val="bottom"/>
          </w:tcPr>
          <w:p>
            <w:pPr>
              <w:jc w:val="right"/>
              <w:spacing w:after="0"/>
              <w:rPr>
                <w:sz w:val="20"/>
                <w:szCs w:val="20"/>
                <w:color w:val="auto"/>
              </w:rPr>
            </w:pPr>
            <w:r>
              <w:rPr>
                <w:rFonts w:ascii="Arial" w:cs="Arial" w:eastAsia="Arial" w:hAnsi="Arial"/>
                <w:sz w:val="12"/>
                <w:szCs w:val="12"/>
                <w:color w:val="auto"/>
              </w:rPr>
              <w:t>8.25%/0.00%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2/10/2021</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2/9/2026</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6,500</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6,455</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6,455</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3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20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Worldwide Express Operations, LLC</w:t>
            </w:r>
          </w:p>
        </w:tc>
        <w:tc>
          <w:tcPr>
            <w:tcW w:w="16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Transportation services</w:t>
            </w: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(L + 8.00%) / (1.00%)</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9.00%/0.00%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2/27/2017</w:t>
            </w:r>
          </w:p>
        </w:tc>
        <w:tc>
          <w:tcPr>
            <w:tcW w:w="10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2/3/2025</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20,000</w:t>
            </w:r>
          </w:p>
        </w:tc>
        <w:tc>
          <w:tcPr>
            <w:tcW w:w="100" w:type="dxa"/>
            <w:vAlign w:val="bottom"/>
          </w:tcPr>
          <w:p>
            <w:pPr>
              <w:spacing w:after="0"/>
              <w:rPr>
                <w:sz w:val="11"/>
                <w:szCs w:val="11"/>
                <w:color w:val="auto"/>
              </w:rPr>
            </w:pPr>
          </w:p>
        </w:tc>
        <w:tc>
          <w:tcPr>
            <w:tcW w:w="4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19,816</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(2,000 units) (h)(j)</w:t>
            </w:r>
          </w:p>
        </w:tc>
        <w:tc>
          <w:tcPr>
            <w:tcW w:w="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2/27/2017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1,478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3,617</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21,294</w:t>
            </w:r>
          </w:p>
        </w:tc>
        <w:tc>
          <w:tcPr>
            <w:tcW w:w="12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23,617</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Xeeva, Inc.</w:t>
            </w:r>
          </w:p>
        </w:tc>
        <w:tc>
          <w:tcPr>
            <w:tcW w:w="16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w w:val="93"/>
              </w:rPr>
              <w:t>Information Technology Services</w:t>
            </w: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First Lien Debt (j)</w:t>
            </w: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color w:val="auto"/>
                <w:w w:val="97"/>
              </w:rPr>
              <w:t>(L + 10.50%) / (1.50%)</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w w:val="97"/>
              </w:rPr>
              <w:t>12.00%/0.00%</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2/11/2021</w:t>
            </w:r>
          </w:p>
        </w:tc>
        <w:tc>
          <w:tcPr>
            <w:tcW w:w="100" w:type="dxa"/>
            <w:vAlign w:val="bottom"/>
          </w:tcPr>
          <w:p>
            <w:pPr>
              <w:spacing w:after="0"/>
              <w:rPr>
                <w:sz w:val="12"/>
                <w:szCs w:val="12"/>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2/11/2026</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8,900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8,852</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8,852</w:t>
            </w:r>
          </w:p>
        </w:tc>
        <w:tc>
          <w:tcPr>
            <w:tcW w:w="800" w:type="dxa"/>
            <w:vAlign w:val="bottom"/>
            <w:gridSpan w:val="3"/>
          </w:tcPr>
          <w:p>
            <w:pPr>
              <w:jc w:val="right"/>
              <w:ind w:right="60"/>
              <w:spacing w:after="0" w:line="132"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Total Non-control/Non-affiliate Investments</w:t>
            </w:r>
          </w:p>
        </w:tc>
        <w:tc>
          <w:tcPr>
            <w:tcW w:w="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u w:val="single" w:color="auto"/>
                <w:color w:val="auto"/>
                <w:w w:val="86"/>
              </w:rPr>
              <w:t>$</w:t>
            </w:r>
            <w:r>
              <w:rPr>
                <w:rFonts w:ascii="Arial" w:cs="Arial" w:eastAsia="Arial" w:hAnsi="Arial"/>
                <w:sz w:val="12"/>
                <w:szCs w:val="12"/>
                <w:color w:val="auto"/>
                <w:w w:val="86"/>
              </w:rPr>
              <w:t xml:space="preserve"> 572,350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589,651</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w:t>
            </w: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line="20" w:lineRule="exact"/>
              <w:rPr>
                <w:sz w:val="1"/>
                <w:szCs w:val="1"/>
                <w:color w:val="auto"/>
              </w:rPr>
            </w:pPr>
          </w:p>
        </w:tc>
      </w:tr>
      <w:tr>
        <w:trPr>
          <w:trHeight w:val="124"/>
        </w:trPr>
        <w:tc>
          <w:tcPr>
            <w:tcW w:w="32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 xml:space="preserve"> 670,932</w:t>
            </w:r>
          </w:p>
        </w:tc>
        <w:tc>
          <w:tcPr>
            <w:tcW w:w="1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 xml:space="preserve"> 743,458</w:t>
            </w: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26" w:lineRule="exact"/>
        <w:rPr>
          <w:rFonts w:ascii="Arial" w:cs="Arial" w:eastAsia="Arial" w:hAnsi="Arial"/>
          <w:sz w:val="16"/>
          <w:szCs w:val="16"/>
          <w:color w:val="auto"/>
        </w:rPr>
      </w:pPr>
    </w:p>
    <w:p>
      <w:pPr>
        <w:ind w:left="680" w:right="34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June 30, 2021.</w:t>
      </w:r>
    </w:p>
    <w:p>
      <w:pPr>
        <w:spacing w:after="0" w:line="1" w:lineRule="exact"/>
        <w:rPr>
          <w:rFonts w:ascii="Arial" w:cs="Arial" w:eastAsia="Arial" w:hAnsi="Arial"/>
          <w:sz w:val="18"/>
          <w:szCs w:val="18"/>
          <w:color w:val="auto"/>
        </w:rPr>
      </w:pPr>
    </w:p>
    <w:p>
      <w:pPr>
        <w:ind w:left="680" w:right="30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June 30, 2021. Generally, payment-in-kind interest can be paid-in-kind or all in cash.</w:t>
      </w:r>
    </w:p>
    <w:p>
      <w:pPr>
        <w:ind w:left="680" w:hanging="43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3" w:lineRule="exact"/>
        <w:rPr>
          <w:rFonts w:ascii="Arial" w:cs="Arial" w:eastAsia="Arial" w:hAnsi="Arial"/>
          <w:sz w:val="18"/>
          <w:szCs w:val="18"/>
          <w:color w:val="auto"/>
        </w:rPr>
      </w:pPr>
    </w:p>
    <w:p>
      <w:pPr>
        <w:ind w:left="680" w:right="260" w:hanging="431"/>
        <w:spacing w:after="0" w:line="27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2" w:lineRule="exact"/>
        <w:rPr>
          <w:rFonts w:ascii="Arial" w:cs="Arial" w:eastAsia="Arial" w:hAnsi="Arial"/>
          <w:sz w:val="16"/>
          <w:szCs w:val="16"/>
          <w:color w:val="auto"/>
        </w:rPr>
      </w:pPr>
    </w:p>
    <w:p>
      <w:pPr>
        <w:ind w:left="680" w:hanging="43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3" w:lineRule="exact"/>
        <w:rPr>
          <w:rFonts w:ascii="Arial" w:cs="Arial" w:eastAsia="Arial" w:hAnsi="Arial"/>
          <w:sz w:val="18"/>
          <w:szCs w:val="18"/>
          <w:color w:val="auto"/>
        </w:rPr>
      </w:pPr>
    </w:p>
    <w:p>
      <w:pPr>
        <w:ind w:left="680" w:right="220" w:hanging="431"/>
        <w:spacing w:after="0" w:line="27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June 30, 2021. The Company is earning 0.50% interest on the unfunded balance of the commitment. The interest rate disclosed represents the rate which will be earned if the commitment is funded.</w:t>
      </w:r>
    </w:p>
    <w:p>
      <w:pPr>
        <w:spacing w:after="0" w:line="1" w:lineRule="exact"/>
        <w:rPr>
          <w:rFonts w:ascii="Arial" w:cs="Arial" w:eastAsia="Arial" w:hAnsi="Arial"/>
          <w:sz w:val="16"/>
          <w:szCs w:val="16"/>
          <w:color w:val="auto"/>
        </w:rPr>
      </w:pPr>
    </w:p>
    <w:p>
      <w:pPr>
        <w:ind w:left="680" w:right="320" w:hanging="431"/>
        <w:spacing w:after="0" w:line="293"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680" w:right="24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680" w:right="480" w:hanging="431"/>
        <w:spacing w:after="0" w:line="27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680" w:right="600" w:hanging="431"/>
        <w:spacing w:after="0" w:line="27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680" w:hanging="43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3" w:lineRule="exact"/>
        <w:rPr>
          <w:rFonts w:ascii="Arial" w:cs="Arial" w:eastAsia="Arial" w:hAnsi="Arial"/>
          <w:sz w:val="18"/>
          <w:szCs w:val="18"/>
          <w:color w:val="auto"/>
        </w:rPr>
      </w:pPr>
    </w:p>
    <w:p>
      <w:pPr>
        <w:ind w:left="680" w:right="220" w:hanging="431"/>
        <w:spacing w:after="0" w:line="27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June 30, 2021. The Company is earning 0.75% interest on the unfunded balance of the commitment. The interest rate disclosed represents the rate which will be earned if the commitment is funded.</w:t>
      </w:r>
    </w:p>
    <w:p>
      <w:pPr>
        <w:spacing w:after="0" w:line="1" w:lineRule="exact"/>
        <w:rPr>
          <w:rFonts w:ascii="Arial" w:cs="Arial" w:eastAsia="Arial" w:hAnsi="Arial"/>
          <w:sz w:val="16"/>
          <w:szCs w:val="16"/>
          <w:color w:val="auto"/>
        </w:rPr>
      </w:pPr>
    </w:p>
    <w:p>
      <w:pPr>
        <w:ind w:left="680" w:right="20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38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 entitles the Company to purchase 4.79% of the outstanding principal of Junior Subordinated Notes prior to exercise, and is non-income producing.</w:t>
      </w:r>
    </w:p>
    <w:p>
      <w:pPr>
        <w:ind w:left="680" w:right="20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20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680" w:right="360" w:hanging="431"/>
        <w:spacing w:after="0" w:line="27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2" w:lineRule="exact"/>
        <w:rPr>
          <w:rFonts w:ascii="Arial" w:cs="Arial" w:eastAsia="Arial" w:hAnsi="Arial"/>
          <w:sz w:val="16"/>
          <w:szCs w:val="16"/>
          <w:color w:val="auto"/>
        </w:rPr>
      </w:pPr>
    </w:p>
    <w:p>
      <w:pPr>
        <w:ind w:left="680" w:right="200" w:hanging="431"/>
        <w:spacing w:after="0" w:line="24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200" w:hanging="431"/>
        <w:spacing w:after="0" w:line="245"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1140"/>
          </w:cols>
          <w:pgMar w:left="320" w:top="451" w:right="439" w:bottom="0" w:gutter="0" w:footer="0" w:header="0"/>
        </w:sectPr>
      </w:pPr>
    </w:p>
    <w:bookmarkStart w:id="12" w:name="page13"/>
    <w:bookmarkEnd w:id="12"/>
    <w:p>
      <w:pPr>
        <w:ind w:left="431" w:hanging="431"/>
        <w:spacing w:after="0" w:line="247" w:lineRule="auto"/>
        <w:tabs>
          <w:tab w:leader="none" w:pos="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7.20%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431" w:hanging="431"/>
        <w:spacing w:after="0" w:line="244" w:lineRule="auto"/>
        <w:tabs>
          <w:tab w:leader="none" w:pos="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431" w:hanging="431"/>
        <w:spacing w:after="0" w:line="244" w:lineRule="auto"/>
        <w:tabs>
          <w:tab w:leader="none" w:pos="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431" w:hanging="431"/>
        <w:spacing w:after="0" w:line="244" w:lineRule="auto"/>
        <w:tabs>
          <w:tab w:leader="none" w:pos="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431" w:hanging="431"/>
        <w:spacing w:after="0" w:line="244" w:lineRule="auto"/>
        <w:tabs>
          <w:tab w:leader="none" w:pos="4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431" w:hanging="439"/>
        <w:spacing w:after="0" w:line="245" w:lineRule="auto"/>
        <w:tabs>
          <w:tab w:leader="none" w:pos="410" w:val="left"/>
        </w:tabs>
        <w:rPr>
          <w:sz w:val="20"/>
          <w:szCs w:val="20"/>
          <w:color w:val="auto"/>
        </w:rPr>
      </w:pPr>
      <w:r>
        <w:rPr>
          <w:rFonts w:ascii="Arial" w:cs="Arial" w:eastAsia="Arial" w:hAnsi="Arial"/>
          <w:sz w:val="18"/>
          <w:szCs w:val="18"/>
          <w:color w:val="auto"/>
        </w:rPr>
        <w:t>(ab)</w:t>
        <w:tab/>
        <w:t>In addition to the interest earned based on the stated interest rate of this security, the Company is entitled to receive an additional interest amount of 3.52%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31" w:lineRule="exact"/>
        <w:rPr>
          <w:sz w:val="20"/>
          <w:szCs w:val="20"/>
          <w:color w:val="auto"/>
        </w:rPr>
      </w:pPr>
    </w:p>
    <w:p>
      <w:pPr>
        <w:jc w:val="center"/>
        <w:ind w:right="-5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91"/>
          </w:cols>
          <w:pgMar w:left="569" w:top="127" w:right="6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5"/>
          <w:szCs w:val="15"/>
          <w:b w:val="1"/>
          <w:bCs w:val="1"/>
          <w:color w:val="auto"/>
        </w:rPr>
        <w:t>Consolidated Schedule of Investments (unaudited)</w:t>
      </w:r>
    </w:p>
    <w:p>
      <w:pPr>
        <w:spacing w:after="0" w:line="3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June 30, 2021</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0940"/>
          </w:cols>
          <w:pgMar w:left="320" w:top="451" w:right="639" w:bottom="1440" w:gutter="0" w:footer="0" w:header="0"/>
        </w:sectPr>
      </w:pP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(ai)</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(aj)</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The disclosed commitment represents the unfunded amount as of June 30, 2021. The Company is earning 1.00% interest on the unfunded balance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the commitment. The interest rate disclosed represents the rate earned on the outstanding, funded balance of the commitment.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3.32%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3.31%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3.50%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5.48%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1.25%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4.84%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4.11%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4.83%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3.56%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8.25%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Company sold a participating interest of approximately $13.5 million in aggregate principal amount of the portfolio company’s first lien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term loan. As the transaction did not qualify as a “true sale” in accordance with U.S. generally accepted accounting principles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the Company recorded a corresponding secured borrowing in the Consolidated Statements of Assets and Liabilities.</w:t>
      </w:r>
    </w:p>
    <w:p>
      <w:pPr>
        <w:spacing w:after="0" w:line="137" w:lineRule="exact"/>
        <w:rPr>
          <w:sz w:val="20"/>
          <w:szCs w:val="20"/>
          <w:color w:val="auto"/>
        </w:rPr>
      </w:pPr>
    </w:p>
    <w:p>
      <w:pPr>
        <w:sectPr>
          <w:pgSz w:w="11900" w:h="16838" w:orient="portrait"/>
          <w:cols w:equalWidth="0" w:num="2">
            <w:col w:w="580" w:space="100"/>
            <w:col w:w="10260"/>
          </w:cols>
          <w:pgMar w:left="320" w:top="451" w:right="63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1" w:right="639" w:bottom="1440" w:gutter="0" w:footer="0" w:header="0"/>
          <w:type w:val="continuous"/>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Portfolio Company (a)(b)</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Variable Index</w:t>
            </w: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Rate (e)</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Investment</w:t>
            </w:r>
          </w:p>
        </w:tc>
        <w:tc>
          <w:tcPr>
            <w:tcW w:w="600" w:type="dxa"/>
            <w:vAlign w:val="bottom"/>
          </w:tcPr>
          <w:p>
            <w:pPr>
              <w:spacing w:after="0"/>
              <w:rPr>
                <w:sz w:val="12"/>
                <w:szCs w:val="12"/>
                <w:color w:val="auto"/>
              </w:rPr>
            </w:pPr>
          </w:p>
        </w:tc>
        <w:tc>
          <w:tcPr>
            <w:tcW w:w="600" w:type="dxa"/>
            <w:vAlign w:val="bottom"/>
            <w:gridSpan w:val="3"/>
          </w:tcPr>
          <w:p>
            <w:pPr>
              <w:ind w:left="100"/>
              <w:spacing w:after="0"/>
              <w:rPr>
                <w:sz w:val="20"/>
                <w:szCs w:val="20"/>
                <w:color w:val="auto"/>
              </w:rPr>
            </w:pPr>
            <w:r>
              <w:rPr>
                <w:rFonts w:ascii="Arial" w:cs="Arial" w:eastAsia="Arial" w:hAnsi="Arial"/>
                <w:sz w:val="12"/>
                <w:szCs w:val="12"/>
                <w:b w:val="1"/>
                <w:bCs w:val="1"/>
                <w:color w:val="auto"/>
                <w:w w:val="94"/>
              </w:rPr>
              <w:t>Principal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59"/>
              <w:spacing w:after="0"/>
              <w:rPr>
                <w:sz w:val="20"/>
                <w:szCs w:val="20"/>
                <w:color w:val="auto"/>
              </w:rPr>
            </w:pPr>
            <w:r>
              <w:rPr>
                <w:rFonts w:ascii="Arial" w:cs="Arial" w:eastAsia="Arial" w:hAnsi="Arial"/>
                <w:sz w:val="12"/>
                <w:szCs w:val="12"/>
                <w:b w:val="1"/>
                <w:bCs w:val="1"/>
                <w:color w:val="auto"/>
              </w:rPr>
              <w:t>Fair</w:t>
            </w: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65"/>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Investment Type (c)</w:t>
            </w:r>
          </w:p>
        </w:tc>
        <w:tc>
          <w:tcPr>
            <w:tcW w:w="2020" w:type="dxa"/>
            <w:vAlign w:val="bottom"/>
            <w:gridSpan w:val="3"/>
          </w:tcPr>
          <w:p>
            <w:pPr>
              <w:ind w:left="20"/>
              <w:spacing w:after="0"/>
              <w:rPr>
                <w:sz w:val="20"/>
                <w:szCs w:val="20"/>
                <w:color w:val="auto"/>
              </w:rPr>
            </w:pPr>
            <w:r>
              <w:rPr>
                <w:rFonts w:ascii="Arial" w:cs="Arial" w:eastAsia="Arial" w:hAnsi="Arial"/>
                <w:sz w:val="12"/>
                <w:szCs w:val="12"/>
                <w:b w:val="1"/>
                <w:bCs w:val="1"/>
                <w:color w:val="auto"/>
              </w:rPr>
              <w:t>Industry</w:t>
            </w: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Spread / Floor (d)</w:t>
            </w: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Cash/PIK</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Date (f)</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Maturity</w:t>
            </w: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ind w:right="19"/>
              <w:spacing w:after="0"/>
              <w:rPr>
                <w:sz w:val="20"/>
                <w:szCs w:val="20"/>
                <w:color w:val="auto"/>
              </w:rPr>
            </w:pPr>
            <w:r>
              <w:rPr>
                <w:rFonts w:ascii="Arial" w:cs="Arial" w:eastAsia="Arial" w:hAnsi="Arial"/>
                <w:sz w:val="12"/>
                <w:szCs w:val="12"/>
                <w:b w:val="1"/>
                <w:bCs w:val="1"/>
                <w:color w:val="auto"/>
                <w:w w:val="89"/>
              </w:rPr>
              <w:t>Cost</w:t>
            </w:r>
          </w:p>
        </w:tc>
        <w:tc>
          <w:tcPr>
            <w:tcW w:w="580" w:type="dxa"/>
            <w:vAlign w:val="bottom"/>
            <w:gridSpan w:val="3"/>
          </w:tcPr>
          <w:p>
            <w:pPr>
              <w:jc w:val="right"/>
              <w:spacing w:after="0"/>
              <w:rPr>
                <w:sz w:val="20"/>
                <w:szCs w:val="20"/>
                <w:color w:val="auto"/>
              </w:rPr>
            </w:pPr>
            <w:r>
              <w:rPr>
                <w:rFonts w:ascii="Arial" w:cs="Arial" w:eastAsia="Arial" w:hAnsi="Arial"/>
                <w:sz w:val="12"/>
                <w:szCs w:val="12"/>
                <w:b w:val="1"/>
                <w:bCs w:val="1"/>
                <w:color w:val="auto"/>
              </w:rPr>
              <w:t>Value (g)</w:t>
            </w: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9"/>
              </w:rPr>
              <w:t>Net Assets</w:t>
            </w:r>
          </w:p>
        </w:tc>
        <w:tc>
          <w:tcPr>
            <w:tcW w:w="0" w:type="dxa"/>
            <w:vAlign w:val="bottom"/>
          </w:tcPr>
          <w:p>
            <w:pPr>
              <w:spacing w:after="0"/>
              <w:rPr>
                <w:sz w:val="1"/>
                <w:szCs w:val="1"/>
                <w:color w:val="auto"/>
              </w:rPr>
            </w:pPr>
          </w:p>
        </w:tc>
      </w:tr>
      <w:tr>
        <w:trPr>
          <w:trHeight w:val="92"/>
        </w:trPr>
        <w:tc>
          <w:tcPr>
            <w:tcW w:w="20" w:type="dxa"/>
            <w:vAlign w:val="bottom"/>
            <w:tcBorders>
              <w:bottom w:val="single" w:sz="8" w:color="auto"/>
            </w:tcBorders>
          </w:tcPr>
          <w:p>
            <w:pPr>
              <w:spacing w:after="0"/>
              <w:rPr>
                <w:sz w:val="7"/>
                <w:szCs w:val="7"/>
                <w:color w:val="auto"/>
              </w:rPr>
            </w:pPr>
          </w:p>
        </w:tc>
        <w:tc>
          <w:tcPr>
            <w:tcW w:w="1220" w:type="dxa"/>
            <w:vAlign w:val="bottom"/>
            <w:tcBorders>
              <w:top w:val="single" w:sz="8" w:color="auto"/>
              <w:bottom w:val="single" w:sz="8" w:color="auto"/>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Control Investments (t)</w:t>
            </w:r>
          </w:p>
        </w:tc>
        <w:tc>
          <w:tcPr>
            <w:tcW w:w="120" w:type="dxa"/>
            <w:vAlign w:val="bottom"/>
            <w:tcBorders>
              <w:top w:val="single" w:sz="8" w:color="auto"/>
              <w:bottom w:val="single" w:sz="8" w:color="CCEEFF"/>
            </w:tcBorders>
            <w:gridSpan w:val="2"/>
            <w:shd w:val="clear" w:color="auto" w:fill="CCEEFF"/>
          </w:tcPr>
          <w:p>
            <w:pPr>
              <w:spacing w:after="0"/>
              <w:rPr>
                <w:sz w:val="7"/>
                <w:szCs w:val="7"/>
                <w:color w:val="auto"/>
              </w:rPr>
            </w:pPr>
          </w:p>
        </w:tc>
        <w:tc>
          <w:tcPr>
            <w:tcW w:w="152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88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200" w:type="dxa"/>
            <w:vAlign w:val="bottom"/>
            <w:tcBorders>
              <w:top w:val="single" w:sz="8" w:color="auto"/>
              <w:bottom w:val="single" w:sz="8" w:color="CCEEFF"/>
            </w:tcBorders>
            <w:shd w:val="clear" w:color="auto" w:fill="CCEEFF"/>
          </w:tcPr>
          <w:p>
            <w:pPr>
              <w:spacing w:after="0"/>
              <w:rPr>
                <w:sz w:val="7"/>
                <w:szCs w:val="7"/>
                <w:color w:val="auto"/>
              </w:rPr>
            </w:pP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78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60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CCEEFF"/>
            </w:tcBorders>
            <w:shd w:val="clear" w:color="auto" w:fill="CCEEFF"/>
          </w:tcPr>
          <w:p>
            <w:pPr>
              <w:spacing w:after="0"/>
              <w:rPr>
                <w:sz w:val="7"/>
                <w:szCs w:val="7"/>
                <w:color w:val="auto"/>
              </w:rPr>
            </w:pPr>
          </w:p>
        </w:tc>
        <w:tc>
          <w:tcPr>
            <w:tcW w:w="400" w:type="dxa"/>
            <w:vAlign w:val="bottom"/>
            <w:tcBorders>
              <w:top w:val="single" w:sz="8" w:color="auto"/>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CCEEFF"/>
            </w:tcBorders>
            <w:shd w:val="clear" w:color="auto" w:fill="CCEEFF"/>
          </w:tcPr>
          <w:p>
            <w:pPr>
              <w:spacing w:after="0"/>
              <w:rPr>
                <w:sz w:val="7"/>
                <w:szCs w:val="7"/>
                <w:color w:val="auto"/>
              </w:rPr>
            </w:pPr>
          </w:p>
        </w:tc>
        <w:tc>
          <w:tcPr>
            <w:tcW w:w="340" w:type="dxa"/>
            <w:vAlign w:val="bottom"/>
            <w:tcBorders>
              <w:top w:val="single" w:sz="8" w:color="auto"/>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CCEEFF"/>
            </w:tcBorders>
            <w:shd w:val="clear" w:color="auto" w:fill="CCEEFF"/>
          </w:tcPr>
          <w:p>
            <w:pPr>
              <w:spacing w:after="0"/>
              <w:rPr>
                <w:sz w:val="7"/>
                <w:szCs w:val="7"/>
                <w:color w:val="auto"/>
              </w:rPr>
            </w:pPr>
          </w:p>
        </w:tc>
        <w:tc>
          <w:tcPr>
            <w:tcW w:w="380" w:type="dxa"/>
            <w:vAlign w:val="bottom"/>
            <w:tcBorders>
              <w:top w:val="single" w:sz="8" w:color="auto"/>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540" w:type="dxa"/>
            <w:vAlign w:val="bottom"/>
            <w:tcBorders>
              <w:top w:val="single" w:sz="8" w:color="auto"/>
              <w:bottom w:val="single" w:sz="8" w:color="CCEEFF"/>
            </w:tcBorders>
            <w:shd w:val="clear" w:color="auto" w:fill="CCEEFF"/>
          </w:tcPr>
          <w:p>
            <w:pPr>
              <w:spacing w:after="0"/>
              <w:rPr>
                <w:sz w:val="7"/>
                <w:szCs w:val="7"/>
                <w:color w:val="auto"/>
              </w:rPr>
            </w:pP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60" w:type="dxa"/>
            <w:vAlign w:val="bottom"/>
            <w:gridSpan w:val="4"/>
          </w:tcPr>
          <w:p>
            <w:pPr>
              <w:spacing w:after="0" w:line="125" w:lineRule="exact"/>
              <w:rPr>
                <w:sz w:val="20"/>
                <w:szCs w:val="20"/>
                <w:color w:val="auto"/>
              </w:rPr>
            </w:pPr>
            <w:r>
              <w:rPr>
                <w:rFonts w:ascii="Arial" w:cs="Arial" w:eastAsia="Arial" w:hAnsi="Arial"/>
                <w:sz w:val="12"/>
                <w:szCs w:val="12"/>
                <w:i w:val="1"/>
                <w:iCs w:val="1"/>
                <w:color w:val="auto"/>
              </w:rPr>
              <w:t>FDS Avionics Corp. (dba Flight Display Systems)</w:t>
            </w:r>
          </w:p>
        </w:tc>
        <w:tc>
          <w:tcPr>
            <w:tcW w:w="40" w:type="dxa"/>
            <w:vAlign w:val="bottom"/>
          </w:tcPr>
          <w:p>
            <w:pPr>
              <w:spacing w:after="0"/>
              <w:rPr>
                <w:sz w:val="10"/>
                <w:szCs w:val="10"/>
                <w:color w:val="auto"/>
              </w:rPr>
            </w:pPr>
          </w:p>
        </w:tc>
        <w:tc>
          <w:tcPr>
            <w:tcW w:w="198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Aerospace &amp; Defense Manufacturing</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6.00%/9.00%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11/5/2014</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12/31/2021</w:t>
            </w:r>
          </w:p>
        </w:tc>
        <w:tc>
          <w:tcPr>
            <w:tcW w:w="2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4,836</w:t>
            </w:r>
          </w:p>
        </w:tc>
        <w:tc>
          <w:tcPr>
            <w:tcW w:w="1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4,836</w:t>
            </w:r>
          </w:p>
        </w:tc>
        <w:tc>
          <w:tcPr>
            <w:tcW w:w="200" w:type="dxa"/>
            <w:vAlign w:val="bottom"/>
            <w:gridSpan w:val="2"/>
            <w:shd w:val="clear" w:color="auto" w:fill="CCEEFF"/>
          </w:tcPr>
          <w:p>
            <w:pPr>
              <w:jc w:val="right"/>
              <w:ind w:right="14"/>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4,836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Revolving Loan ($30 unfunded commitment)</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6.00%/9.00%</w:t>
            </w:r>
          </w:p>
        </w:tc>
        <w:tc>
          <w:tcPr>
            <w:tcW w:w="1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12/31/2021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286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286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286</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(7,478 shares)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11/10/2017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Preferred Equity (2,550 shares)</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12/26/2019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2,550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2,269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8,420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7,391</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spacing w:after="0" w:line="132" w:lineRule="exact"/>
              <w:rPr>
                <w:sz w:val="20"/>
                <w:szCs w:val="20"/>
                <w:color w:val="auto"/>
              </w:rPr>
            </w:pPr>
            <w:r>
              <w:rPr>
                <w:rFonts w:ascii="Arial" w:cs="Arial" w:eastAsia="Arial" w:hAnsi="Arial"/>
                <w:sz w:val="12"/>
                <w:szCs w:val="12"/>
                <w:i w:val="1"/>
                <w:iCs w:val="1"/>
                <w:color w:val="auto"/>
              </w:rPr>
              <w:t>US GreenFiber, LLC</w:t>
            </w:r>
          </w:p>
        </w:tc>
        <w:tc>
          <w:tcPr>
            <w:tcW w:w="40" w:type="dxa"/>
            <w:vAlign w:val="bottom"/>
          </w:tcPr>
          <w:p>
            <w:pPr>
              <w:spacing w:after="0"/>
              <w:rPr>
                <w:sz w:val="11"/>
                <w:szCs w:val="11"/>
                <w:color w:val="auto"/>
              </w:rPr>
            </w:pPr>
          </w:p>
        </w:tc>
        <w:tc>
          <w:tcPr>
            <w:tcW w:w="198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Building Products Manufacturing</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8.00%/5.00%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7/3/2014</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8/30/2024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15,382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15,378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13,078</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8.50%/6.50%</w:t>
            </w:r>
          </w:p>
        </w:tc>
        <w:tc>
          <w:tcPr>
            <w:tcW w:w="1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11/9/2018</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8/30/2024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5,028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5,028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5,183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8.50%/6.50%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8/10/2020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8/30/2024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2,601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(2,522 units) (h)(j)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7/3/2014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586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(425,508 units)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8/30/2019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Common Equity (1,022,813 units) (h)(j)</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7/1/2020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1,023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24,549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20,862</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9"/>
        </w:trPr>
        <w:tc>
          <w:tcPr>
            <w:tcW w:w="2880" w:type="dxa"/>
            <w:vAlign w:val="bottom"/>
            <w:gridSpan w:val="5"/>
          </w:tcPr>
          <w:p>
            <w:pPr>
              <w:spacing w:after="0"/>
              <w:rPr>
                <w:sz w:val="20"/>
                <w:szCs w:val="20"/>
                <w:color w:val="auto"/>
              </w:rPr>
            </w:pPr>
            <w:r>
              <w:rPr>
                <w:rFonts w:ascii="Arial" w:cs="Arial" w:eastAsia="Arial" w:hAnsi="Arial"/>
                <w:sz w:val="12"/>
                <w:szCs w:val="12"/>
                <w:b w:val="1"/>
                <w:bCs w:val="1"/>
                <w:color w:val="auto"/>
              </w:rPr>
              <w:t>Total Control Investments</w:t>
            </w: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u w:val="single" w:color="auto"/>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w w:val="87"/>
              </w:rPr>
              <w:t>32,969</w:t>
            </w:r>
          </w:p>
        </w:tc>
        <w:tc>
          <w:tcPr>
            <w:tcW w:w="120" w:type="dxa"/>
            <w:vAlign w:val="bottom"/>
          </w:tcPr>
          <w:p>
            <w:pPr>
              <w:spacing w:after="0"/>
              <w:rPr>
                <w:sz w:val="12"/>
                <w:szCs w:val="12"/>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w w:val="97"/>
              </w:rPr>
              <w:t>28,253</w:t>
            </w: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2"/>
              </w:rPr>
              <w:t>Affiliate Investments (l)</w:t>
            </w:r>
          </w:p>
        </w:tc>
        <w:tc>
          <w:tcPr>
            <w:tcW w:w="1620" w:type="dxa"/>
            <w:vAlign w:val="bottom"/>
            <w:tcBorders>
              <w:bottom w:val="single" w:sz="8" w:color="CCEEFF"/>
            </w:tcBorders>
            <w:gridSpan w:val="2"/>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60" w:type="dxa"/>
            <w:vAlign w:val="bottom"/>
            <w:gridSpan w:val="4"/>
          </w:tcPr>
          <w:p>
            <w:pPr>
              <w:spacing w:after="0" w:line="125" w:lineRule="exact"/>
              <w:rPr>
                <w:sz w:val="20"/>
                <w:szCs w:val="20"/>
                <w:color w:val="auto"/>
              </w:rPr>
            </w:pPr>
            <w:r>
              <w:rPr>
                <w:rFonts w:ascii="Arial" w:cs="Arial" w:eastAsia="Arial" w:hAnsi="Arial"/>
                <w:sz w:val="12"/>
                <w:szCs w:val="12"/>
                <w:i w:val="1"/>
                <w:iCs w:val="1"/>
                <w:color w:val="auto"/>
              </w:rPr>
              <w:t>FAR Research Inc. (n)</w:t>
            </w:r>
          </w:p>
        </w:tc>
        <w:tc>
          <w:tcPr>
            <w:tcW w:w="40" w:type="dxa"/>
            <w:vAlign w:val="bottom"/>
          </w:tcPr>
          <w:p>
            <w:pPr>
              <w:spacing w:after="0"/>
              <w:rPr>
                <w:sz w:val="10"/>
                <w:szCs w:val="10"/>
                <w:color w:val="auto"/>
              </w:rPr>
            </w:pPr>
          </w:p>
        </w:tc>
        <w:tc>
          <w:tcPr>
            <w:tcW w:w="198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Specialty Chemicals</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(1,396 units)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3/31/2014</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14"/>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28</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2880" w:type="dxa"/>
            <w:vAlign w:val="bottom"/>
            <w:gridSpan w:val="5"/>
          </w:tcPr>
          <w:p>
            <w:pPr>
              <w:spacing w:after="0"/>
              <w:rPr>
                <w:sz w:val="20"/>
                <w:szCs w:val="20"/>
                <w:color w:val="auto"/>
              </w:rPr>
            </w:pPr>
            <w:r>
              <w:rPr>
                <w:rFonts w:ascii="Arial" w:cs="Arial" w:eastAsia="Arial" w:hAnsi="Arial"/>
                <w:sz w:val="12"/>
                <w:szCs w:val="12"/>
                <w:i w:val="1"/>
                <w:iCs w:val="1"/>
                <w:color w:val="auto"/>
              </w:rPr>
              <w:t>Fiber Materials, Inc. (n)</w:t>
            </w:r>
          </w:p>
        </w:tc>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2"/>
                <w:szCs w:val="12"/>
                <w:color w:val="auto"/>
                <w:w w:val="98"/>
              </w:rPr>
              <w:t>Aerospace &amp; Defense Manufacturing</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 units)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11/30/2016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2880" w:type="dxa"/>
            <w:vAlign w:val="bottom"/>
            <w:gridSpan w:val="5"/>
          </w:tcPr>
          <w:p>
            <w:pPr>
              <w:spacing w:after="0"/>
              <w:rPr>
                <w:sz w:val="20"/>
                <w:szCs w:val="20"/>
                <w:color w:val="auto"/>
              </w:rPr>
            </w:pPr>
            <w:r>
              <w:rPr>
                <w:rFonts w:ascii="Arial" w:cs="Arial" w:eastAsia="Arial" w:hAnsi="Arial"/>
                <w:sz w:val="12"/>
                <w:szCs w:val="12"/>
                <w:i w:val="1"/>
                <w:iCs w:val="1"/>
                <w:color w:val="auto"/>
              </w:rPr>
              <w:t>Medsurant Holdings, LLC</w:t>
            </w:r>
          </w:p>
        </w:tc>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2"/>
                <w:szCs w:val="12"/>
                <w:color w:val="auto"/>
              </w:rPr>
              <w:t>Healthcare Services</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14.00%/0.00%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12/18/2015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3/10/2022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8,031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8,028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8,091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Preferred Equity (63,331 units) (h)(j)</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4/12/2011</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673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620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Warrant (252,588 units) (h)(j)(m)</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4/12/2011</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2,258</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2,249</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10,959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10,960</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Mirage Trailers LLC</w:t>
            </w:r>
          </w:p>
        </w:tc>
        <w:tc>
          <w:tcPr>
            <w:tcW w:w="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Utility Equipment Manufacturing</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(L + 10.00%) / (1.00%)</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w w:val="97"/>
              </w:rPr>
              <w:t>11.00%/5.00%</w:t>
            </w:r>
          </w:p>
        </w:tc>
        <w:tc>
          <w:tcPr>
            <w:tcW w:w="1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11/25/2015</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6,410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6,483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6,410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(2,500,000 shares) (o)</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11/25/2015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2,188</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84</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8,671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6,494</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Pfanstiehl, Inc.</w:t>
            </w:r>
          </w:p>
        </w:tc>
        <w:tc>
          <w:tcPr>
            <w:tcW w:w="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Healthcare Products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4"/>
          </w:tcPr>
          <w:p>
            <w:pPr>
              <w:ind w:left="240"/>
              <w:spacing w:after="0"/>
              <w:rPr>
                <w:sz w:val="20"/>
                <w:szCs w:val="20"/>
                <w:color w:val="auto"/>
              </w:rPr>
            </w:pPr>
            <w:r>
              <w:rPr>
                <w:rFonts w:ascii="Arial" w:cs="Arial" w:eastAsia="Arial" w:hAnsi="Arial"/>
                <w:sz w:val="12"/>
                <w:szCs w:val="12"/>
                <w:color w:val="auto"/>
              </w:rPr>
              <w:t>Common Equity (4,250 units) (j)</w:t>
            </w:r>
          </w:p>
        </w:tc>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3/29/2013</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33,505</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860" w:type="dxa"/>
            <w:vAlign w:val="bottom"/>
            <w:gridSpan w:val="4"/>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Pinnergy, Ltd.</w:t>
            </w:r>
          </w:p>
        </w:tc>
        <w:tc>
          <w:tcPr>
            <w:tcW w:w="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Oil &amp; Gas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4"/>
          </w:tcPr>
          <w:p>
            <w:pPr>
              <w:ind w:left="240"/>
              <w:spacing w:after="0"/>
              <w:rPr>
                <w:sz w:val="20"/>
                <w:szCs w:val="20"/>
                <w:color w:val="auto"/>
              </w:rPr>
            </w:pPr>
            <w:r>
              <w:rPr>
                <w:rFonts w:ascii="Arial" w:cs="Arial" w:eastAsia="Arial" w:hAnsi="Arial"/>
                <w:sz w:val="12"/>
                <w:szCs w:val="12"/>
                <w:color w:val="auto"/>
              </w:rPr>
              <w:t>Common Equity—Class A-2 (42,500 units) (j)</w:t>
            </w:r>
          </w:p>
        </w:tc>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10/13/2016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20,589</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860" w:type="dxa"/>
            <w:vAlign w:val="bottom"/>
            <w:gridSpan w:val="4"/>
            <w:shd w:val="clear" w:color="auto" w:fill="CCEEFF"/>
          </w:tcPr>
          <w:p>
            <w:pPr>
              <w:spacing w:after="0" w:line="132" w:lineRule="exact"/>
              <w:rPr>
                <w:sz w:val="20"/>
                <w:szCs w:val="20"/>
                <w:color w:val="auto"/>
              </w:rPr>
            </w:pPr>
            <w:r>
              <w:rPr>
                <w:rFonts w:ascii="Arial" w:cs="Arial" w:eastAsia="Arial" w:hAnsi="Arial"/>
                <w:sz w:val="12"/>
                <w:szCs w:val="12"/>
                <w:i w:val="1"/>
                <w:iCs w:val="1"/>
                <w:color w:val="auto"/>
                <w:w w:val="94"/>
              </w:rPr>
              <w:t>Steward Holding LLC (dba Steward Advanced Materials)</w:t>
            </w:r>
          </w:p>
        </w:tc>
        <w:tc>
          <w:tcPr>
            <w:tcW w:w="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w w:val="98"/>
              </w:rPr>
              <w:t>Aerospace &amp; Defense Manufacturing</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tcPr>
          <w:p>
            <w:pPr>
              <w:ind w:left="240"/>
              <w:spacing w:after="0" w:line="132" w:lineRule="exact"/>
              <w:rPr>
                <w:sz w:val="20"/>
                <w:szCs w:val="20"/>
                <w:color w:val="auto"/>
              </w:rPr>
            </w:pPr>
            <w:r>
              <w:rPr>
                <w:rFonts w:ascii="Arial" w:cs="Arial" w:eastAsia="Arial" w:hAnsi="Arial"/>
                <w:sz w:val="12"/>
                <w:szCs w:val="12"/>
                <w:color w:val="auto"/>
              </w:rPr>
              <w:t>Second Lien Debt</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w w:val="97"/>
              </w:rPr>
              <w:t>12.00%/1.50%</w:t>
            </w:r>
          </w:p>
        </w:tc>
        <w:tc>
          <w:tcPr>
            <w:tcW w:w="10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11/12/2015</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10/31/2021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7,783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line="132" w:lineRule="exact"/>
              <w:rPr>
                <w:sz w:val="20"/>
                <w:szCs w:val="20"/>
                <w:color w:val="auto"/>
              </w:rPr>
            </w:pPr>
            <w:r>
              <w:rPr>
                <w:rFonts w:ascii="Arial" w:cs="Arial" w:eastAsia="Arial" w:hAnsi="Arial"/>
                <w:sz w:val="12"/>
                <w:szCs w:val="12"/>
                <w:color w:val="auto"/>
              </w:rPr>
              <w:t>7,781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7,783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(1,000,000 units)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11/12/2015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1,994</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8,781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9,777</w:t>
            </w:r>
          </w:p>
        </w:tc>
        <w:tc>
          <w:tcPr>
            <w:tcW w:w="800" w:type="dxa"/>
            <w:vAlign w:val="bottom"/>
            <w:gridSpan w:val="3"/>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gridSpan w:val="4"/>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Total Affiliate Investments</w:t>
            </w:r>
          </w:p>
        </w:tc>
        <w:tc>
          <w:tcPr>
            <w:tcW w:w="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3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7"/>
              </w:rPr>
              <w:t>31,836</w:t>
            </w:r>
          </w:p>
        </w:tc>
        <w:tc>
          <w:tcPr>
            <w:tcW w:w="200" w:type="dxa"/>
            <w:vAlign w:val="bottom"/>
            <w:gridSpan w:val="2"/>
            <w:shd w:val="clear" w:color="auto" w:fill="CCEEFF"/>
          </w:tcPr>
          <w:p>
            <w:pPr>
              <w:jc w:val="right"/>
              <w:ind w:right="14"/>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81,394</w:t>
            </w:r>
          </w:p>
        </w:tc>
        <w:tc>
          <w:tcPr>
            <w:tcW w:w="800" w:type="dxa"/>
            <w:vAlign w:val="bottom"/>
            <w:gridSpan w:val="3"/>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1" w:right="4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33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Portfolio Company (a)(b) Investment Type (c)</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Variable Index</w:t>
            </w:r>
          </w:p>
        </w:tc>
        <w:tc>
          <w:tcPr>
            <w:tcW w:w="660" w:type="dxa"/>
            <w:vAlign w:val="bottom"/>
          </w:tcPr>
          <w:p>
            <w:pPr>
              <w:jc w:val="right"/>
              <w:ind w:right="107"/>
              <w:spacing w:after="0"/>
              <w:rPr>
                <w:sz w:val="20"/>
                <w:szCs w:val="20"/>
                <w:color w:val="auto"/>
              </w:rPr>
            </w:pPr>
            <w:r>
              <w:rPr>
                <w:rFonts w:ascii="Arial" w:cs="Arial" w:eastAsia="Arial" w:hAnsi="Arial"/>
                <w:sz w:val="11"/>
                <w:szCs w:val="11"/>
                <w:b w:val="1"/>
                <w:bCs w:val="1"/>
                <w:color w:val="auto"/>
              </w:rPr>
              <w:t>Rate (e)</w:t>
            </w:r>
          </w:p>
        </w:tc>
        <w:tc>
          <w:tcPr>
            <w:tcW w:w="8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9"/>
              </w:rPr>
              <w:t>Investment</w:t>
            </w:r>
          </w:p>
        </w:tc>
        <w:tc>
          <w:tcPr>
            <w:tcW w:w="500" w:type="dxa"/>
            <w:vAlign w:val="bottom"/>
          </w:tcPr>
          <w:p>
            <w:pPr>
              <w:spacing w:after="0"/>
              <w:rPr>
                <w:sz w:val="10"/>
                <w:szCs w:val="10"/>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0"/>
              </w:rPr>
              <w:t>Principal</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b w:val="1"/>
                <w:bCs w:val="1"/>
                <w:color w:val="auto"/>
              </w:rPr>
              <w:t>Fair</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Percent of</w:t>
            </w:r>
          </w:p>
        </w:tc>
        <w:tc>
          <w:tcPr>
            <w:tcW w:w="0" w:type="dxa"/>
            <w:vAlign w:val="bottom"/>
          </w:tcPr>
          <w:p>
            <w:pPr>
              <w:spacing w:after="0"/>
              <w:rPr>
                <w:sz w:val="1"/>
                <w:szCs w:val="1"/>
                <w:color w:val="auto"/>
              </w:rPr>
            </w:pPr>
          </w:p>
        </w:tc>
      </w:tr>
      <w:tr>
        <w:trPr>
          <w:trHeight w:val="139"/>
        </w:trPr>
        <w:tc>
          <w:tcPr>
            <w:tcW w:w="3360" w:type="dxa"/>
            <w:vAlign w:val="bottom"/>
            <w:gridSpan w:val="4"/>
            <w:vMerge w:val="continue"/>
          </w:tcPr>
          <w:p>
            <w:pPr>
              <w:spacing w:after="0"/>
              <w:rPr>
                <w:sz w:val="12"/>
                <w:szCs w:val="12"/>
                <w:color w:val="auto"/>
              </w:rPr>
            </w:pPr>
          </w:p>
        </w:tc>
        <w:tc>
          <w:tcPr>
            <w:tcW w:w="1760" w:type="dxa"/>
            <w:vAlign w:val="bottom"/>
            <w:gridSpan w:val="2"/>
          </w:tcPr>
          <w:p>
            <w:pPr>
              <w:ind w:left="600"/>
              <w:spacing w:after="0" w:line="119" w:lineRule="exact"/>
              <w:rPr>
                <w:sz w:val="20"/>
                <w:szCs w:val="20"/>
                <w:color w:val="auto"/>
              </w:rPr>
            </w:pPr>
            <w:r>
              <w:rPr>
                <w:rFonts w:ascii="Arial" w:cs="Arial" w:eastAsia="Arial" w:hAnsi="Arial"/>
                <w:sz w:val="11"/>
                <w:szCs w:val="11"/>
                <w:b w:val="1"/>
                <w:bCs w:val="1"/>
                <w:color w:val="auto"/>
              </w:rPr>
              <w:t>Industry</w:t>
            </w:r>
          </w:p>
        </w:tc>
        <w:tc>
          <w:tcPr>
            <w:tcW w:w="11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Spread / Floor (d)</w:t>
            </w:r>
          </w:p>
        </w:tc>
        <w:tc>
          <w:tcPr>
            <w:tcW w:w="660" w:type="dxa"/>
            <w:vAlign w:val="bottom"/>
          </w:tcPr>
          <w:p>
            <w:pPr>
              <w:jc w:val="right"/>
              <w:ind w:right="67"/>
              <w:spacing w:after="0" w:line="119" w:lineRule="exact"/>
              <w:rPr>
                <w:sz w:val="20"/>
                <w:szCs w:val="20"/>
                <w:color w:val="auto"/>
              </w:rPr>
            </w:pPr>
            <w:r>
              <w:rPr>
                <w:rFonts w:ascii="Arial" w:cs="Arial" w:eastAsia="Arial" w:hAnsi="Arial"/>
                <w:sz w:val="11"/>
                <w:szCs w:val="11"/>
                <w:b w:val="1"/>
                <w:bCs w:val="1"/>
                <w:color w:val="auto"/>
              </w:rPr>
              <w:t>Cash/PIK</w:t>
            </w:r>
          </w:p>
        </w:tc>
        <w:tc>
          <w:tcPr>
            <w:tcW w:w="160" w:type="dxa"/>
            <w:vAlign w:val="bottom"/>
          </w:tcPr>
          <w:p>
            <w:pPr>
              <w:spacing w:after="0"/>
              <w:rPr>
                <w:sz w:val="12"/>
                <w:szCs w:val="12"/>
                <w:color w:val="auto"/>
              </w:rPr>
            </w:pPr>
          </w:p>
        </w:tc>
        <w:tc>
          <w:tcPr>
            <w:tcW w:w="7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4"/>
              </w:rPr>
              <w:t>Date (f)</w:t>
            </w:r>
          </w:p>
        </w:tc>
        <w:tc>
          <w:tcPr>
            <w:tcW w:w="500" w:type="dxa"/>
            <w:vAlign w:val="bottom"/>
          </w:tcPr>
          <w:p>
            <w:pPr>
              <w:jc w:val="right"/>
              <w:ind w:right="7"/>
              <w:spacing w:after="0" w:line="119" w:lineRule="exact"/>
              <w:rPr>
                <w:sz w:val="20"/>
                <w:szCs w:val="20"/>
                <w:color w:val="auto"/>
              </w:rPr>
            </w:pPr>
            <w:r>
              <w:rPr>
                <w:rFonts w:ascii="Arial" w:cs="Arial" w:eastAsia="Arial" w:hAnsi="Arial"/>
                <w:sz w:val="11"/>
                <w:szCs w:val="11"/>
                <w:b w:val="1"/>
                <w:bCs w:val="1"/>
                <w:color w:val="auto"/>
                <w:w w:val="98"/>
              </w:rPr>
              <w:t>Maturity</w:t>
            </w:r>
          </w:p>
        </w:tc>
        <w:tc>
          <w:tcPr>
            <w:tcW w:w="180" w:type="dxa"/>
            <w:vAlign w:val="bottom"/>
          </w:tcPr>
          <w:p>
            <w:pPr>
              <w:spacing w:after="0"/>
              <w:rPr>
                <w:sz w:val="12"/>
                <w:szCs w:val="12"/>
                <w:color w:val="auto"/>
              </w:rPr>
            </w:pPr>
          </w:p>
        </w:tc>
        <w:tc>
          <w:tcPr>
            <w:tcW w:w="640" w:type="dxa"/>
            <w:vAlign w:val="bottom"/>
            <w:gridSpan w:val="3"/>
          </w:tcPr>
          <w:p>
            <w:pPr>
              <w:jc w:val="center"/>
              <w:ind w:right="240"/>
              <w:spacing w:after="0" w:line="119" w:lineRule="exact"/>
              <w:rPr>
                <w:sz w:val="20"/>
                <w:szCs w:val="20"/>
                <w:color w:val="auto"/>
              </w:rPr>
            </w:pPr>
            <w:r>
              <w:rPr>
                <w:rFonts w:ascii="Arial" w:cs="Arial" w:eastAsia="Arial" w:hAnsi="Arial"/>
                <w:sz w:val="11"/>
                <w:szCs w:val="11"/>
                <w:b w:val="1"/>
                <w:bCs w:val="1"/>
                <w:color w:val="auto"/>
                <w:w w:val="86"/>
              </w:rPr>
              <w:t>Amount</w:t>
            </w:r>
          </w:p>
        </w:tc>
        <w:tc>
          <w:tcPr>
            <w:tcW w:w="300" w:type="dxa"/>
            <w:vAlign w:val="bottom"/>
          </w:tcPr>
          <w:p>
            <w:pPr>
              <w:jc w:val="right"/>
              <w:ind w:right="27"/>
              <w:spacing w:after="0" w:line="119" w:lineRule="exact"/>
              <w:rPr>
                <w:sz w:val="20"/>
                <w:szCs w:val="20"/>
                <w:color w:val="auto"/>
              </w:rPr>
            </w:pPr>
            <w:r>
              <w:rPr>
                <w:rFonts w:ascii="Arial" w:cs="Arial" w:eastAsia="Arial" w:hAnsi="Arial"/>
                <w:sz w:val="11"/>
                <w:szCs w:val="11"/>
                <w:b w:val="1"/>
                <w:bCs w:val="1"/>
                <w:color w:val="auto"/>
                <w:w w:val="81"/>
              </w:rPr>
              <w:t>Cost</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Value (g)</w:t>
            </w:r>
          </w:p>
        </w:tc>
        <w:tc>
          <w:tcPr>
            <w:tcW w:w="740" w:type="dxa"/>
            <w:vAlign w:val="bottom"/>
            <w:gridSpan w:val="3"/>
          </w:tcPr>
          <w:p>
            <w:pPr>
              <w:jc w:val="right"/>
              <w:ind w:right="120"/>
              <w:spacing w:after="0" w:line="119" w:lineRule="exact"/>
              <w:rPr>
                <w:sz w:val="20"/>
                <w:szCs w:val="20"/>
                <w:color w:val="auto"/>
              </w:rPr>
            </w:pPr>
            <w:r>
              <w:rPr>
                <w:rFonts w:ascii="Arial" w:cs="Arial" w:eastAsia="Arial" w:hAnsi="Arial"/>
                <w:sz w:val="11"/>
                <w:szCs w:val="11"/>
                <w:b w:val="1"/>
                <w:bCs w:val="1"/>
                <w:color w:val="auto"/>
              </w:rPr>
              <w:t>Net Assets</w:t>
            </w:r>
          </w:p>
        </w:tc>
        <w:tc>
          <w:tcPr>
            <w:tcW w:w="0" w:type="dxa"/>
            <w:vAlign w:val="bottom"/>
          </w:tcPr>
          <w:p>
            <w:pPr>
              <w:spacing w:after="0"/>
              <w:rPr>
                <w:sz w:val="1"/>
                <w:szCs w:val="1"/>
                <w:color w:val="auto"/>
              </w:rPr>
            </w:pPr>
          </w:p>
        </w:tc>
      </w:tr>
      <w:tr>
        <w:trPr>
          <w:trHeight w:val="79"/>
        </w:trPr>
        <w:tc>
          <w:tcPr>
            <w:tcW w:w="20" w:type="dxa"/>
            <w:vAlign w:val="bottom"/>
            <w:tcBorders>
              <w:bottom w:val="single" w:sz="8" w:color="auto"/>
            </w:tcBorders>
          </w:tcPr>
          <w:p>
            <w:pPr>
              <w:spacing w:after="0"/>
              <w:rPr>
                <w:sz w:val="6"/>
                <w:szCs w:val="6"/>
                <w:color w:val="auto"/>
              </w:rPr>
            </w:pPr>
          </w:p>
        </w:tc>
        <w:tc>
          <w:tcPr>
            <w:tcW w:w="1700" w:type="dxa"/>
            <w:vAlign w:val="bottom"/>
            <w:tcBorders>
              <w:top w:val="single" w:sz="8" w:color="auto"/>
              <w:bottom w:val="single" w:sz="8" w:color="auto"/>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Non-control/Non-affiliate Investments</w:t>
            </w:r>
          </w:p>
        </w:tc>
        <w:tc>
          <w:tcPr>
            <w:tcW w:w="360" w:type="dxa"/>
            <w:vAlign w:val="bottom"/>
            <w:tcBorders>
              <w:top w:val="single" w:sz="8" w:color="auto"/>
              <w:bottom w:val="single" w:sz="8" w:color="CCEEFF"/>
            </w:tcBorders>
            <w:shd w:val="clear" w:color="auto" w:fill="CCEEFF"/>
          </w:tcPr>
          <w:p>
            <w:pPr>
              <w:spacing w:after="0"/>
              <w:rPr>
                <w:sz w:val="6"/>
                <w:szCs w:val="6"/>
                <w:color w:val="auto"/>
              </w:rPr>
            </w:pPr>
          </w:p>
        </w:tc>
        <w:tc>
          <w:tcPr>
            <w:tcW w:w="1280" w:type="dxa"/>
            <w:vAlign w:val="bottom"/>
            <w:tcBorders>
              <w:top w:val="single" w:sz="8" w:color="CCEEFF"/>
              <w:bottom w:val="single" w:sz="8" w:color="CCEEFF"/>
            </w:tcBorders>
            <w:shd w:val="clear" w:color="auto" w:fill="CCEEFF"/>
          </w:tcPr>
          <w:p>
            <w:pPr>
              <w:spacing w:after="0"/>
              <w:rPr>
                <w:sz w:val="6"/>
                <w:szCs w:val="6"/>
                <w:color w:val="auto"/>
              </w:rPr>
            </w:pPr>
          </w:p>
        </w:tc>
        <w:tc>
          <w:tcPr>
            <w:tcW w:w="1600" w:type="dxa"/>
            <w:vAlign w:val="bottom"/>
            <w:tcBorders>
              <w:top w:val="single" w:sz="8" w:color="auto"/>
              <w:bottom w:val="single" w:sz="8" w:color="CCEEFF"/>
            </w:tcBorders>
            <w:shd w:val="clear" w:color="auto" w:fill="CCEEFF"/>
          </w:tcPr>
          <w:p>
            <w:pPr>
              <w:spacing w:after="0"/>
              <w:rPr>
                <w:sz w:val="6"/>
                <w:szCs w:val="6"/>
                <w:color w:val="auto"/>
              </w:rPr>
            </w:pPr>
          </w:p>
        </w:tc>
        <w:tc>
          <w:tcPr>
            <w:tcW w:w="160" w:type="dxa"/>
            <w:vAlign w:val="bottom"/>
            <w:tcBorders>
              <w:top w:val="single" w:sz="8" w:color="CCEEFF"/>
              <w:bottom w:val="single" w:sz="8" w:color="CCEEFF"/>
            </w:tcBorders>
            <w:shd w:val="clear" w:color="auto" w:fill="CCEEFF"/>
          </w:tcPr>
          <w:p>
            <w:pPr>
              <w:spacing w:after="0"/>
              <w:rPr>
                <w:sz w:val="6"/>
                <w:szCs w:val="6"/>
                <w:color w:val="auto"/>
              </w:rPr>
            </w:pPr>
          </w:p>
        </w:tc>
        <w:tc>
          <w:tcPr>
            <w:tcW w:w="1040" w:type="dxa"/>
            <w:vAlign w:val="bottom"/>
            <w:tcBorders>
              <w:top w:val="single" w:sz="8" w:color="auto"/>
              <w:bottom w:val="single" w:sz="8" w:color="CCEEFF"/>
            </w:tcBorders>
            <w:shd w:val="clear" w:color="auto" w:fill="CCEEFF"/>
          </w:tcPr>
          <w:p>
            <w:pPr>
              <w:spacing w:after="0"/>
              <w:rPr>
                <w:sz w:val="6"/>
                <w:szCs w:val="6"/>
                <w:color w:val="auto"/>
              </w:rPr>
            </w:pPr>
          </w:p>
        </w:tc>
        <w:tc>
          <w:tcPr>
            <w:tcW w:w="140" w:type="dxa"/>
            <w:vAlign w:val="bottom"/>
            <w:tcBorders>
              <w:top w:val="single" w:sz="8" w:color="CCEEFF"/>
              <w:bottom w:val="single" w:sz="8" w:color="CCEEFF"/>
            </w:tcBorders>
            <w:shd w:val="clear" w:color="auto" w:fill="CCEEFF"/>
          </w:tcPr>
          <w:p>
            <w:pPr>
              <w:spacing w:after="0"/>
              <w:rPr>
                <w:sz w:val="6"/>
                <w:szCs w:val="6"/>
                <w:color w:val="auto"/>
              </w:rPr>
            </w:pPr>
          </w:p>
        </w:tc>
        <w:tc>
          <w:tcPr>
            <w:tcW w:w="660" w:type="dxa"/>
            <w:vAlign w:val="bottom"/>
            <w:tcBorders>
              <w:top w:val="single" w:sz="8" w:color="auto"/>
              <w:bottom w:val="single" w:sz="8" w:color="CCEEFF"/>
            </w:tcBorders>
            <w:shd w:val="clear" w:color="auto" w:fill="CCEEFF"/>
          </w:tcPr>
          <w:p>
            <w:pPr>
              <w:spacing w:after="0"/>
              <w:rPr>
                <w:sz w:val="6"/>
                <w:szCs w:val="6"/>
                <w:color w:val="auto"/>
              </w:rPr>
            </w:pPr>
          </w:p>
        </w:tc>
        <w:tc>
          <w:tcPr>
            <w:tcW w:w="160" w:type="dxa"/>
            <w:vAlign w:val="bottom"/>
            <w:tcBorders>
              <w:top w:val="single" w:sz="8" w:color="CCEEFF"/>
              <w:bottom w:val="single" w:sz="8" w:color="CCEEFF"/>
            </w:tcBorders>
            <w:shd w:val="clear" w:color="auto" w:fill="CCEEFF"/>
          </w:tcPr>
          <w:p>
            <w:pPr>
              <w:spacing w:after="0"/>
              <w:rPr>
                <w:sz w:val="6"/>
                <w:szCs w:val="6"/>
                <w:color w:val="auto"/>
              </w:rPr>
            </w:pPr>
          </w:p>
        </w:tc>
        <w:tc>
          <w:tcPr>
            <w:tcW w:w="520" w:type="dxa"/>
            <w:vAlign w:val="bottom"/>
            <w:tcBorders>
              <w:top w:val="single" w:sz="8" w:color="auto"/>
              <w:bottom w:val="single" w:sz="8" w:color="CCEEFF"/>
            </w:tcBorders>
            <w:shd w:val="clear" w:color="auto" w:fill="CCEEFF"/>
          </w:tcPr>
          <w:p>
            <w:pPr>
              <w:spacing w:after="0"/>
              <w:rPr>
                <w:sz w:val="6"/>
                <w:szCs w:val="6"/>
                <w:color w:val="auto"/>
              </w:rPr>
            </w:pPr>
          </w:p>
        </w:tc>
        <w:tc>
          <w:tcPr>
            <w:tcW w:w="180" w:type="dxa"/>
            <w:vAlign w:val="bottom"/>
            <w:tcBorders>
              <w:top w:val="single" w:sz="8" w:color="CCEEFF"/>
              <w:bottom w:val="single" w:sz="8" w:color="CCEEFF"/>
            </w:tcBorders>
            <w:shd w:val="clear" w:color="auto" w:fill="CCEEFF"/>
          </w:tcPr>
          <w:p>
            <w:pPr>
              <w:spacing w:after="0"/>
              <w:rPr>
                <w:sz w:val="6"/>
                <w:szCs w:val="6"/>
                <w:color w:val="auto"/>
              </w:rPr>
            </w:pPr>
          </w:p>
        </w:tc>
        <w:tc>
          <w:tcPr>
            <w:tcW w:w="500" w:type="dxa"/>
            <w:vAlign w:val="bottom"/>
            <w:tcBorders>
              <w:top w:val="single" w:sz="8" w:color="auto"/>
              <w:bottom w:val="single" w:sz="8" w:color="CCEEFF"/>
            </w:tcBorders>
            <w:shd w:val="clear" w:color="auto" w:fill="CCEEFF"/>
          </w:tcPr>
          <w:p>
            <w:pPr>
              <w:spacing w:after="0"/>
              <w:rPr>
                <w:sz w:val="6"/>
                <w:szCs w:val="6"/>
                <w:color w:val="auto"/>
              </w:rPr>
            </w:pPr>
          </w:p>
        </w:tc>
        <w:tc>
          <w:tcPr>
            <w:tcW w:w="180" w:type="dxa"/>
            <w:vAlign w:val="bottom"/>
            <w:tcBorders>
              <w:top w:val="single" w:sz="8" w:color="CCEEFF"/>
              <w:bottom w:val="single" w:sz="8" w:color="CCEEFF"/>
            </w:tcBorders>
            <w:shd w:val="clear" w:color="auto" w:fill="CCEEFF"/>
          </w:tcPr>
          <w:p>
            <w:pPr>
              <w:spacing w:after="0"/>
              <w:rPr>
                <w:sz w:val="6"/>
                <w:szCs w:val="6"/>
                <w:color w:val="auto"/>
              </w:rPr>
            </w:pPr>
          </w:p>
        </w:tc>
        <w:tc>
          <w:tcPr>
            <w:tcW w:w="420" w:type="dxa"/>
            <w:vAlign w:val="bottom"/>
            <w:tcBorders>
              <w:top w:val="single" w:sz="8" w:color="auto"/>
              <w:bottom w:val="single" w:sz="8" w:color="CCEEFF"/>
            </w:tcBorders>
            <w:shd w:val="clear" w:color="auto" w:fill="CCEEFF"/>
          </w:tcPr>
          <w:p>
            <w:pPr>
              <w:spacing w:after="0"/>
              <w:rPr>
                <w:sz w:val="6"/>
                <w:szCs w:val="6"/>
                <w:color w:val="auto"/>
              </w:rPr>
            </w:pPr>
          </w:p>
        </w:tc>
        <w:tc>
          <w:tcPr>
            <w:tcW w:w="180" w:type="dxa"/>
            <w:vAlign w:val="bottom"/>
            <w:tcBorders>
              <w:top w:val="single" w:sz="8" w:color="CCEEFF"/>
              <w:bottom w:val="single" w:sz="8" w:color="CCEEFF"/>
            </w:tcBorders>
            <w:shd w:val="clear" w:color="auto" w:fill="CCEEFF"/>
          </w:tcPr>
          <w:p>
            <w:pPr>
              <w:spacing w:after="0"/>
              <w:rPr>
                <w:sz w:val="6"/>
                <w:szCs w:val="6"/>
                <w:color w:val="auto"/>
              </w:rPr>
            </w:pPr>
          </w:p>
        </w:tc>
        <w:tc>
          <w:tcPr>
            <w:tcW w:w="40" w:type="dxa"/>
            <w:vAlign w:val="bottom"/>
            <w:tcBorders>
              <w:top w:val="single" w:sz="8" w:color="auto"/>
              <w:bottom w:val="single" w:sz="8" w:color="CCEEFF"/>
            </w:tcBorders>
            <w:shd w:val="clear" w:color="auto" w:fill="CCEEFF"/>
          </w:tcPr>
          <w:p>
            <w:pPr>
              <w:spacing w:after="0"/>
              <w:rPr>
                <w:sz w:val="6"/>
                <w:szCs w:val="6"/>
                <w:color w:val="auto"/>
              </w:rPr>
            </w:pPr>
          </w:p>
        </w:tc>
        <w:tc>
          <w:tcPr>
            <w:tcW w:w="300" w:type="dxa"/>
            <w:vAlign w:val="bottom"/>
            <w:tcBorders>
              <w:top w:val="single" w:sz="8" w:color="auto"/>
              <w:bottom w:val="single" w:sz="8" w:color="CCEEFF"/>
            </w:tcBorders>
            <w:shd w:val="clear" w:color="auto" w:fill="CCEEFF"/>
          </w:tcPr>
          <w:p>
            <w:pPr>
              <w:spacing w:after="0"/>
              <w:rPr>
                <w:sz w:val="6"/>
                <w:szCs w:val="6"/>
                <w:color w:val="auto"/>
              </w:rPr>
            </w:pPr>
          </w:p>
        </w:tc>
        <w:tc>
          <w:tcPr>
            <w:tcW w:w="160" w:type="dxa"/>
            <w:vAlign w:val="bottom"/>
            <w:tcBorders>
              <w:top w:val="single" w:sz="8" w:color="CCEEFF"/>
              <w:bottom w:val="single" w:sz="8" w:color="CCEEFF"/>
            </w:tcBorders>
            <w:shd w:val="clear" w:color="auto" w:fill="CCEEFF"/>
          </w:tcPr>
          <w:p>
            <w:pPr>
              <w:spacing w:after="0"/>
              <w:rPr>
                <w:sz w:val="6"/>
                <w:szCs w:val="6"/>
                <w:color w:val="auto"/>
              </w:rPr>
            </w:pPr>
          </w:p>
        </w:tc>
        <w:tc>
          <w:tcPr>
            <w:tcW w:w="420" w:type="dxa"/>
            <w:vAlign w:val="bottom"/>
            <w:tcBorders>
              <w:top w:val="single" w:sz="8" w:color="auto"/>
              <w:bottom w:val="single" w:sz="8" w:color="CCEEFF"/>
            </w:tcBorders>
            <w:shd w:val="clear" w:color="auto" w:fill="CCEEFF"/>
          </w:tcPr>
          <w:p>
            <w:pPr>
              <w:spacing w:after="0"/>
              <w:rPr>
                <w:sz w:val="6"/>
                <w:szCs w:val="6"/>
                <w:color w:val="auto"/>
              </w:rPr>
            </w:pPr>
          </w:p>
        </w:tc>
        <w:tc>
          <w:tcPr>
            <w:tcW w:w="160" w:type="dxa"/>
            <w:vAlign w:val="bottom"/>
            <w:tcBorders>
              <w:top w:val="single" w:sz="8" w:color="CCEEFF"/>
              <w:bottom w:val="single" w:sz="8" w:color="CCEEFF"/>
            </w:tcBorders>
            <w:shd w:val="clear" w:color="auto" w:fill="CCEEFF"/>
          </w:tcPr>
          <w:p>
            <w:pPr>
              <w:spacing w:after="0"/>
              <w:rPr>
                <w:sz w:val="6"/>
                <w:szCs w:val="6"/>
                <w:color w:val="auto"/>
              </w:rPr>
            </w:pPr>
          </w:p>
        </w:tc>
        <w:tc>
          <w:tcPr>
            <w:tcW w:w="460" w:type="dxa"/>
            <w:vAlign w:val="bottom"/>
            <w:tcBorders>
              <w:top w:val="single" w:sz="8" w:color="auto"/>
              <w:bottom w:val="single" w:sz="8" w:color="CCEEFF"/>
            </w:tcBorders>
            <w:shd w:val="clear" w:color="auto" w:fill="CCEEFF"/>
          </w:tcPr>
          <w:p>
            <w:pPr>
              <w:spacing w:after="0"/>
              <w:rPr>
                <w:sz w:val="6"/>
                <w:szCs w:val="6"/>
                <w:color w:val="auto"/>
              </w:rPr>
            </w:pPr>
          </w:p>
        </w:tc>
        <w:tc>
          <w:tcPr>
            <w:tcW w:w="120" w:type="dxa"/>
            <w:vAlign w:val="bottom"/>
            <w:tcBorders>
              <w:top w:val="single" w:sz="8" w:color="CCEEFF"/>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gridSpan w:val="3"/>
          </w:tcPr>
          <w:p>
            <w:pPr>
              <w:spacing w:after="0" w:line="112" w:lineRule="exact"/>
              <w:rPr>
                <w:sz w:val="20"/>
                <w:szCs w:val="20"/>
                <w:color w:val="auto"/>
              </w:rPr>
            </w:pPr>
            <w:r>
              <w:rPr>
                <w:rFonts w:ascii="Arial" w:cs="Arial" w:eastAsia="Arial" w:hAnsi="Arial"/>
                <w:sz w:val="11"/>
                <w:szCs w:val="11"/>
                <w:i w:val="1"/>
                <w:iCs w:val="1"/>
                <w:color w:val="auto"/>
              </w:rPr>
              <w:t>Frontline Food Services, LLC</w:t>
            </w: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(f/k/a Accent Food Services, LLC)</w:t>
            </w:r>
          </w:p>
        </w:tc>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Vending Equipment Manufacturing</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Preferred Equity (Class A Units) (46 units) (j)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4"/>
          </w:tcPr>
          <w:p>
            <w:pPr>
              <w:jc w:val="right"/>
              <w:spacing w:after="0" w:line="119" w:lineRule="exact"/>
              <w:rPr>
                <w:sz w:val="20"/>
                <w:szCs w:val="20"/>
                <w:color w:val="auto"/>
              </w:rPr>
            </w:pPr>
            <w:r>
              <w:rPr>
                <w:rFonts w:ascii="Arial" w:cs="Arial" w:eastAsia="Arial" w:hAnsi="Arial"/>
                <w:sz w:val="11"/>
                <w:szCs w:val="11"/>
                <w:color w:val="auto"/>
              </w:rPr>
              <w:t>$</w:t>
            </w:r>
          </w:p>
        </w:tc>
        <w:tc>
          <w:tcPr>
            <w:tcW w:w="300" w:type="dxa"/>
            <w:vAlign w:val="bottom"/>
          </w:tcPr>
          <w:p>
            <w:pPr>
              <w:jc w:val="right"/>
              <w:spacing w:after="0" w:line="119" w:lineRule="exact"/>
              <w:rPr>
                <w:sz w:val="20"/>
                <w:szCs w:val="20"/>
                <w:color w:val="auto"/>
              </w:rPr>
            </w:pPr>
            <w:r>
              <w:rPr>
                <w:rFonts w:ascii="Arial" w:cs="Arial" w:eastAsia="Arial" w:hAnsi="Arial"/>
                <w:sz w:val="11"/>
                <w:szCs w:val="11"/>
                <w:color w:val="auto"/>
                <w:w w:val="94"/>
              </w:rPr>
              <w:t>2,000</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  2,000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Common Equity (Class B Units) (124 units) (j)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Preferred Equity (Class C Units) (100 units) (j)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2,000</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2,000</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Allied 100 Group, Inc.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Healthcare Products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Subordinated Debt (k)</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11.25%/0.00%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7/31/2019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5/26/2023</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21,500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21,432</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21,500</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(625,000 units) (j)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11/26/2014</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625</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1,087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22,057</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22,587</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Allredi, LLC (fka Marco Group International OpCo, LLC)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Industrial Cleaning &amp; Coatings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Second Lien Debt</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10.50%/1.75%</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3/2/2020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9/2/2026</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10,080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9,993</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7,761</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(570,636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7/21/2017</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637</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275</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10,630</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8,036</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Alzheimer’s Research and Treatment Center, LLC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Healthcare Services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 (j)(w)</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+ 5.75%) / (2.00%)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7.75%/0.00%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10/23/2018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10/23/2023</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6,500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6,471</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6,584</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(500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10/23/2018</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500</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766</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6,971</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7,350</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American AllWaste LLC (dba WasteWater Transport Services)</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Environmental Industries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Second Lien Debt (j)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+ 11.00%) / (2.00%)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13.00%/0.00%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5/31/2018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11/30/2023</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17,503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17,434</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17,503</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Preferred Equity (500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5/31/2018</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1"/>
                <w:szCs w:val="11"/>
                <w:color w:val="auto"/>
              </w:rPr>
              <w:t>500</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241</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Preferred Equity (207 units) (h)(j)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8/6/2019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250</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226</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Preferred Equity (141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11/2/2020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171</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171</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18,355</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18,141</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Applied Data Corporation</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Information Technology Services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 (v)</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+ 6.25%) / (1.50%)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7.75%/0.00%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11/6/2020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11/6/2025</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8,000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7,949</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7,949</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(22 units)</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11/6/2020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20" w:type="dxa"/>
            <w:vAlign w:val="bottom"/>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Preferred Equity (1,070,614 units)</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11/6/2020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1,071</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1,071</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94"/>
              </w:rPr>
              <w:t>9,020</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9,020</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Argo Turboserve Corporation</w:t>
            </w:r>
          </w:p>
        </w:tc>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Business Services</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gridSpan w:val="3"/>
          </w:tcPr>
          <w:p>
            <w:pPr>
              <w:ind w:left="200"/>
              <w:spacing w:after="0"/>
              <w:rPr>
                <w:sz w:val="20"/>
                <w:szCs w:val="20"/>
                <w:color w:val="auto"/>
              </w:rPr>
            </w:pPr>
            <w:r>
              <w:rPr>
                <w:rFonts w:ascii="Arial" w:cs="Arial" w:eastAsia="Arial" w:hAnsi="Arial"/>
                <w:sz w:val="11"/>
                <w:szCs w:val="11"/>
                <w:color w:val="auto"/>
              </w:rPr>
              <w:t>Second Lien Debt (j)</w:t>
            </w: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color w:val="auto"/>
              </w:rPr>
              <w:t>(L + 10.75%) / (2.00%)</w:t>
            </w:r>
          </w:p>
        </w:tc>
        <w:tc>
          <w:tcPr>
            <w:tcW w:w="660" w:type="dxa"/>
            <w:vAlign w:val="bottom"/>
          </w:tcPr>
          <w:p>
            <w:pPr>
              <w:jc w:val="right"/>
              <w:spacing w:after="0"/>
              <w:rPr>
                <w:sz w:val="20"/>
                <w:szCs w:val="20"/>
                <w:color w:val="auto"/>
              </w:rPr>
            </w:pPr>
            <w:r>
              <w:rPr>
                <w:rFonts w:ascii="Arial" w:cs="Arial" w:eastAsia="Arial" w:hAnsi="Arial"/>
                <w:sz w:val="11"/>
                <w:szCs w:val="11"/>
                <w:color w:val="auto"/>
                <w:w w:val="89"/>
              </w:rPr>
              <w:t>12.75%/0.00%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12/26/2018</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7"/>
              </w:rPr>
              <w:t>6/28/2023</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13,031</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77"/>
              </w:rPr>
              <w:t>12,990</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13,031</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4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AVC Investors, LLC (dba Auveco)</w:t>
            </w:r>
          </w:p>
        </w:tc>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Specialty Distribution</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 (k)</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11.50%/0.00%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1/3/2018</w:t>
            </w:r>
          </w:p>
        </w:tc>
        <w:tc>
          <w:tcPr>
            <w:tcW w:w="1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1"/>
                <w:szCs w:val="11"/>
                <w:color w:val="auto"/>
              </w:rPr>
              <w:t>7/3/2023</w:t>
            </w: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22,500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1"/>
                <w:szCs w:val="11"/>
                <w:color w:val="auto"/>
                <w:w w:val="77"/>
              </w:rPr>
              <w:t>22,448</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22,500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Common Equity (5,000 units) (j)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1/3/2018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487</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464</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77"/>
              </w:rPr>
              <w:t>22,935</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22,964</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B&amp;B Roadway and Security Solutions, LLC</w:t>
            </w:r>
          </w:p>
        </w:tc>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Component Manufacturing</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11.25%/4.00%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2/27/2018</w:t>
            </w:r>
          </w:p>
        </w:tc>
        <w:tc>
          <w:tcPr>
            <w:tcW w:w="1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1"/>
                <w:szCs w:val="11"/>
                <w:color w:val="auto"/>
              </w:rPr>
              <w:t>1/1/2022</w:t>
            </w: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10,910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1"/>
                <w:szCs w:val="11"/>
                <w:color w:val="auto"/>
                <w:w w:val="77"/>
              </w:rPr>
              <w:t>10,890</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10,782</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Common Equity (50,000 units) (h)(j)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2/27/2018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497</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77"/>
              </w:rPr>
              <w:t>11,387</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10,782</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Bandon Fitness (Texas), Inc.</w:t>
            </w:r>
          </w:p>
        </w:tc>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Retail</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First Lien Debt (j)(z)</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(L + 6.50%) / (2.25%)</w:t>
            </w: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97"/>
              </w:rPr>
              <w:t>8.75%/0.25%</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8/9/2019</w:t>
            </w:r>
          </w:p>
        </w:tc>
        <w:tc>
          <w:tcPr>
            <w:tcW w:w="1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1"/>
                <w:szCs w:val="11"/>
                <w:color w:val="auto"/>
              </w:rPr>
              <w:t>8/9/2024</w:t>
            </w: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14,680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1"/>
                <w:szCs w:val="11"/>
                <w:color w:val="auto"/>
                <w:w w:val="77"/>
              </w:rPr>
              <w:t>14,289</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15,591</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Common Equity (545,810 units) (j)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8/9/2019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931</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554</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25" w:lineRule="exact"/>
              <w:rPr>
                <w:sz w:val="20"/>
                <w:szCs w:val="20"/>
                <w:color w:val="auto"/>
              </w:rPr>
            </w:pPr>
            <w:r>
              <w:rPr>
                <w:rFonts w:ascii="Arial" w:cs="Arial" w:eastAsia="Arial" w:hAnsi="Arial"/>
                <w:sz w:val="11"/>
                <w:szCs w:val="11"/>
                <w:color w:val="auto"/>
                <w:w w:val="77"/>
              </w:rPr>
              <w:t>15,220</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16,145</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BCM One Group Holdings, Inc.</w:t>
            </w:r>
          </w:p>
        </w:tc>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Information Technology Services</w:t>
            </w: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Subordinated Debt (k)</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11.00%/0.00%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1/3/2019</w:t>
            </w:r>
          </w:p>
        </w:tc>
        <w:tc>
          <w:tcPr>
            <w:tcW w:w="1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1"/>
                <w:szCs w:val="11"/>
                <w:color w:val="auto"/>
              </w:rPr>
              <w:t>7/3/2024</w:t>
            </w: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30,000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Arial" w:cs="Arial" w:eastAsia="Arial" w:hAnsi="Arial"/>
                <w:sz w:val="11"/>
                <w:szCs w:val="11"/>
                <w:color w:val="auto"/>
                <w:w w:val="77"/>
              </w:rPr>
              <w:t>29,887</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30,000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Common Equity (1,281 shares)</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1/3/2019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48</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458</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Preferred Equity (74 shares)</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1/3/2019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736</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737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30,671</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31,195</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Bedford Precision Parts LLC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Specialty Distribution</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 (j)(s)</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+ 6.25%) / (2.00%)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8.25%/0.00%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3/12/2019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3/12/2024</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4,531</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4,507</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4,531</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(500,000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3/12/2019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500</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263</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5,007</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4,794</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Cardboard Box LLC (dba Anthony’s Coal Fired Pizza)</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Restaurants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Common Equity (521,021 units) (j)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12/15/2015</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521</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Preferred Equity (1,043,133 units) (j)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12/6/2019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96</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34</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617</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34</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Combined Systems, Inc.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w w:val="95"/>
              </w:rPr>
              <w:t>Aerospace &amp; Defense Manufacturing</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+ 10.00%) / (2.00%)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12.00%/0.00%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1/31/2020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1/31/2025</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7,600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7,553</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7,600</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Revolving Loan ($1,050 unfunded commitment) (j)(ac)</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(L + 9.00%) / (2.00%)</w:t>
            </w: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11.00%/0.00%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1/31/2020</w:t>
            </w:r>
          </w:p>
        </w:tc>
        <w:tc>
          <w:tcPr>
            <w:tcW w:w="1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1"/>
                <w:szCs w:val="11"/>
                <w:color w:val="auto"/>
                <w:w w:val="97"/>
              </w:rPr>
              <w:t>1/31/2025</w:t>
            </w: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2,950</w:t>
            </w: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w w:val="94"/>
              </w:rPr>
              <w:t>2,930</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2,950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10,483</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10,550</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Comply365, LLC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w w:val="95"/>
              </w:rPr>
              <w:t>Aerospace &amp; Defense Manufacturing</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 (ad)</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+ 8.00%) / (1.00%)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9.00%/0.00%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12/11/2020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12/11/2025</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10,000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9,855</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9,855</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(1,000,000 units)</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12/11/2020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w w:val="94"/>
              </w:rPr>
              <w:t>1,000</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10,855</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10,855</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CRS Solutions Holdings, LLC (dba CRS Texas)</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Business Services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Second Lien Debt</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10.50%/1.50%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3/14/2018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4/30/2024</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11,305</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11,270</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11,305</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(450,382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3/14/2018</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488</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321</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11,758</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11,626</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Dataguise, Inc.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Information Technology Services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 (j)</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11.00%/0.00%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12/31/2023</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20,000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19,900</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19,900</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(909 shares) (j)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w w:val="94"/>
              </w:rPr>
              <w:t>1,500</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1,500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21,400</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21,400</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Diversified Search LLC</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Business Services</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First Lien Debt (k)(r)</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(L + 8.00%) / (1.75%)</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9.75%/0.00%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2/7/2019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2/7/2024</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17,355</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17,159</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17,355</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(573 units) (h)(j)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2/7/2019</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593</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494</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77"/>
              </w:rPr>
              <w:t>17,752</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17,849</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EBL, LLC (EbLens)</w:t>
            </w:r>
          </w:p>
        </w:tc>
        <w:tc>
          <w:tcPr>
            <w:tcW w:w="1760" w:type="dxa"/>
            <w:vAlign w:val="bottom"/>
            <w:gridSpan w:val="2"/>
          </w:tcPr>
          <w:p>
            <w:pPr>
              <w:ind w:left="20"/>
              <w:spacing w:after="0" w:line="119" w:lineRule="exact"/>
              <w:rPr>
                <w:sz w:val="20"/>
                <w:szCs w:val="20"/>
                <w:color w:val="auto"/>
              </w:rPr>
            </w:pPr>
            <w:r>
              <w:rPr>
                <w:rFonts w:ascii="Arial" w:cs="Arial" w:eastAsia="Arial" w:hAnsi="Arial"/>
                <w:sz w:val="11"/>
                <w:szCs w:val="11"/>
                <w:color w:val="auto"/>
              </w:rPr>
              <w:t>Retail</w:t>
            </w: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Second Lien Debt (j)(p)</w:t>
            </w: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12.00%/1.00%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7/13/2017</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1/13/2023</w:t>
            </w:r>
          </w:p>
        </w:tc>
        <w:tc>
          <w:tcPr>
            <w:tcW w:w="6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9,253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9,214</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5,454</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Common Equity (75,000 units) (j)</w:t>
            </w: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7/13/2017</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750</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9,964</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5,454</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451" w:right="5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28"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33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Portfolio Company (a)(b) Investment Type (c)</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Variable Index</w:t>
            </w:r>
          </w:p>
        </w:tc>
        <w:tc>
          <w:tcPr>
            <w:tcW w:w="660" w:type="dxa"/>
            <w:vAlign w:val="bottom"/>
          </w:tcPr>
          <w:p>
            <w:pPr>
              <w:jc w:val="right"/>
              <w:ind w:right="107"/>
              <w:spacing w:after="0"/>
              <w:rPr>
                <w:sz w:val="20"/>
                <w:szCs w:val="20"/>
                <w:color w:val="auto"/>
              </w:rPr>
            </w:pPr>
            <w:r>
              <w:rPr>
                <w:rFonts w:ascii="Arial" w:cs="Arial" w:eastAsia="Arial" w:hAnsi="Arial"/>
                <w:sz w:val="11"/>
                <w:szCs w:val="11"/>
                <w:b w:val="1"/>
                <w:bCs w:val="1"/>
                <w:color w:val="auto"/>
              </w:rPr>
              <w:t>Rate (e)</w:t>
            </w:r>
          </w:p>
        </w:tc>
        <w:tc>
          <w:tcPr>
            <w:tcW w:w="8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6"/>
              </w:rPr>
              <w:t>Investment</w:t>
            </w:r>
          </w:p>
        </w:tc>
        <w:tc>
          <w:tcPr>
            <w:tcW w:w="520" w:type="dxa"/>
            <w:vAlign w:val="bottom"/>
          </w:tcPr>
          <w:p>
            <w:pPr>
              <w:spacing w:after="0"/>
              <w:rPr>
                <w:sz w:val="10"/>
                <w:szCs w:val="10"/>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0"/>
              </w:rPr>
              <w:t>Principal</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b w:val="1"/>
                <w:bCs w:val="1"/>
                <w:color w:val="auto"/>
              </w:rPr>
              <w:t>Fair</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Percent of</w:t>
            </w:r>
          </w:p>
        </w:tc>
        <w:tc>
          <w:tcPr>
            <w:tcW w:w="0" w:type="dxa"/>
            <w:vAlign w:val="bottom"/>
          </w:tcPr>
          <w:p>
            <w:pPr>
              <w:spacing w:after="0"/>
              <w:rPr>
                <w:sz w:val="1"/>
                <w:szCs w:val="1"/>
                <w:color w:val="auto"/>
              </w:rPr>
            </w:pPr>
          </w:p>
        </w:tc>
      </w:tr>
      <w:tr>
        <w:trPr>
          <w:trHeight w:val="139"/>
        </w:trPr>
        <w:tc>
          <w:tcPr>
            <w:tcW w:w="3320" w:type="dxa"/>
            <w:vAlign w:val="bottom"/>
            <w:gridSpan w:val="4"/>
            <w:vMerge w:val="continue"/>
          </w:tcPr>
          <w:p>
            <w:pPr>
              <w:spacing w:after="0"/>
              <w:rPr>
                <w:sz w:val="12"/>
                <w:szCs w:val="12"/>
                <w:color w:val="auto"/>
              </w:rPr>
            </w:pPr>
          </w:p>
        </w:tc>
        <w:tc>
          <w:tcPr>
            <w:tcW w:w="1720" w:type="dxa"/>
            <w:vAlign w:val="bottom"/>
            <w:gridSpan w:val="2"/>
          </w:tcPr>
          <w:p>
            <w:pPr>
              <w:ind w:left="320"/>
              <w:spacing w:after="0" w:line="119" w:lineRule="exact"/>
              <w:rPr>
                <w:sz w:val="20"/>
                <w:szCs w:val="20"/>
                <w:color w:val="auto"/>
              </w:rPr>
            </w:pPr>
            <w:r>
              <w:rPr>
                <w:rFonts w:ascii="Arial" w:cs="Arial" w:eastAsia="Arial" w:hAnsi="Arial"/>
                <w:sz w:val="11"/>
                <w:szCs w:val="11"/>
                <w:b w:val="1"/>
                <w:bCs w:val="1"/>
                <w:color w:val="auto"/>
              </w:rPr>
              <w:t>Industry</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7"/>
              </w:rPr>
              <w:t>Spread / Floor (d)</w:t>
            </w:r>
          </w:p>
        </w:tc>
        <w:tc>
          <w:tcPr>
            <w:tcW w:w="660" w:type="dxa"/>
            <w:vAlign w:val="bottom"/>
          </w:tcPr>
          <w:p>
            <w:pPr>
              <w:jc w:val="right"/>
              <w:ind w:right="47"/>
              <w:spacing w:after="0" w:line="119" w:lineRule="exact"/>
              <w:rPr>
                <w:sz w:val="20"/>
                <w:szCs w:val="20"/>
                <w:color w:val="auto"/>
              </w:rPr>
            </w:pPr>
            <w:r>
              <w:rPr>
                <w:rFonts w:ascii="Arial" w:cs="Arial" w:eastAsia="Arial" w:hAnsi="Arial"/>
                <w:sz w:val="11"/>
                <w:szCs w:val="11"/>
                <w:b w:val="1"/>
                <w:bCs w:val="1"/>
                <w:color w:val="auto"/>
              </w:rPr>
              <w:t>Cash/PIK</w:t>
            </w:r>
          </w:p>
        </w:tc>
        <w:tc>
          <w:tcPr>
            <w:tcW w:w="180" w:type="dxa"/>
            <w:vAlign w:val="bottom"/>
          </w:tcPr>
          <w:p>
            <w:pPr>
              <w:spacing w:after="0"/>
              <w:rPr>
                <w:sz w:val="12"/>
                <w:szCs w:val="12"/>
                <w:color w:val="auto"/>
              </w:rPr>
            </w:pP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89"/>
              </w:rPr>
              <w:t>Date (f)</w:t>
            </w:r>
          </w:p>
        </w:tc>
        <w:tc>
          <w:tcPr>
            <w:tcW w:w="520" w:type="dxa"/>
            <w:vAlign w:val="bottom"/>
          </w:tcPr>
          <w:p>
            <w:pPr>
              <w:jc w:val="right"/>
              <w:ind w:right="7"/>
              <w:spacing w:after="0" w:line="119" w:lineRule="exact"/>
              <w:rPr>
                <w:sz w:val="20"/>
                <w:szCs w:val="20"/>
                <w:color w:val="auto"/>
              </w:rPr>
            </w:pPr>
            <w:r>
              <w:rPr>
                <w:rFonts w:ascii="Arial" w:cs="Arial" w:eastAsia="Arial" w:hAnsi="Arial"/>
                <w:sz w:val="11"/>
                <w:szCs w:val="11"/>
                <w:b w:val="1"/>
                <w:bCs w:val="1"/>
                <w:color w:val="auto"/>
              </w:rPr>
              <w:t>Maturity</w:t>
            </w:r>
          </w:p>
        </w:tc>
        <w:tc>
          <w:tcPr>
            <w:tcW w:w="160" w:type="dxa"/>
            <w:vAlign w:val="bottom"/>
          </w:tcPr>
          <w:p>
            <w:pPr>
              <w:spacing w:after="0"/>
              <w:rPr>
                <w:sz w:val="12"/>
                <w:szCs w:val="12"/>
                <w:color w:val="auto"/>
              </w:rPr>
            </w:pPr>
          </w:p>
        </w:tc>
        <w:tc>
          <w:tcPr>
            <w:tcW w:w="60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w w:val="91"/>
              </w:rPr>
              <w:t>Amount</w:t>
            </w:r>
          </w:p>
        </w:tc>
        <w:tc>
          <w:tcPr>
            <w:tcW w:w="320" w:type="dxa"/>
            <w:vAlign w:val="bottom"/>
          </w:tcPr>
          <w:p>
            <w:pPr>
              <w:jc w:val="right"/>
              <w:ind w:right="7"/>
              <w:spacing w:after="0" w:line="119" w:lineRule="exact"/>
              <w:rPr>
                <w:sz w:val="20"/>
                <w:szCs w:val="20"/>
                <w:color w:val="auto"/>
              </w:rPr>
            </w:pPr>
            <w:r>
              <w:rPr>
                <w:rFonts w:ascii="Arial" w:cs="Arial" w:eastAsia="Arial" w:hAnsi="Arial"/>
                <w:sz w:val="11"/>
                <w:szCs w:val="11"/>
                <w:b w:val="1"/>
                <w:bCs w:val="1"/>
                <w:color w:val="auto"/>
                <w:w w:val="97"/>
              </w:rPr>
              <w:t>Cost</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Value (g)</w:t>
            </w:r>
          </w:p>
        </w:tc>
        <w:tc>
          <w:tcPr>
            <w:tcW w:w="740" w:type="dxa"/>
            <w:vAlign w:val="bottom"/>
            <w:gridSpan w:val="3"/>
          </w:tcPr>
          <w:p>
            <w:pPr>
              <w:jc w:val="right"/>
              <w:ind w:right="120"/>
              <w:spacing w:after="0" w:line="119" w:lineRule="exact"/>
              <w:rPr>
                <w:sz w:val="20"/>
                <w:szCs w:val="20"/>
                <w:color w:val="auto"/>
              </w:rPr>
            </w:pPr>
            <w:r>
              <w:rPr>
                <w:rFonts w:ascii="Arial" w:cs="Arial" w:eastAsia="Arial" w:hAnsi="Arial"/>
                <w:sz w:val="11"/>
                <w:szCs w:val="11"/>
                <w:b w:val="1"/>
                <w:bCs w:val="1"/>
                <w:color w:val="auto"/>
              </w:rPr>
              <w:t>Net Assets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i w:val="1"/>
                <w:iCs w:val="1"/>
                <w:color w:val="auto"/>
                <w:w w:val="88"/>
              </w:rPr>
              <w:t>ECM Industries, LLC</w:t>
            </w:r>
          </w:p>
        </w:tc>
        <w:tc>
          <w:tcPr>
            <w:tcW w:w="1140" w:type="dxa"/>
            <w:vAlign w:val="bottom"/>
            <w:tcBorders>
              <w:top w:val="single" w:sz="8" w:color="auto"/>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40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Component Manufacturing</w:t>
            </w:r>
          </w:p>
        </w:tc>
        <w:tc>
          <w:tcPr>
            <w:tcW w:w="16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Subordinated Debt (j)</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11.50%/0.00%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4/30/2020</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97"/>
              </w:rPr>
              <w:t>5/23/2026</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11,500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w w:val="83"/>
              </w:rPr>
              <w:t>11,295</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11,500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(1,000,000 units) (h)(j)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4/30/2020</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1,562</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w w:val="83"/>
              </w:rPr>
              <w:t>12,295</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13,062</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Elements Brands, LLC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Consumer Products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ind w:left="200"/>
              <w:spacing w:after="0" w:line="119" w:lineRule="exact"/>
              <w:rPr>
                <w:sz w:val="20"/>
                <w:szCs w:val="20"/>
                <w:color w:val="auto"/>
              </w:rPr>
            </w:pPr>
            <w:r>
              <w:rPr>
                <w:rFonts w:ascii="Arial" w:cs="Arial" w:eastAsia="Arial" w:hAnsi="Arial"/>
                <w:sz w:val="11"/>
                <w:szCs w:val="11"/>
                <w:color w:val="auto"/>
                <w:w w:val="97"/>
              </w:rPr>
              <w:t>First Lien Debt</w:t>
            </w: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12.25%/0.00%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87"/>
              </w:rPr>
              <w:t>12/31/2025</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6,000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5,967</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5,967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Revolving Loan ($838 unfunded commitment) (i)(j)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12.25%/0.00%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12/31/2020</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12/31/2025</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2,162</w:t>
            </w: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2,146</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2,146</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rPr>
              <w:t>8,113</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8,113</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i w:val="1"/>
                <w:iCs w:val="1"/>
                <w:color w:val="auto"/>
                <w:w w:val="92"/>
              </w:rPr>
              <w:t>French Transit, LLC</w:t>
            </w:r>
          </w:p>
        </w:tc>
        <w:tc>
          <w:tcPr>
            <w:tcW w:w="1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Consumer Products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00"/>
              <w:spacing w:after="0"/>
              <w:rPr>
                <w:sz w:val="20"/>
                <w:szCs w:val="20"/>
                <w:color w:val="auto"/>
              </w:rPr>
            </w:pPr>
            <w:r>
              <w:rPr>
                <w:rFonts w:ascii="Arial" w:cs="Arial" w:eastAsia="Arial" w:hAnsi="Arial"/>
                <w:sz w:val="11"/>
                <w:szCs w:val="11"/>
                <w:color w:val="auto"/>
              </w:rPr>
              <w:t>First Lien Debt (j)</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gridSpan w:val="3"/>
          </w:tcPr>
          <w:p>
            <w:pPr>
              <w:ind w:left="140"/>
              <w:spacing w:after="0"/>
              <w:rPr>
                <w:sz w:val="20"/>
                <w:szCs w:val="20"/>
                <w:color w:val="auto"/>
              </w:rPr>
            </w:pPr>
            <w:r>
              <w:rPr>
                <w:rFonts w:ascii="Arial" w:cs="Arial" w:eastAsia="Arial" w:hAnsi="Arial"/>
                <w:sz w:val="11"/>
                <w:szCs w:val="11"/>
                <w:color w:val="auto"/>
              </w:rPr>
              <w:t>(L + 10.00%) / (2.25%)</w:t>
            </w:r>
          </w:p>
        </w:tc>
        <w:tc>
          <w:tcPr>
            <w:tcW w:w="660" w:type="dxa"/>
            <w:vAlign w:val="bottom"/>
          </w:tcPr>
          <w:p>
            <w:pPr>
              <w:jc w:val="right"/>
              <w:spacing w:after="0"/>
              <w:rPr>
                <w:sz w:val="20"/>
                <w:szCs w:val="20"/>
                <w:color w:val="auto"/>
              </w:rPr>
            </w:pPr>
            <w:r>
              <w:rPr>
                <w:rFonts w:ascii="Arial" w:cs="Arial" w:eastAsia="Arial" w:hAnsi="Arial"/>
                <w:sz w:val="11"/>
                <w:szCs w:val="11"/>
                <w:color w:val="auto"/>
                <w:w w:val="89"/>
              </w:rPr>
              <w:t>12.25%/0.00%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6/21/2019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6/21/2024</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4,116</w:t>
            </w: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4,088</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4,116</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0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Global Plasma Solutions, Inc.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Component Manufacturing</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ind w:left="200"/>
              <w:spacing w:after="0"/>
              <w:rPr>
                <w:sz w:val="20"/>
                <w:szCs w:val="20"/>
                <w:color w:val="auto"/>
              </w:rPr>
            </w:pPr>
            <w:r>
              <w:rPr>
                <w:rFonts w:ascii="Arial" w:cs="Arial" w:eastAsia="Arial" w:hAnsi="Arial"/>
                <w:sz w:val="11"/>
                <w:szCs w:val="11"/>
                <w:color w:val="auto"/>
                <w:w w:val="89"/>
              </w:rPr>
              <w:t>Common Equity</w:t>
            </w:r>
          </w:p>
        </w:tc>
        <w:tc>
          <w:tcPr>
            <w:tcW w:w="2380" w:type="dxa"/>
            <w:vAlign w:val="bottom"/>
            <w:gridSpan w:val="2"/>
          </w:tcPr>
          <w:p>
            <w:pPr>
              <w:spacing w:after="0"/>
              <w:rPr>
                <w:sz w:val="20"/>
                <w:szCs w:val="20"/>
                <w:color w:val="auto"/>
              </w:rPr>
            </w:pPr>
            <w:r>
              <w:rPr>
                <w:rFonts w:ascii="Arial" w:cs="Arial" w:eastAsia="Arial" w:hAnsi="Arial"/>
                <w:sz w:val="11"/>
                <w:szCs w:val="11"/>
                <w:color w:val="auto"/>
              </w:rPr>
              <w:t>(947 shares) (j)</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9/21/2018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9,995</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0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Gurobi Optimization, LLC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w w:val="86"/>
              </w:rPr>
              <w:t>Information Technology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00"/>
              <w:spacing w:after="0"/>
              <w:rPr>
                <w:sz w:val="20"/>
                <w:szCs w:val="20"/>
                <w:color w:val="auto"/>
              </w:rPr>
            </w:pPr>
            <w:r>
              <w:rPr>
                <w:rFonts w:ascii="Arial" w:cs="Arial" w:eastAsia="Arial" w:hAnsi="Arial"/>
                <w:sz w:val="11"/>
                <w:szCs w:val="11"/>
                <w:color w:val="auto"/>
              </w:rPr>
              <w:t>Common Equity (3 shares)</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12/19/2017</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592</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1,660</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0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Haematologic Technologies, Inc.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Healthcare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First Lien Debt (x)</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gridSpan w:val="3"/>
          </w:tcPr>
          <w:p>
            <w:pPr>
              <w:ind w:left="140"/>
              <w:spacing w:after="0" w:line="119" w:lineRule="exact"/>
              <w:rPr>
                <w:sz w:val="20"/>
                <w:szCs w:val="20"/>
                <w:color w:val="auto"/>
              </w:rPr>
            </w:pPr>
            <w:r>
              <w:rPr>
                <w:rFonts w:ascii="Arial" w:cs="Arial" w:eastAsia="Arial" w:hAnsi="Arial"/>
                <w:sz w:val="11"/>
                <w:szCs w:val="11"/>
                <w:color w:val="auto"/>
              </w:rPr>
              <w:t>(L + 8.25%) / (2.00%)</w:t>
            </w: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10.25%/0.00%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10/11/2019</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87"/>
              </w:rPr>
              <w:t>10/11/2024</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5,500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5,469</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5,500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(549 units) (h)(j)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10/11/2019</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549</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255</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rPr>
              <w:t>6,018</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5,755</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Hallmark Health Care Solutions, Inc.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Healthcare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First Lien Debt (j)(ae)</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gridSpan w:val="3"/>
          </w:tcPr>
          <w:p>
            <w:pPr>
              <w:ind w:left="140"/>
              <w:spacing w:after="0" w:line="119" w:lineRule="exact"/>
              <w:rPr>
                <w:sz w:val="20"/>
                <w:szCs w:val="20"/>
                <w:color w:val="auto"/>
              </w:rPr>
            </w:pPr>
            <w:r>
              <w:rPr>
                <w:rFonts w:ascii="Arial" w:cs="Arial" w:eastAsia="Arial" w:hAnsi="Arial"/>
                <w:sz w:val="11"/>
                <w:szCs w:val="11"/>
                <w:color w:val="auto"/>
              </w:rPr>
              <w:t>(L + 7.25%) / (1.50%)</w:t>
            </w: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97"/>
              </w:rPr>
              <w:t>8.75%/0.00%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12/4/2020</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97"/>
              </w:rPr>
              <w:t>12/4/2025</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8,500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8,437</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8,437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(750,000 units) (j)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12/4/2020</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750</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750</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rPr>
              <w:t>9,187</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9,187</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Healthfuse, LLC</w:t>
            </w:r>
          </w:p>
        </w:tc>
        <w:tc>
          <w:tcPr>
            <w:tcW w:w="1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Healthcare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First Lien Debt (af)</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gridSpan w:val="3"/>
          </w:tcPr>
          <w:p>
            <w:pPr>
              <w:ind w:left="140"/>
              <w:spacing w:after="0" w:line="119" w:lineRule="exact"/>
              <w:rPr>
                <w:sz w:val="20"/>
                <w:szCs w:val="20"/>
                <w:color w:val="auto"/>
              </w:rPr>
            </w:pPr>
            <w:r>
              <w:rPr>
                <w:rFonts w:ascii="Arial" w:cs="Arial" w:eastAsia="Arial" w:hAnsi="Arial"/>
                <w:sz w:val="11"/>
                <w:szCs w:val="11"/>
                <w:color w:val="auto"/>
              </w:rPr>
              <w:t>(L + 7.25%) / (1.00%)</w:t>
            </w: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97"/>
              </w:rPr>
              <w:t>8.25%/0.00%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11/13/2020</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87"/>
              </w:rPr>
              <w:t>11/13/2025</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6,000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5,960</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5,960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8"/>
              </w:rPr>
              <w:t>Preferred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(197,980 units)</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11/13/2020</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750</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750</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rPr>
              <w:t>6,710</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6,710</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Hilco Plastics Holdings, LLC (dba Hilco Technologies)</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Component Manufacturing</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 (j)</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11.50%/1.50%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9/23/2016</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87"/>
              </w:rPr>
              <w:t>12/31/2019</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10,301</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w w:val="83"/>
              </w:rPr>
              <w:t>10,301</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8,878</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Revolving Loan (j)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80" w:type="dxa"/>
            <w:vAlign w:val="bottom"/>
            <w:gridSpan w:val="3"/>
            <w:shd w:val="clear" w:color="auto" w:fill="CCEEFF"/>
          </w:tcPr>
          <w:p>
            <w:pPr>
              <w:ind w:left="140"/>
              <w:spacing w:after="0" w:line="119" w:lineRule="exact"/>
              <w:rPr>
                <w:sz w:val="20"/>
                <w:szCs w:val="20"/>
                <w:color w:val="auto"/>
              </w:rPr>
            </w:pPr>
            <w:r>
              <w:rPr>
                <w:rFonts w:ascii="Arial" w:cs="Arial" w:eastAsia="Arial" w:hAnsi="Arial"/>
                <w:sz w:val="11"/>
                <w:szCs w:val="11"/>
                <w:color w:val="auto"/>
              </w:rPr>
              <w:t>(L + 6.50%) / (0.00%)</w:t>
            </w: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6.65%/0.00%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12/20/2019</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12/15/2019</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5,962</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5,962</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5,962</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First Lien Debt (j)</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gridSpan w:val="3"/>
          </w:tcPr>
          <w:p>
            <w:pPr>
              <w:ind w:left="140"/>
              <w:spacing w:after="0" w:line="119" w:lineRule="exact"/>
              <w:rPr>
                <w:sz w:val="20"/>
                <w:szCs w:val="20"/>
                <w:color w:val="auto"/>
              </w:rPr>
            </w:pPr>
            <w:r>
              <w:rPr>
                <w:rFonts w:ascii="Arial" w:cs="Arial" w:eastAsia="Arial" w:hAnsi="Arial"/>
                <w:sz w:val="11"/>
                <w:szCs w:val="11"/>
                <w:color w:val="auto"/>
              </w:rPr>
              <w:t>(L + 6.95%) / (0.00%)</w:t>
            </w: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97"/>
              </w:rPr>
              <w:t>7.10%/0.00%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12/20/2019</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87"/>
              </w:rPr>
              <w:t>12/15/2019</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5,092</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5,092</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5,092</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8"/>
              </w:rPr>
              <w:t>Preferred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(1,000,000 units) (h)(j)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4/18/2018</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tcPr>
          <w:p>
            <w:pPr>
              <w:spacing w:after="0" w:line="119" w:lineRule="exact"/>
              <w:rPr>
                <w:sz w:val="20"/>
                <w:szCs w:val="20"/>
                <w:color w:val="auto"/>
              </w:rPr>
            </w:pPr>
            <w:r>
              <w:rPr>
                <w:rFonts w:ascii="Arial" w:cs="Arial" w:eastAsia="Arial" w:hAnsi="Arial"/>
                <w:sz w:val="11"/>
                <w:szCs w:val="11"/>
                <w:color w:val="auto"/>
              </w:rPr>
              <w:t>(72,507 units) (h)(j)</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9/23/2016</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473</w:t>
            </w:r>
          </w:p>
        </w:tc>
        <w:tc>
          <w:tcPr>
            <w:tcW w:w="160" w:type="dxa"/>
            <w:vAlign w:val="bottom"/>
          </w:tcPr>
          <w:p>
            <w:pPr>
              <w:spacing w:after="0"/>
              <w:rPr>
                <w:sz w:val="10"/>
                <w:szCs w:val="10"/>
                <w:color w:val="auto"/>
              </w:rPr>
            </w:pPr>
          </w:p>
        </w:tc>
        <w:tc>
          <w:tcPr>
            <w:tcW w:w="420" w:type="dxa"/>
            <w:vAlign w:val="bottom"/>
            <w:tcBorders>
              <w:bottom w:val="single" w:sz="8" w:color="auto"/>
            </w:tcBorders>
          </w:tcPr>
          <w:p>
            <w:pPr>
              <w:jc w:val="right"/>
              <w:ind w:right="7"/>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3"/>
              </w:rPr>
              <w:t>22,828</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19,932</w:t>
            </w:r>
          </w:p>
        </w:tc>
        <w:tc>
          <w:tcPr>
            <w:tcW w:w="7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spacing w:after="0" w:line="119" w:lineRule="exact"/>
              <w:rPr>
                <w:sz w:val="20"/>
                <w:szCs w:val="20"/>
                <w:color w:val="auto"/>
              </w:rPr>
            </w:pPr>
            <w:r>
              <w:rPr>
                <w:rFonts w:ascii="Arial" w:cs="Arial" w:eastAsia="Arial" w:hAnsi="Arial"/>
                <w:sz w:val="11"/>
                <w:szCs w:val="11"/>
                <w:i w:val="1"/>
                <w:iCs w:val="1"/>
                <w:color w:val="auto"/>
              </w:rPr>
              <w:t>Hub Acquisition Sub, LLC (dba Hub Pen)</w:t>
            </w:r>
          </w:p>
        </w:tc>
        <w:tc>
          <w:tcPr>
            <w:tcW w:w="1720" w:type="dxa"/>
            <w:vAlign w:val="bottom"/>
            <w:gridSpan w:val="2"/>
          </w:tcPr>
          <w:p>
            <w:pPr>
              <w:ind w:left="320"/>
              <w:spacing w:after="0" w:line="119" w:lineRule="exact"/>
              <w:rPr>
                <w:sz w:val="20"/>
                <w:szCs w:val="20"/>
                <w:color w:val="auto"/>
              </w:rPr>
            </w:pPr>
            <w:r>
              <w:rPr>
                <w:rFonts w:ascii="Arial" w:cs="Arial" w:eastAsia="Arial" w:hAnsi="Arial"/>
                <w:sz w:val="11"/>
                <w:szCs w:val="11"/>
                <w:color w:val="auto"/>
              </w:rPr>
              <w:t>Promotional products</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Second Lien Debt (k)</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13.00%/0.00%</w:t>
            </w: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3/23/2016</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3/31/2023</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25,000</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3"/>
              </w:rPr>
              <w:t>24,976</w:t>
            </w:r>
          </w:p>
        </w:tc>
        <w:tc>
          <w:tcPr>
            <w:tcW w:w="5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24,106</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tcPr>
          <w:p>
            <w:pPr>
              <w:spacing w:after="0" w:line="119" w:lineRule="exact"/>
              <w:rPr>
                <w:sz w:val="20"/>
                <w:szCs w:val="20"/>
                <w:color w:val="auto"/>
              </w:rPr>
            </w:pPr>
            <w:r>
              <w:rPr>
                <w:rFonts w:ascii="Arial" w:cs="Arial" w:eastAsia="Arial" w:hAnsi="Arial"/>
                <w:sz w:val="11"/>
                <w:szCs w:val="11"/>
                <w:color w:val="auto"/>
              </w:rPr>
              <w:t>(3,750 units)</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3/23/2016</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131</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8"/>
              </w:rPr>
              <w:t>Preferred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(868 units) (j)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10/16/2020</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154</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158</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w w:val="83"/>
              </w:rPr>
              <w:t>25,261</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24,547</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IBH Holdings, LLC (fka Inflexxion, Inc.)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Business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ind w:left="200"/>
              <w:spacing w:after="0"/>
              <w:rPr>
                <w:sz w:val="20"/>
                <w:szCs w:val="20"/>
                <w:color w:val="auto"/>
              </w:rPr>
            </w:pPr>
            <w:r>
              <w:rPr>
                <w:rFonts w:ascii="Arial" w:cs="Arial" w:eastAsia="Arial" w:hAnsi="Arial"/>
                <w:sz w:val="11"/>
                <w:szCs w:val="11"/>
                <w:color w:val="auto"/>
                <w:w w:val="89"/>
              </w:rPr>
              <w:t>Common Equity</w:t>
            </w:r>
          </w:p>
        </w:tc>
        <w:tc>
          <w:tcPr>
            <w:tcW w:w="2380" w:type="dxa"/>
            <w:vAlign w:val="bottom"/>
            <w:gridSpan w:val="2"/>
          </w:tcPr>
          <w:p>
            <w:pPr>
              <w:spacing w:after="0"/>
              <w:rPr>
                <w:sz w:val="20"/>
                <w:szCs w:val="20"/>
                <w:color w:val="auto"/>
              </w:rPr>
            </w:pPr>
            <w:r>
              <w:rPr>
                <w:rFonts w:ascii="Arial" w:cs="Arial" w:eastAsia="Arial" w:hAnsi="Arial"/>
                <w:sz w:val="11"/>
                <w:szCs w:val="11"/>
                <w:color w:val="auto"/>
              </w:rPr>
              <w:t>(150,000 units)</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6/20/2018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235</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Ipro Tech, LLC</w:t>
            </w:r>
          </w:p>
        </w:tc>
        <w:tc>
          <w:tcPr>
            <w:tcW w:w="1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w w:val="86"/>
              </w:rPr>
              <w:t>Information Technology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00"/>
              <w:spacing w:after="0"/>
              <w:rPr>
                <w:sz w:val="20"/>
                <w:szCs w:val="20"/>
                <w:color w:val="auto"/>
              </w:rPr>
            </w:pPr>
            <w:r>
              <w:rPr>
                <w:rFonts w:ascii="Arial" w:cs="Arial" w:eastAsia="Arial" w:hAnsi="Arial"/>
                <w:sz w:val="11"/>
                <w:szCs w:val="11"/>
                <w:color w:val="auto"/>
              </w:rPr>
              <w:t>First Lien Debt (j)(u)</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gridSpan w:val="3"/>
          </w:tcPr>
          <w:p>
            <w:pPr>
              <w:ind w:left="140"/>
              <w:spacing w:after="0"/>
              <w:rPr>
                <w:sz w:val="20"/>
                <w:szCs w:val="20"/>
                <w:color w:val="auto"/>
              </w:rPr>
            </w:pPr>
            <w:r>
              <w:rPr>
                <w:rFonts w:ascii="Arial" w:cs="Arial" w:eastAsia="Arial" w:hAnsi="Arial"/>
                <w:sz w:val="11"/>
                <w:szCs w:val="11"/>
                <w:color w:val="auto"/>
              </w:rPr>
              <w:t>(L + 8.50%) / (2.00%)</w:t>
            </w:r>
          </w:p>
        </w:tc>
        <w:tc>
          <w:tcPr>
            <w:tcW w:w="660" w:type="dxa"/>
            <w:vAlign w:val="bottom"/>
          </w:tcPr>
          <w:p>
            <w:pPr>
              <w:jc w:val="right"/>
              <w:spacing w:after="0"/>
              <w:rPr>
                <w:sz w:val="20"/>
                <w:szCs w:val="20"/>
                <w:color w:val="auto"/>
              </w:rPr>
            </w:pPr>
            <w:r>
              <w:rPr>
                <w:rFonts w:ascii="Arial" w:cs="Arial" w:eastAsia="Arial" w:hAnsi="Arial"/>
                <w:sz w:val="11"/>
                <w:szCs w:val="11"/>
                <w:color w:val="auto"/>
                <w:w w:val="89"/>
              </w:rPr>
              <w:t>10.50%/0.00%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6/30/2020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6/30/2025</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2,469</w:t>
            </w: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1,923</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2,469</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0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w w:val="96"/>
              </w:rPr>
              <w:t>K2 Merger Agreement Agent, LLC (fka K2 Industrial Services, Inc.) (n)</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w w:val="93"/>
              </w:rPr>
              <w:t>Industrial Cleaning &amp; Coatings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tcPr>
          <w:p>
            <w:pPr>
              <w:ind w:left="200"/>
              <w:spacing w:after="0"/>
              <w:rPr>
                <w:sz w:val="20"/>
                <w:szCs w:val="20"/>
                <w:color w:val="auto"/>
              </w:rPr>
            </w:pPr>
            <w:r>
              <w:rPr>
                <w:rFonts w:ascii="Arial" w:cs="Arial" w:eastAsia="Arial" w:hAnsi="Arial"/>
                <w:sz w:val="11"/>
                <w:szCs w:val="11"/>
                <w:color w:val="auto"/>
              </w:rPr>
              <w:t>Second Lien Debt (j)</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w w:val="89"/>
              </w:rPr>
              <w:t>0.00%/10.00%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1/28/2019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1/28/2021</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2,140</w:t>
            </w: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2,140</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2,140</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0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The Kyjen Company, LLC (dba Outward Hound)</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Consumer Products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 (k)</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12.00%/0.00%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12/8/2017</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rPr>
              <w:t>6/8/2024</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15,000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w w:val="83"/>
              </w:rPr>
              <w:t>14,960</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15,000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(765 shares) (j)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12/8/2017</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765</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841</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w w:val="83"/>
              </w:rPr>
              <w:t>15,725</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15,841</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LNG Indy, LLC (dba Kinetrex Energy)</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Oil &amp; Gas Distribution</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 (k)</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11.50%/1.50%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12/28/2016</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87"/>
              </w:rPr>
              <w:t>11/12/2021</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10,127</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w w:val="83"/>
              </w:rPr>
              <w:t>10,108</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10,127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(500 units)</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12/28/2016</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500</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959</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w w:val="83"/>
              </w:rPr>
              <w:t>10,608</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11,086</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Mesa Line Services, LLC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Utilities: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 (j)</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10.50%/0.50%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11/30/2017</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rPr>
              <w:t>8/1/2024</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17,511</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w w:val="83"/>
              </w:rPr>
              <w:t>17,442</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17,511</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(981 shares) (j)</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11/30/2017</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1,148</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1,076</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w w:val="83"/>
              </w:rPr>
              <w:t>18,590</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18,587</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Midwest Transit Equipment, Inc.</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Transportation services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Warrant (7,192 shares) (j)(m)</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6/23/2017</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180</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118</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Warrant (4.79% of Junior Subordinated Notes) (j)(q)</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6/23/2017</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190</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248</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1"/>
                <w:szCs w:val="11"/>
                <w:color w:val="auto"/>
              </w:rPr>
              <w:t>370</w:t>
            </w:r>
          </w:p>
        </w:tc>
        <w:tc>
          <w:tcPr>
            <w:tcW w:w="5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366</w:t>
            </w:r>
          </w:p>
        </w:tc>
        <w:tc>
          <w:tcPr>
            <w:tcW w:w="74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NGT Acquisition Holdings, LLC (dba Techniks Industries)</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Component Manufacturing</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ind w:left="200"/>
              <w:spacing w:after="0"/>
              <w:rPr>
                <w:sz w:val="20"/>
                <w:szCs w:val="20"/>
                <w:color w:val="auto"/>
              </w:rPr>
            </w:pPr>
            <w:r>
              <w:rPr>
                <w:rFonts w:ascii="Arial" w:cs="Arial" w:eastAsia="Arial" w:hAnsi="Arial"/>
                <w:sz w:val="11"/>
                <w:szCs w:val="11"/>
                <w:color w:val="auto"/>
                <w:w w:val="89"/>
              </w:rPr>
              <w:t>Common Equity</w:t>
            </w:r>
          </w:p>
        </w:tc>
        <w:tc>
          <w:tcPr>
            <w:tcW w:w="2380" w:type="dxa"/>
            <w:vAlign w:val="bottom"/>
            <w:gridSpan w:val="2"/>
          </w:tcPr>
          <w:p>
            <w:pPr>
              <w:spacing w:after="0"/>
              <w:rPr>
                <w:sz w:val="20"/>
                <w:szCs w:val="20"/>
                <w:color w:val="auto"/>
              </w:rPr>
            </w:pPr>
            <w:r>
              <w:rPr>
                <w:rFonts w:ascii="Arial" w:cs="Arial" w:eastAsia="Arial" w:hAnsi="Arial"/>
                <w:sz w:val="11"/>
                <w:szCs w:val="11"/>
                <w:color w:val="auto"/>
              </w:rPr>
              <w:t>(378 units) (j)</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5/24/2017</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500</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227</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0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30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i w:val="1"/>
                <w:iCs w:val="1"/>
                <w:color w:val="auto"/>
              </w:rPr>
              <w:t>OMC Investors, LLC (dba Ohio Medical Corporation)</w:t>
            </w:r>
          </w:p>
        </w:tc>
        <w:tc>
          <w:tcPr>
            <w:tcW w:w="1720" w:type="dxa"/>
            <w:vAlign w:val="bottom"/>
            <w:gridSpan w:val="2"/>
            <w:shd w:val="clear" w:color="auto" w:fill="CCEEFF"/>
          </w:tcPr>
          <w:p>
            <w:pPr>
              <w:ind w:left="320"/>
              <w:spacing w:after="0" w:line="119" w:lineRule="exact"/>
              <w:rPr>
                <w:sz w:val="20"/>
                <w:szCs w:val="20"/>
                <w:color w:val="auto"/>
              </w:rPr>
            </w:pPr>
            <w:r>
              <w:rPr>
                <w:rFonts w:ascii="Arial" w:cs="Arial" w:eastAsia="Arial" w:hAnsi="Arial"/>
                <w:sz w:val="11"/>
                <w:szCs w:val="11"/>
                <w:color w:val="auto"/>
              </w:rPr>
              <w:t>Healthcare Products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3"/>
          </w:tcPr>
          <w:p>
            <w:pPr>
              <w:ind w:left="200"/>
              <w:spacing w:after="0" w:line="119" w:lineRule="exact"/>
              <w:rPr>
                <w:sz w:val="20"/>
                <w:szCs w:val="20"/>
                <w:color w:val="auto"/>
              </w:rPr>
            </w:pPr>
            <w:r>
              <w:rPr>
                <w:rFonts w:ascii="Arial" w:cs="Arial" w:eastAsia="Arial" w:hAnsi="Arial"/>
                <w:sz w:val="11"/>
                <w:szCs w:val="11"/>
                <w:color w:val="auto"/>
              </w:rPr>
              <w:t>Second Lien Debt</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1"/>
                <w:szCs w:val="11"/>
                <w:color w:val="auto"/>
                <w:w w:val="89"/>
              </w:rPr>
              <w:t>12.00%/0.00%</w:t>
            </w:r>
          </w:p>
        </w:tc>
        <w:tc>
          <w:tcPr>
            <w:tcW w:w="6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1/15/2016</w:t>
            </w: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w w:val="97"/>
              </w:rPr>
              <w:t>6/30/2022</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10,000</w:t>
            </w:r>
          </w:p>
        </w:tc>
        <w:tc>
          <w:tcPr>
            <w:tcW w:w="18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rPr>
              <w:t>9,985</w:t>
            </w:r>
          </w:p>
        </w:tc>
        <w:tc>
          <w:tcPr>
            <w:tcW w:w="5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10,000</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shd w:val="clear" w:color="auto" w:fill="CCEEFF"/>
          </w:tcPr>
          <w:p>
            <w:pPr>
              <w:ind w:left="200"/>
              <w:spacing w:after="0" w:line="119" w:lineRule="exact"/>
              <w:rPr>
                <w:sz w:val="20"/>
                <w:szCs w:val="20"/>
                <w:color w:val="auto"/>
              </w:rPr>
            </w:pPr>
            <w:r>
              <w:rPr>
                <w:rFonts w:ascii="Arial" w:cs="Arial" w:eastAsia="Arial" w:hAnsi="Arial"/>
                <w:sz w:val="11"/>
                <w:szCs w:val="11"/>
                <w:color w:val="auto"/>
                <w:w w:val="89"/>
              </w:rPr>
              <w:t>Common Equity</w:t>
            </w:r>
          </w:p>
        </w:tc>
        <w:tc>
          <w:tcPr>
            <w:tcW w:w="23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(5,000 units)</w:t>
            </w:r>
          </w:p>
        </w:tc>
        <w:tc>
          <w:tcPr>
            <w:tcW w:w="3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1/15/2016</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462</w:t>
            </w:r>
          </w:p>
        </w:tc>
        <w:tc>
          <w:tcPr>
            <w:tcW w:w="1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869</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w w:val="83"/>
              </w:rPr>
              <w:t>10,447</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10,869</w:t>
            </w:r>
          </w:p>
        </w:tc>
        <w:tc>
          <w:tcPr>
            <w:tcW w:w="74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320" w:top="451" w:right="5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December 31, 2020</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346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 (a)(b)</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Variable Index</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Rate (e)</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Investment</w:t>
            </w:r>
          </w:p>
        </w:tc>
        <w:tc>
          <w:tcPr>
            <w:tcW w:w="600" w:type="dxa"/>
            <w:vAlign w:val="bottom"/>
          </w:tcPr>
          <w:p>
            <w:pPr>
              <w:spacing w:after="0"/>
              <w:rPr>
                <w:sz w:val="12"/>
                <w:szCs w:val="12"/>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4"/>
              </w:rPr>
              <w:t>Principal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rPr>
                <w:sz w:val="20"/>
                <w:szCs w:val="20"/>
                <w:color w:val="auto"/>
              </w:rPr>
            </w:pPr>
            <w:r>
              <w:rPr>
                <w:rFonts w:ascii="Arial" w:cs="Arial" w:eastAsia="Arial" w:hAnsi="Arial"/>
                <w:sz w:val="12"/>
                <w:szCs w:val="12"/>
                <w:b w:val="1"/>
                <w:bCs w:val="1"/>
                <w:color w:val="auto"/>
              </w:rPr>
              <w:t>Fair</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45"/>
        </w:trPr>
        <w:tc>
          <w:tcPr>
            <w:tcW w:w="3460" w:type="dxa"/>
            <w:vAlign w:val="bottom"/>
            <w:gridSpan w:val="3"/>
          </w:tcPr>
          <w:p>
            <w:pPr>
              <w:spacing w:after="0"/>
              <w:rPr>
                <w:sz w:val="20"/>
                <w:szCs w:val="20"/>
                <w:color w:val="auto"/>
              </w:rPr>
            </w:pPr>
            <w:r>
              <w:rPr>
                <w:rFonts w:ascii="Arial" w:cs="Arial" w:eastAsia="Arial" w:hAnsi="Arial"/>
                <w:sz w:val="12"/>
                <w:szCs w:val="12"/>
                <w:b w:val="1"/>
                <w:bCs w:val="1"/>
                <w:color w:val="auto"/>
              </w:rPr>
              <w:t>Investment Type (c)</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Industry</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Spread /Floor (d)</w:t>
            </w:r>
          </w:p>
        </w:tc>
        <w:tc>
          <w:tcPr>
            <w:tcW w:w="8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Cash/PIK</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Date (f)</w:t>
            </w:r>
          </w:p>
        </w:tc>
        <w:tc>
          <w:tcPr>
            <w:tcW w:w="600" w:type="dxa"/>
            <w:vAlign w:val="bottom"/>
          </w:tcPr>
          <w:p>
            <w:pPr>
              <w:jc w:val="right"/>
              <w:ind w:right="19"/>
              <w:spacing w:after="0"/>
              <w:rPr>
                <w:sz w:val="20"/>
                <w:szCs w:val="20"/>
                <w:color w:val="auto"/>
              </w:rPr>
            </w:pPr>
            <w:r>
              <w:rPr>
                <w:rFonts w:ascii="Arial" w:cs="Arial" w:eastAsia="Arial" w:hAnsi="Arial"/>
                <w:sz w:val="12"/>
                <w:szCs w:val="12"/>
                <w:b w:val="1"/>
                <w:bCs w:val="1"/>
                <w:color w:val="auto"/>
              </w:rPr>
              <w:t>Maturity</w:t>
            </w:r>
          </w:p>
        </w:tc>
        <w:tc>
          <w:tcPr>
            <w:tcW w:w="10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tcPr>
          <w:p>
            <w:pPr>
              <w:jc w:val="right"/>
              <w:ind w:right="19"/>
              <w:spacing w:after="0"/>
              <w:rPr>
                <w:sz w:val="20"/>
                <w:szCs w:val="20"/>
                <w:color w:val="auto"/>
              </w:rPr>
            </w:pPr>
            <w:r>
              <w:rPr>
                <w:rFonts w:ascii="Arial" w:cs="Arial" w:eastAsia="Arial" w:hAnsi="Arial"/>
                <w:sz w:val="12"/>
                <w:szCs w:val="12"/>
                <w:b w:val="1"/>
                <w:bCs w:val="1"/>
                <w:color w:val="auto"/>
              </w:rPr>
              <w:t>Cost</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(g)</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9"/>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i w:val="1"/>
                <w:iCs w:val="1"/>
                <w:color w:val="auto"/>
              </w:rPr>
              <w:t>Palisade Company, LLC</w:t>
            </w:r>
          </w:p>
        </w:tc>
        <w:tc>
          <w:tcPr>
            <w:tcW w:w="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3"/>
              </w:rPr>
              <w:t>Information Technology Services</w:t>
            </w: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(50 shares) (j)</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11/15/2018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630</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Palmetto Moon,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Retail</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First Lien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11.50%/2.50%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11/3/2016</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10/31/2021</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4,779</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4,773</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4,779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(499 units)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11/3/2016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494</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159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5,267</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4,938</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Pool &amp; Electrical Products,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11.75%/0.00%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10/28/2020</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4/28/2027</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12,000</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11,883</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11,883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(15,000 units)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10/28/2020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1,500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13,383</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13,383</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Power Grid Components, Inc.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11.00%/1.00%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12/2/2025</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22,433</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22,357</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22,433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(392 shares)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392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509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Preferred Equity (48 shares)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12/2/2019</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48</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(10,622 shares)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462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740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23,259</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23,745</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Prime AE Group, Inc.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First Lien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(L + 6.25%) / (2.00%)</w:t>
            </w: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8.25%/0.00%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11/25/2019</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11/25/2024</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6,833</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6,683</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6,833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(500,000 shares)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11/25/2019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500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566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7,183</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7,399</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Revenue Management Solutions,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w w:val="98"/>
              </w:rPr>
              <w:t>Information Technology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Common Equity (113 shares)</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1/4/2017</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1,125</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3,081</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Rhino Assembly Company,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(k)</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12.00%/1.50%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8/11/2017</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2/11/2023</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10,682</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10,655</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10,682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w w:val="95"/>
              </w:rPr>
              <w:t>Delayed Draw Commitment ($875 unfunded commitment) (i)(j)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12.00%/1.00%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8/11/2017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5/17/2022</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30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(Class A Units) (8,864 units) (h)(j)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8/11/2017</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944</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629</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(Units N/A)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12/10/2020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136</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(Class F Units) (355 units) (h)(j)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12/10/2020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11,735</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11,448</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Road Safety Services, Inc.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11.25%/1.50%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9/18/2018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3/18/2024</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10,379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10,351</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10,379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(655 units)</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9/18/2018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621</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882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10,972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11,261</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Rohrer Corporation</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Packaging</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Subordinated Debt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10.50%/1.00%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10/1/2018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4/1/2024</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14,017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13,976</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14,017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(400 shares) (j)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7/18/2016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780</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1,591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14,756</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15,608</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Routeware, Inc.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w w:val="98"/>
              </w:rPr>
              <w:t>Information Technology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(k)(aa)</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40"/>
              <w:spacing w:after="0" w:line="132" w:lineRule="exact"/>
              <w:rPr>
                <w:sz w:val="20"/>
                <w:szCs w:val="20"/>
                <w:color w:val="auto"/>
              </w:rPr>
            </w:pPr>
            <w:r>
              <w:rPr>
                <w:rFonts w:ascii="Arial" w:cs="Arial" w:eastAsia="Arial" w:hAnsi="Arial"/>
                <w:sz w:val="12"/>
                <w:szCs w:val="12"/>
                <w:color w:val="auto"/>
              </w:rPr>
              <w:t>(L + 7.00%) / (1.75%)</w:t>
            </w: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8.75%/0.00%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2/7/2020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2/7/2025</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14,888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14,814</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14,888</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2"/>
                <w:szCs w:val="12"/>
                <w:i w:val="1"/>
                <w:iCs w:val="1"/>
                <w:color w:val="auto"/>
              </w:rPr>
              <w:t>SES Investors, LLC (dba SES Foam)</w:t>
            </w:r>
          </w:p>
        </w:tc>
        <w:tc>
          <w:tcPr>
            <w:tcW w:w="1760" w:type="dxa"/>
            <w:vAlign w:val="bottom"/>
            <w:gridSpan w:val="3"/>
          </w:tcPr>
          <w:p>
            <w:pPr>
              <w:ind w:left="20"/>
              <w:spacing w:after="0"/>
              <w:rPr>
                <w:sz w:val="20"/>
                <w:szCs w:val="20"/>
                <w:color w:val="auto"/>
              </w:rPr>
            </w:pPr>
            <w:r>
              <w:rPr>
                <w:rFonts w:ascii="Arial" w:cs="Arial" w:eastAsia="Arial" w:hAnsi="Arial"/>
                <w:sz w:val="12"/>
                <w:szCs w:val="12"/>
                <w:color w:val="auto"/>
                <w:w w:val="99"/>
              </w:rPr>
              <w:t>Building Products Manufacturing</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Second Lien Debt</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13.00%/0.00%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9/8/2016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12/29/2022</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997</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(6,000 units) (h)(j)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9/8/2016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537</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1,869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1,534</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2,869</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Software Technology, LLC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w w:val="98"/>
              </w:rPr>
              <w:t>Information Technology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Subordinated Debt (k)</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11.00%/0.00%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12/23/2016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6/23/2023</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9,980</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(6 shares)</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12/23/2016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646</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942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10,626</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10,942</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Specialized Elevator Services Holdings, LLC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First Lien Debt (j)(y)</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40"/>
              <w:spacing w:after="0" w:line="132" w:lineRule="exact"/>
              <w:rPr>
                <w:sz w:val="20"/>
                <w:szCs w:val="20"/>
                <w:color w:val="auto"/>
              </w:rPr>
            </w:pPr>
            <w:r>
              <w:rPr>
                <w:rFonts w:ascii="Arial" w:cs="Arial" w:eastAsia="Arial" w:hAnsi="Arial"/>
                <w:sz w:val="12"/>
                <w:szCs w:val="12"/>
                <w:color w:val="auto"/>
              </w:rPr>
              <w:t>(L + 5.25%) / (2.00%)</w:t>
            </w: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7.25%/0.00%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5/7/2019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5/3/2024</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12,889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12,782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12,889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Common Equity (596 units) (j)</w:t>
            </w: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5/8/2019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596</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647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7"/>
              </w:rPr>
              <w:t>13,378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13,536</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SpendMend LLC</w:t>
            </w:r>
          </w:p>
        </w:tc>
        <w:tc>
          <w:tcPr>
            <w:tcW w:w="1760" w:type="dxa"/>
            <w:vAlign w:val="bottom"/>
            <w:gridSpan w:val="3"/>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(1,000,000 units)</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1/8/2018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972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1,915</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2"/>
                <w:szCs w:val="12"/>
                <w:i w:val="1"/>
                <w:iCs w:val="1"/>
                <w:color w:val="auto"/>
              </w:rPr>
              <w:t>TransGo, LLC</w:t>
            </w:r>
          </w:p>
        </w:tc>
        <w:tc>
          <w:tcPr>
            <w:tcW w:w="1760" w:type="dxa"/>
            <w:vAlign w:val="bottom"/>
            <w:gridSpan w:val="3"/>
          </w:tcPr>
          <w:p>
            <w:pPr>
              <w:ind w:left="20"/>
              <w:spacing w:after="0"/>
              <w:rPr>
                <w:sz w:val="20"/>
                <w:szCs w:val="20"/>
                <w:color w:val="auto"/>
              </w:rPr>
            </w:pPr>
            <w:r>
              <w:rPr>
                <w:rFonts w:ascii="Arial" w:cs="Arial" w:eastAsia="Arial" w:hAnsi="Arial"/>
                <w:sz w:val="12"/>
                <w:szCs w:val="12"/>
                <w:color w:val="auto"/>
              </w:rPr>
              <w:t>Component Manufacturing</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(500 units)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2/28/2017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474</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996</w:t>
            </w:r>
          </w:p>
        </w:tc>
        <w:tc>
          <w:tcPr>
            <w:tcW w:w="78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37"/>
        </w:trPr>
        <w:tc>
          <w:tcPr>
            <w:tcW w:w="3460" w:type="dxa"/>
            <w:vAlign w:val="bottom"/>
            <w:gridSpan w:val="3"/>
          </w:tcPr>
          <w:p>
            <w:pPr>
              <w:spacing w:after="0"/>
              <w:rPr>
                <w:sz w:val="20"/>
                <w:szCs w:val="20"/>
                <w:color w:val="auto"/>
              </w:rPr>
            </w:pPr>
            <w:r>
              <w:rPr>
                <w:rFonts w:ascii="Arial" w:cs="Arial" w:eastAsia="Arial" w:hAnsi="Arial"/>
                <w:sz w:val="12"/>
                <w:szCs w:val="12"/>
                <w:i w:val="1"/>
                <w:iCs w:val="1"/>
                <w:color w:val="auto"/>
              </w:rPr>
              <w:t>The Tranzonic Companies</w:t>
            </w:r>
          </w:p>
        </w:tc>
        <w:tc>
          <w:tcPr>
            <w:tcW w:w="1760" w:type="dxa"/>
            <w:vAlign w:val="bottom"/>
            <w:gridSpan w:val="3"/>
          </w:tcPr>
          <w:p>
            <w:pPr>
              <w:ind w:left="20"/>
              <w:spacing w:after="0"/>
              <w:rPr>
                <w:sz w:val="20"/>
                <w:szCs w:val="20"/>
                <w:color w:val="auto"/>
              </w:rPr>
            </w:pPr>
            <w:r>
              <w:rPr>
                <w:rFonts w:ascii="Arial" w:cs="Arial" w:eastAsia="Arial" w:hAnsi="Arial"/>
                <w:sz w:val="12"/>
                <w:szCs w:val="12"/>
                <w:color w:val="auto"/>
              </w:rPr>
              <w:t>Specialty Distribution</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Subordinated Debt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w w:val="97"/>
              </w:rPr>
              <w:t>10.00%/1.00%</w:t>
            </w: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3/27/2018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3/27/2025</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7,001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6,959</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7,001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Preferred Equity (5,653 units)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3/27/2018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565</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730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 units)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3/27/2018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683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7,524</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8,414</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UBEO,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Business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Subordinated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11.00%/0.00%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4/3/2018</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10/3/2024</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13,893</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13,814</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13,893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(705,000 units) (h)(j)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4/3/2018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668</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661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14,482</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14,554</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United Biologics,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Healthcare Services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Preferred Equity (98,377 units) (h)(j)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4/1/2012</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rPr>
              <w:t>1,008</w:t>
            </w:r>
          </w:p>
        </w:tc>
        <w:tc>
          <w:tcPr>
            <w:tcW w:w="10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Warrant (57,469 units) (j)(m)</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3/5/2012</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566</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1,574</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Virginia Tile Company,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Specialty Distribution</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7"/>
              </w:rPr>
              <w:t>12.25%/0.00%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12/19/2014</w:t>
            </w:r>
          </w:p>
        </w:tc>
        <w:tc>
          <w:tcPr>
            <w:tcW w:w="1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4/7/2022</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12,000</w:t>
            </w:r>
          </w:p>
        </w:tc>
        <w:tc>
          <w:tcPr>
            <w:tcW w:w="100" w:type="dxa"/>
            <w:vAlign w:val="bottom"/>
          </w:tcPr>
          <w:p>
            <w:pPr>
              <w:spacing w:after="0"/>
              <w:rPr>
                <w:sz w:val="11"/>
                <w:szCs w:val="11"/>
                <w:color w:val="auto"/>
              </w:rPr>
            </w:pPr>
          </w:p>
        </w:tc>
        <w:tc>
          <w:tcPr>
            <w:tcW w:w="380" w:type="dxa"/>
            <w:vAlign w:val="bottom"/>
          </w:tcPr>
          <w:p>
            <w:pPr>
              <w:jc w:val="right"/>
              <w:spacing w:after="0" w:line="132" w:lineRule="exact"/>
              <w:rPr>
                <w:sz w:val="20"/>
                <w:szCs w:val="20"/>
                <w:color w:val="auto"/>
              </w:rPr>
            </w:pPr>
            <w:r>
              <w:rPr>
                <w:rFonts w:ascii="Arial" w:cs="Arial" w:eastAsia="Arial" w:hAnsi="Arial"/>
                <w:sz w:val="12"/>
                <w:szCs w:val="12"/>
                <w:color w:val="auto"/>
                <w:w w:val="97"/>
              </w:rPr>
              <w:t>11,998</w:t>
            </w:r>
          </w:p>
        </w:tc>
        <w:tc>
          <w:tcPr>
            <w:tcW w:w="5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12,000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(17 units) (j)</w:t>
            </w:r>
          </w:p>
        </w:tc>
        <w:tc>
          <w:tcPr>
            <w:tcW w:w="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12/19/2014</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342</w:t>
            </w:r>
          </w:p>
        </w:tc>
        <w:tc>
          <w:tcPr>
            <w:tcW w:w="5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521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12,340</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12,521</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Western’s Smokehouse, LLC</w:t>
            </w:r>
          </w:p>
        </w:tc>
        <w:tc>
          <w:tcPr>
            <w:tcW w:w="176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Consumer Products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tcPr>
          <w:p>
            <w:pPr>
              <w:ind w:left="240"/>
              <w:spacing w:after="0"/>
              <w:rPr>
                <w:sz w:val="20"/>
                <w:szCs w:val="20"/>
                <w:color w:val="auto"/>
              </w:rPr>
            </w:pPr>
            <w:r>
              <w:rPr>
                <w:rFonts w:ascii="Arial" w:cs="Arial" w:eastAsia="Arial" w:hAnsi="Arial"/>
                <w:sz w:val="12"/>
                <w:szCs w:val="12"/>
                <w:color w:val="auto"/>
              </w:rPr>
              <w:t>First Lien Debt (j)(ab)</w:t>
            </w: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color w:val="auto"/>
              </w:rPr>
              <w:t>(L + 6.50%) / (1.25%)</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7.75%/0.00%</w:t>
            </w:r>
          </w:p>
        </w:tc>
        <w:tc>
          <w:tcPr>
            <w:tcW w:w="600" w:type="dxa"/>
            <w:vAlign w:val="bottom"/>
          </w:tcPr>
          <w:p>
            <w:pPr>
              <w:jc w:val="right"/>
              <w:spacing w:after="0"/>
              <w:rPr>
                <w:sz w:val="20"/>
                <w:szCs w:val="20"/>
                <w:color w:val="auto"/>
              </w:rPr>
            </w:pPr>
            <w:r>
              <w:rPr>
                <w:rFonts w:ascii="Arial" w:cs="Arial" w:eastAsia="Arial" w:hAnsi="Arial"/>
                <w:sz w:val="12"/>
                <w:szCs w:val="12"/>
                <w:color w:val="auto"/>
              </w:rPr>
              <w:t>2/28/2020</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12/23/2024</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9,876</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20" w:top="451"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2780" w:type="dxa"/>
            <w:vAlign w:val="bottom"/>
            <w:gridSpan w:val="3"/>
          </w:tcPr>
          <w:p>
            <w:pPr>
              <w:spacing w:after="0"/>
              <w:rPr>
                <w:sz w:val="20"/>
                <w:szCs w:val="20"/>
                <w:color w:val="auto"/>
              </w:rPr>
            </w:pPr>
            <w:r>
              <w:rPr>
                <w:rFonts w:ascii="Arial" w:cs="Arial" w:eastAsia="Arial" w:hAnsi="Arial"/>
                <w:sz w:val="12"/>
                <w:szCs w:val="12"/>
                <w:b w:val="1"/>
                <w:bCs w:val="1"/>
                <w:color w:val="auto"/>
              </w:rPr>
              <w:t>Portfolio Company (a)(b)</w:t>
            </w: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Variable Index</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Rate (e)</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Investment</w:t>
            </w:r>
          </w:p>
        </w:tc>
        <w:tc>
          <w:tcPr>
            <w:tcW w:w="60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Principal</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b w:val="1"/>
                <w:bCs w:val="1"/>
                <w:color w:val="auto"/>
              </w:rPr>
              <w:t>Fair</w:t>
            </w:r>
          </w:p>
        </w:tc>
        <w:tc>
          <w:tcPr>
            <w:tcW w:w="8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65"/>
        </w:trPr>
        <w:tc>
          <w:tcPr>
            <w:tcW w:w="2780" w:type="dxa"/>
            <w:vAlign w:val="bottom"/>
            <w:gridSpan w:val="3"/>
          </w:tcPr>
          <w:p>
            <w:pPr>
              <w:spacing w:after="0"/>
              <w:rPr>
                <w:sz w:val="20"/>
                <w:szCs w:val="20"/>
                <w:color w:val="auto"/>
              </w:rPr>
            </w:pPr>
            <w:r>
              <w:rPr>
                <w:rFonts w:ascii="Arial" w:cs="Arial" w:eastAsia="Arial" w:hAnsi="Arial"/>
                <w:sz w:val="12"/>
                <w:szCs w:val="12"/>
                <w:b w:val="1"/>
                <w:bCs w:val="1"/>
                <w:color w:val="auto"/>
              </w:rPr>
              <w:t>Investment Type (c)</w:t>
            </w:r>
          </w:p>
        </w:tc>
        <w:tc>
          <w:tcPr>
            <w:tcW w:w="1820" w:type="dxa"/>
            <w:vAlign w:val="bottom"/>
            <w:gridSpan w:val="3"/>
          </w:tcPr>
          <w:p>
            <w:pPr>
              <w:ind w:left="500"/>
              <w:spacing w:after="0"/>
              <w:rPr>
                <w:sz w:val="20"/>
                <w:szCs w:val="20"/>
                <w:color w:val="auto"/>
              </w:rPr>
            </w:pPr>
            <w:r>
              <w:rPr>
                <w:rFonts w:ascii="Arial" w:cs="Arial" w:eastAsia="Arial" w:hAnsi="Arial"/>
                <w:sz w:val="12"/>
                <w:szCs w:val="12"/>
                <w:b w:val="1"/>
                <w:bCs w:val="1"/>
                <w:color w:val="auto"/>
              </w:rPr>
              <w:t>Industry</w:t>
            </w:r>
          </w:p>
        </w:tc>
        <w:tc>
          <w:tcPr>
            <w:tcW w:w="12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Spread / Floor (d)</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Cash/PIK</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Date (f)</w:t>
            </w:r>
          </w:p>
        </w:tc>
        <w:tc>
          <w:tcPr>
            <w:tcW w:w="600" w:type="dxa"/>
            <w:vAlign w:val="bottom"/>
          </w:tcPr>
          <w:p>
            <w:pPr>
              <w:jc w:val="right"/>
              <w:ind w:right="19"/>
              <w:spacing w:after="0"/>
              <w:rPr>
                <w:sz w:val="20"/>
                <w:szCs w:val="20"/>
                <w:color w:val="auto"/>
              </w:rPr>
            </w:pPr>
            <w:r>
              <w:rPr>
                <w:rFonts w:ascii="Arial" w:cs="Arial" w:eastAsia="Arial" w:hAnsi="Arial"/>
                <w:sz w:val="12"/>
                <w:szCs w:val="12"/>
                <w:b w:val="1"/>
                <w:bCs w:val="1"/>
                <w:color w:val="auto"/>
              </w:rPr>
              <w:t>Maturity</w:t>
            </w: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b w:val="1"/>
                <w:bCs w:val="1"/>
                <w:color w:val="auto"/>
              </w:rPr>
              <w:t>Cost</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(g)</w:t>
            </w:r>
          </w:p>
        </w:tc>
        <w:tc>
          <w:tcPr>
            <w:tcW w:w="8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Net Assets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tcBorders>
              <w:top w:val="single" w:sz="8" w:color="auto"/>
            </w:tcBorders>
            <w:shd w:val="clear" w:color="auto" w:fill="CCEEFF"/>
          </w:tcPr>
          <w:p>
            <w:pPr>
              <w:spacing w:after="0" w:line="118" w:lineRule="exact"/>
              <w:rPr>
                <w:sz w:val="20"/>
                <w:szCs w:val="20"/>
                <w:color w:val="auto"/>
              </w:rPr>
            </w:pPr>
            <w:r>
              <w:rPr>
                <w:rFonts w:ascii="Arial" w:cs="Arial" w:eastAsia="Arial" w:hAnsi="Arial"/>
                <w:sz w:val="12"/>
                <w:szCs w:val="12"/>
                <w:i w:val="1"/>
                <w:iCs w:val="1"/>
                <w:color w:val="auto"/>
              </w:rPr>
              <w:t>Wheel Pros, Inc.</w:t>
            </w:r>
          </w:p>
        </w:tc>
        <w:tc>
          <w:tcPr>
            <w:tcW w:w="17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ind w:left="40"/>
              <w:spacing w:after="0" w:line="118" w:lineRule="exact"/>
              <w:rPr>
                <w:sz w:val="20"/>
                <w:szCs w:val="20"/>
                <w:color w:val="auto"/>
              </w:rPr>
            </w:pPr>
            <w:r>
              <w:rPr>
                <w:rFonts w:ascii="Arial" w:cs="Arial" w:eastAsia="Arial" w:hAnsi="Arial"/>
                <w:sz w:val="12"/>
                <w:szCs w:val="12"/>
                <w:color w:val="auto"/>
                <w:w w:val="99"/>
              </w:rPr>
              <w:t>Specialty Distribution</w:t>
            </w: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(L + 9.00%) / (1.00%)</w:t>
            </w:r>
          </w:p>
        </w:tc>
        <w:tc>
          <w:tcPr>
            <w:tcW w:w="9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w w:val="97"/>
              </w:rPr>
              <w:t>10.00%/0.00%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11/10/2020</w:t>
            </w:r>
          </w:p>
        </w:tc>
        <w:tc>
          <w:tcPr>
            <w:tcW w:w="14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11/10/2028</w:t>
            </w:r>
          </w:p>
        </w:tc>
        <w:tc>
          <w:tcPr>
            <w:tcW w:w="6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20,000</w:t>
            </w:r>
          </w:p>
        </w:tc>
        <w:tc>
          <w:tcPr>
            <w:tcW w:w="120" w:type="dxa"/>
            <w:vAlign w:val="bottom"/>
          </w:tcPr>
          <w:p>
            <w:pPr>
              <w:spacing w:after="0"/>
              <w:rPr>
                <w:sz w:val="11"/>
                <w:szCs w:val="11"/>
                <w:color w:val="auto"/>
              </w:rPr>
            </w:pPr>
          </w:p>
        </w:tc>
        <w:tc>
          <w:tcPr>
            <w:tcW w:w="4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19,411</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19,411</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Preferred Equity (347,222 units) (j)</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5/15/2019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301</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1,031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19,712</w:t>
            </w:r>
          </w:p>
        </w:tc>
        <w:tc>
          <w:tcPr>
            <w:tcW w:w="14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20,442</w:t>
            </w: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i w:val="1"/>
                <w:iCs w:val="1"/>
                <w:color w:val="auto"/>
              </w:rPr>
              <w:t>Worldwide Express Operations, LLC</w:t>
            </w:r>
          </w:p>
        </w:tc>
        <w:tc>
          <w:tcPr>
            <w:tcW w:w="50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40"/>
              <w:spacing w:after="0" w:line="132" w:lineRule="exact"/>
              <w:rPr>
                <w:sz w:val="20"/>
                <w:szCs w:val="20"/>
                <w:color w:val="auto"/>
              </w:rPr>
            </w:pPr>
            <w:r>
              <w:rPr>
                <w:rFonts w:ascii="Arial" w:cs="Arial" w:eastAsia="Arial" w:hAnsi="Arial"/>
                <w:sz w:val="12"/>
                <w:szCs w:val="12"/>
                <w:color w:val="auto"/>
              </w:rPr>
              <w:t>Transportation services</w:t>
            </w: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Second Lien Debt (j)</w:t>
            </w: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(L + 8.00%) / (1.00%)</w:t>
            </w:r>
          </w:p>
        </w:tc>
        <w:tc>
          <w:tcPr>
            <w:tcW w:w="9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9.00%/0.00%</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2/27/2017</w:t>
            </w:r>
          </w:p>
        </w:tc>
        <w:tc>
          <w:tcPr>
            <w:tcW w:w="14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2/3/2025</w:t>
            </w:r>
          </w:p>
        </w:tc>
        <w:tc>
          <w:tcPr>
            <w:tcW w:w="6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20,000</w:t>
            </w:r>
          </w:p>
        </w:tc>
        <w:tc>
          <w:tcPr>
            <w:tcW w:w="120" w:type="dxa"/>
            <w:vAlign w:val="bottom"/>
          </w:tcPr>
          <w:p>
            <w:pPr>
              <w:spacing w:after="0"/>
              <w:rPr>
                <w:sz w:val="11"/>
                <w:szCs w:val="11"/>
                <w:color w:val="auto"/>
              </w:rPr>
            </w:pPr>
          </w:p>
        </w:tc>
        <w:tc>
          <w:tcPr>
            <w:tcW w:w="4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19,791</w:t>
            </w:r>
          </w:p>
        </w:tc>
        <w:tc>
          <w:tcPr>
            <w:tcW w:w="6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20,000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gridSpan w:val="2"/>
            <w:shd w:val="clear" w:color="auto" w:fill="CCEEFF"/>
          </w:tcPr>
          <w:p>
            <w:pPr>
              <w:ind w:left="240"/>
              <w:spacing w:after="0" w:line="132" w:lineRule="exact"/>
              <w:rPr>
                <w:sz w:val="20"/>
                <w:szCs w:val="20"/>
                <w:color w:val="auto"/>
              </w:rPr>
            </w:pPr>
            <w:r>
              <w:rPr>
                <w:rFonts w:ascii="Arial" w:cs="Arial" w:eastAsia="Arial" w:hAnsi="Arial"/>
                <w:sz w:val="12"/>
                <w:szCs w:val="12"/>
                <w:color w:val="auto"/>
              </w:rPr>
              <w:t>Common Equity (2,000 units) (h)(j)</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2/27/2017</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1,478</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1,942</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21,269</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21,942</w:t>
            </w: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Total Non-control/Non-affiliate Investments</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u w:val="single" w:color="auto"/>
                <w:color w:val="auto"/>
                <w:w w:val="86"/>
              </w:rPr>
              <w:t>$</w:t>
            </w:r>
            <w:r>
              <w:rPr>
                <w:rFonts w:ascii="Arial" w:cs="Arial" w:eastAsia="Arial" w:hAnsi="Arial"/>
                <w:sz w:val="12"/>
                <w:szCs w:val="12"/>
                <w:color w:val="auto"/>
                <w:w w:val="86"/>
              </w:rPr>
              <w:t xml:space="preserve"> 622,222</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633,222</w:t>
            </w:r>
          </w:p>
        </w:tc>
        <w:tc>
          <w:tcPr>
            <w:tcW w:w="820" w:type="dxa"/>
            <w:vAlign w:val="bottom"/>
            <w:gridSpan w:val="3"/>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w:t>
            </w: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2"/>
                <w:szCs w:val="12"/>
                <w:color w:val="auto"/>
              </w:rPr>
              <w:t>181%</w:t>
            </w:r>
          </w:p>
        </w:tc>
        <w:tc>
          <w:tcPr>
            <w:tcW w:w="0" w:type="dxa"/>
            <w:vAlign w:val="bottom"/>
          </w:tcPr>
          <w:p>
            <w:pPr>
              <w:spacing w:after="0" w:line="20" w:lineRule="exact"/>
              <w:rPr>
                <w:sz w:val="1"/>
                <w:szCs w:val="1"/>
                <w:color w:val="auto"/>
              </w:rPr>
            </w:pPr>
          </w:p>
        </w:tc>
      </w:tr>
      <w:tr>
        <w:trPr>
          <w:trHeight w:val="124"/>
        </w:trPr>
        <w:tc>
          <w:tcPr>
            <w:tcW w:w="27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 xml:space="preserve"> 687,027</w:t>
            </w:r>
          </w:p>
        </w:tc>
        <w:tc>
          <w:tcPr>
            <w:tcW w:w="14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 xml:space="preserve"> 742,869</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26" w:lineRule="exact"/>
        <w:rPr>
          <w:rFonts w:ascii="Arial" w:cs="Arial" w:eastAsia="Arial" w:hAnsi="Arial"/>
          <w:sz w:val="16"/>
          <w:szCs w:val="16"/>
          <w:color w:val="auto"/>
        </w:rPr>
      </w:pPr>
    </w:p>
    <w:p>
      <w:pPr>
        <w:ind w:left="680" w:right="20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2020.</w:t>
      </w:r>
    </w:p>
    <w:p>
      <w:pPr>
        <w:spacing w:after="0" w:line="1" w:lineRule="exact"/>
        <w:rPr>
          <w:rFonts w:ascii="Arial" w:cs="Arial" w:eastAsia="Arial" w:hAnsi="Arial"/>
          <w:sz w:val="18"/>
          <w:szCs w:val="18"/>
          <w:color w:val="auto"/>
        </w:rPr>
      </w:pPr>
    </w:p>
    <w:p>
      <w:pPr>
        <w:ind w:left="680" w:right="98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2020. Generally, payment-in-kind interest can be paid-in-kind or all in cash.</w:t>
      </w:r>
    </w:p>
    <w:p>
      <w:pPr>
        <w:ind w:left="680" w:hanging="43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3" w:lineRule="exact"/>
        <w:rPr>
          <w:rFonts w:ascii="Arial" w:cs="Arial" w:eastAsia="Arial" w:hAnsi="Arial"/>
          <w:sz w:val="18"/>
          <w:szCs w:val="18"/>
          <w:color w:val="auto"/>
        </w:rPr>
      </w:pPr>
    </w:p>
    <w:p>
      <w:pPr>
        <w:ind w:left="680" w:right="120" w:hanging="431"/>
        <w:spacing w:after="0" w:line="27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2" w:lineRule="exact"/>
        <w:rPr>
          <w:rFonts w:ascii="Arial" w:cs="Arial" w:eastAsia="Arial" w:hAnsi="Arial"/>
          <w:sz w:val="16"/>
          <w:szCs w:val="16"/>
          <w:color w:val="auto"/>
        </w:rPr>
      </w:pPr>
    </w:p>
    <w:p>
      <w:pPr>
        <w:ind w:left="680" w:hanging="43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3" w:lineRule="exact"/>
        <w:rPr>
          <w:rFonts w:ascii="Arial" w:cs="Arial" w:eastAsia="Arial" w:hAnsi="Arial"/>
          <w:sz w:val="18"/>
          <w:szCs w:val="18"/>
          <w:color w:val="auto"/>
        </w:rPr>
      </w:pPr>
    </w:p>
    <w:p>
      <w:pPr>
        <w:ind w:left="680" w:right="260" w:hanging="431"/>
        <w:spacing w:after="0" w:line="27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December 31, 2020. The Company is earning 0.50% interest on the unfunded balance of the commitment. The interest rate disclosed represents the rate which will be earned if the commitment is funded.</w:t>
      </w:r>
    </w:p>
    <w:p>
      <w:pPr>
        <w:spacing w:after="0" w:line="1" w:lineRule="exact"/>
        <w:rPr>
          <w:rFonts w:ascii="Arial" w:cs="Arial" w:eastAsia="Arial" w:hAnsi="Arial"/>
          <w:sz w:val="16"/>
          <w:szCs w:val="16"/>
          <w:color w:val="auto"/>
        </w:rPr>
      </w:pPr>
    </w:p>
    <w:p>
      <w:pPr>
        <w:ind w:left="680" w:right="180" w:hanging="431"/>
        <w:spacing w:after="0" w:line="293"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680" w:right="10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680" w:right="340" w:hanging="431"/>
        <w:spacing w:after="0" w:line="27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680" w:right="460" w:hanging="431"/>
        <w:spacing w:after="0" w:line="27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680" w:hanging="43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3" w:lineRule="exact"/>
        <w:rPr>
          <w:rFonts w:ascii="Arial" w:cs="Arial" w:eastAsia="Arial" w:hAnsi="Arial"/>
          <w:sz w:val="18"/>
          <w:szCs w:val="18"/>
          <w:color w:val="auto"/>
        </w:rPr>
      </w:pPr>
    </w:p>
    <w:p>
      <w:pPr>
        <w:ind w:left="680" w:right="18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was on PIK-only non-accrual status as of December 31, 2020, meaning the Company has ceased recognizing PIK interest income on the investment.</w:t>
      </w:r>
    </w:p>
    <w:p>
      <w:pPr>
        <w:ind w:left="680" w:right="24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 entitles the Company to purchase 4.79% of the outstanding principal of Junior Subordinated Notes prior to exercise, and is non-income producing.</w:t>
      </w:r>
    </w:p>
    <w:p>
      <w:pPr>
        <w:ind w:left="680" w:right="6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6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680" w:right="220" w:hanging="431"/>
        <w:spacing w:after="0" w:line="27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2" w:lineRule="exact"/>
        <w:rPr>
          <w:rFonts w:ascii="Arial" w:cs="Arial" w:eastAsia="Arial" w:hAnsi="Arial"/>
          <w:sz w:val="16"/>
          <w:szCs w:val="16"/>
          <w:color w:val="auto"/>
        </w:rPr>
      </w:pPr>
    </w:p>
    <w:p>
      <w:pPr>
        <w:ind w:left="680" w:right="6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6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60" w:hanging="431"/>
        <w:spacing w:after="0" w:line="24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80" w:right="60" w:hanging="431"/>
        <w:spacing w:after="0" w:line="245"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1000"/>
          </w:cols>
          <w:pgMar w:left="320" w:top="451" w:right="579" w:bottom="0" w:gutter="0" w:footer="0" w:header="0"/>
        </w:sectPr>
      </w:pPr>
    </w:p>
    <w:bookmarkStart w:id="19" w:name="page20"/>
    <w:bookmarkEnd w:id="19"/>
    <w:p>
      <w:pPr>
        <w:ind w:left="440" w:hanging="431"/>
        <w:spacing w:after="0" w:line="24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440" w:hanging="431"/>
        <w:spacing w:after="0" w:line="24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440" w:right="100" w:hanging="431"/>
        <w:spacing w:after="0" w:line="293" w:lineRule="auto"/>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w:t>
      </w:r>
    </w:p>
    <w:p>
      <w:pPr>
        <w:sectPr>
          <w:pgSz w:w="11900" w:h="16838" w:orient="portrait"/>
          <w:cols w:equalWidth="0" w:num="1">
            <w:col w:w="10700"/>
          </w:cols>
          <w:pgMar w:left="560" w:top="127" w:right="6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(ab)</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2.95%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disclosed commitment represents the unfunded amount as of December 31, 2020. The Company is earning 1.00% interest on the unfunded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balance of the commitment. The interest rate disclosed represents the rate earned on the outstanding, funded balance of the commitment.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3.33%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3.31%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interest earned based on the stated interest rate of this security, the Company is entitled to receive an additional interest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4.03% on its “last out” tranche of the portfolio company’s senior term debt, which was previously syndicated into “first out” and “last out”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200" w:lineRule="exact"/>
        <w:rPr>
          <w:sz w:val="20"/>
          <w:szCs w:val="20"/>
          <w:color w:val="auto"/>
        </w:rPr>
      </w:pPr>
    </w:p>
    <w:p>
      <w:pPr>
        <w:sectPr>
          <w:pgSz w:w="11900" w:h="16838" w:orient="portrait"/>
          <w:cols w:equalWidth="0" w:num="2">
            <w:col w:w="300" w:space="140"/>
            <w:col w:w="10260"/>
          </w:cols>
          <w:pgMar w:left="560" w:top="127" w:right="639" w:bottom="1440" w:gutter="0" w:footer="0" w:header="0"/>
          <w:type w:val="continuous"/>
        </w:sectPr>
      </w:pP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See Notes to Consolidated Financial Statements.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00"/>
          </w:cols>
          <w:pgMar w:left="560" w:top="127" w:right="639" w:bottom="1440" w:gutter="0" w:footer="0" w:header="0"/>
          <w:type w:val="continuous"/>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15" w:lineRule="exact"/>
        <w:rPr>
          <w:sz w:val="20"/>
          <w:szCs w:val="20"/>
          <w:color w:val="auto"/>
        </w:rPr>
      </w:pPr>
    </w:p>
    <w:p>
      <w:pPr>
        <w:ind w:left="240" w:right="80" w:firstLine="430"/>
        <w:spacing w:after="0" w:line="291" w:lineRule="auto"/>
        <w:rPr>
          <w:sz w:val="20"/>
          <w:szCs w:val="20"/>
          <w:color w:val="auto"/>
        </w:rPr>
      </w:pPr>
      <w:r>
        <w:rPr>
          <w:rFonts w:ascii="Arial" w:cs="Arial" w:eastAsia="Arial" w:hAnsi="Arial"/>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62" w:lineRule="exact"/>
        <w:rPr>
          <w:sz w:val="20"/>
          <w:szCs w:val="20"/>
          <w:color w:val="auto"/>
        </w:rPr>
      </w:pPr>
    </w:p>
    <w:p>
      <w:pPr>
        <w:ind w:left="240" w:right="40" w:firstLine="430"/>
        <w:spacing w:after="0" w:line="283" w:lineRule="auto"/>
        <w:rPr>
          <w:sz w:val="20"/>
          <w:szCs w:val="20"/>
          <w:color w:val="auto"/>
        </w:rPr>
      </w:pPr>
      <w:r>
        <w:rPr>
          <w:rFonts w:ascii="Arial" w:cs="Arial" w:eastAsia="Arial" w:hAnsi="Arial"/>
          <w:sz w:val="16"/>
          <w:szCs w:val="16"/>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68" w:lineRule="exact"/>
        <w:rPr>
          <w:sz w:val="20"/>
          <w:szCs w:val="20"/>
          <w:color w:val="auto"/>
        </w:rPr>
      </w:pPr>
    </w:p>
    <w:p>
      <w:pPr>
        <w:ind w:left="240" w:right="260" w:firstLine="430"/>
        <w:spacing w:after="0" w:line="250"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two or more SBICs under common control, the maximum amount of outstanding SBA debentures cannot exceed $350,000.</w:t>
      </w:r>
    </w:p>
    <w:p>
      <w:pPr>
        <w:spacing w:after="0" w:line="191" w:lineRule="exact"/>
        <w:rPr>
          <w:sz w:val="20"/>
          <w:szCs w:val="20"/>
          <w:color w:val="auto"/>
        </w:rPr>
      </w:pPr>
    </w:p>
    <w:p>
      <w:pPr>
        <w:ind w:left="240" w:right="420" w:firstLine="430"/>
        <w:spacing w:after="0" w:line="262"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80" w:lineRule="exact"/>
        <w:rPr>
          <w:sz w:val="20"/>
          <w:szCs w:val="20"/>
          <w:color w:val="auto"/>
        </w:rPr>
      </w:pPr>
    </w:p>
    <w:p>
      <w:pPr>
        <w:ind w:left="240" w:right="580" w:firstLine="430"/>
        <w:spacing w:after="0" w:line="325" w:lineRule="auto"/>
        <w:rPr>
          <w:sz w:val="20"/>
          <w:szCs w:val="20"/>
          <w:color w:val="auto"/>
        </w:rPr>
      </w:pPr>
      <w:r>
        <w:rPr>
          <w:rFonts w:ascii="Arial" w:cs="Arial" w:eastAsia="Arial" w:hAnsi="Arial"/>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5" w:lineRule="exact"/>
        <w:rPr>
          <w:sz w:val="20"/>
          <w:szCs w:val="20"/>
          <w:color w:val="auto"/>
        </w:rPr>
      </w:pPr>
    </w:p>
    <w:p>
      <w:pPr>
        <w:ind w:left="240" w:firstLine="430"/>
        <w:spacing w:after="0" w:line="304" w:lineRule="auto"/>
        <w:rPr>
          <w:sz w:val="20"/>
          <w:szCs w:val="20"/>
          <w:color w:val="auto"/>
        </w:rPr>
      </w:pPr>
      <w:r>
        <w:rPr>
          <w:rFonts w:ascii="Arial" w:cs="Arial" w:eastAsia="Arial" w:hAnsi="Arial"/>
          <w:sz w:val="15"/>
          <w:szCs w:val="15"/>
          <w:i w:val="1"/>
          <w:iCs w:val="1"/>
          <w:color w:val="auto"/>
        </w:rPr>
        <w:t xml:space="preserve">Basis of presentation: </w:t>
      </w:r>
      <w:r>
        <w:rPr>
          <w:rFonts w:ascii="Arial" w:cs="Arial" w:eastAsia="Arial" w:hAnsi="Arial"/>
          <w:sz w:val="15"/>
          <w:szCs w:val="15"/>
          <w:color w:val="auto"/>
        </w:rPr>
        <w:t>The accompanying consolidated financial statements of the Company have been prepared in accordance with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accepted accounting principles in the United States of America (“GAAP”) pursuant to the requirements for reporting on Form 10-Q, Accounting Standards Codification (“ASC”) 946, </w:t>
      </w:r>
      <w:r>
        <w:rPr>
          <w:rFonts w:ascii="Arial" w:cs="Arial" w:eastAsia="Arial" w:hAnsi="Arial"/>
          <w:sz w:val="15"/>
          <w:szCs w:val="15"/>
          <w:i w:val="1"/>
          <w:iCs w:val="1"/>
          <w:color w:val="auto"/>
        </w:rPr>
        <w:t>Financial Services – Investment Companies</w:t>
      </w:r>
      <w:r>
        <w:rPr>
          <w:rFonts w:ascii="Arial" w:cs="Arial" w:eastAsia="Arial" w:hAnsi="Arial"/>
          <w:sz w:val="15"/>
          <w:szCs w:val="15"/>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2020.</w:t>
      </w:r>
    </w:p>
    <w:p>
      <w:pPr>
        <w:spacing w:after="0" w:line="157" w:lineRule="exact"/>
        <w:rPr>
          <w:sz w:val="20"/>
          <w:szCs w:val="20"/>
          <w:color w:val="auto"/>
        </w:rPr>
      </w:pPr>
    </w:p>
    <w:p>
      <w:pPr>
        <w:ind w:left="240" w:right="80" w:firstLine="430"/>
        <w:spacing w:after="0" w:line="328" w:lineRule="auto"/>
        <w:rPr>
          <w:sz w:val="20"/>
          <w:szCs w:val="20"/>
          <w:color w:val="auto"/>
        </w:rPr>
      </w:pPr>
      <w:r>
        <w:rPr>
          <w:rFonts w:ascii="Arial" w:cs="Arial" w:eastAsia="Arial" w:hAnsi="Arial"/>
          <w:sz w:val="15"/>
          <w:szCs w:val="15"/>
          <w:i w:val="1"/>
          <w:iCs w:val="1"/>
          <w:color w:val="auto"/>
        </w:rPr>
        <w:t xml:space="preserve">Use of estimates: </w:t>
      </w:r>
      <w:r>
        <w:rPr>
          <w:rFonts w:ascii="Arial" w:cs="Arial" w:eastAsia="Arial" w:hAnsi="Arial"/>
          <w:sz w:val="15"/>
          <w:szCs w:val="15"/>
          <w:color w:val="auto"/>
        </w:rPr>
        <w:t>The preparation of the consolidated financial statements in conformity with GAAP requires management to make estimates and</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36" w:lineRule="exact"/>
        <w:rPr>
          <w:sz w:val="20"/>
          <w:szCs w:val="20"/>
          <w:color w:val="auto"/>
        </w:rPr>
      </w:pPr>
    </w:p>
    <w:p>
      <w:pPr>
        <w:ind w:left="240" w:right="40" w:firstLine="430"/>
        <w:spacing w:after="0" w:line="250"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Investment risks: </w:t>
      </w:r>
      <w:r>
        <w:rPr>
          <w:rFonts w:ascii="Arial" w:cs="Arial" w:eastAsia="Arial" w:hAnsi="Arial"/>
          <w:sz w:val="16"/>
          <w:szCs w:val="16"/>
          <w:color w:val="auto"/>
        </w:rPr>
        <w:t>The Company’s investments are subject to a variety of risks. These risks may include, but are not limited to the following:</w:t>
      </w:r>
    </w:p>
    <w:p>
      <w:pPr>
        <w:spacing w:after="0" w:line="145" w:lineRule="exact"/>
        <w:rPr>
          <w:sz w:val="20"/>
          <w:szCs w:val="20"/>
          <w:color w:val="auto"/>
        </w:rPr>
      </w:pPr>
    </w:p>
    <w:p>
      <w:pPr>
        <w:ind w:left="1200" w:right="20" w:hanging="424"/>
        <w:spacing w:after="0" w:line="307" w:lineRule="auto"/>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Market risk—</w:t>
      </w:r>
      <w:r>
        <w:rPr>
          <w:rFonts w:ascii="Arial" w:cs="Arial" w:eastAsia="Arial" w:hAnsi="Arial"/>
          <w:sz w:val="15"/>
          <w:szCs w:val="15"/>
          <w:color w:val="auto"/>
        </w:rPr>
        <w:t>In contrast to investment-grade bonds (the market prices of which change primarily as a reaction to changes in interest rates),</w:t>
      </w:r>
      <w:r>
        <w:rPr>
          <w:rFonts w:ascii="Arial" w:cs="Arial" w:eastAsia="Arial" w:hAnsi="Arial"/>
          <w:sz w:val="15"/>
          <w:szCs w:val="15"/>
          <w:i w:val="1"/>
          <w:iCs w:val="1"/>
          <w:color w:val="auto"/>
        </w:rPr>
        <w:t xml:space="preserve"> </w:t>
      </w:r>
      <w:r>
        <w:rPr>
          <w:rFonts w:ascii="Arial" w:cs="Arial" w:eastAsia="Arial" w:hAnsi="Arial"/>
          <w:sz w:val="15"/>
          <w:szCs w:val="15"/>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w:t>
      </w: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320" w:top="451" w:right="5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1220" w:right="180"/>
        <w:spacing w:after="0" w:line="300" w:lineRule="auto"/>
        <w:rPr>
          <w:sz w:val="20"/>
          <w:szCs w:val="20"/>
          <w:color w:val="auto"/>
        </w:rPr>
      </w:pPr>
      <w:r>
        <w:rPr>
          <w:rFonts w:ascii="Arial" w:cs="Arial" w:eastAsia="Arial" w:hAnsi="Arial"/>
          <w:sz w:val="16"/>
          <w:szCs w:val="16"/>
          <w:color w:val="auto"/>
        </w:rPr>
        <w:t>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61" w:lineRule="exact"/>
        <w:rPr>
          <w:sz w:val="20"/>
          <w:szCs w:val="20"/>
          <w:color w:val="auto"/>
        </w:rPr>
      </w:pPr>
    </w:p>
    <w:p>
      <w:pPr>
        <w:ind w:left="1200" w:hanging="424"/>
        <w:spacing w:after="0" w:line="253"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Credit risk represents the risk that the Company would incur if the counterparties failed to perform pursuant to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96" w:lineRule="exact"/>
        <w:rPr>
          <w:rFonts w:ascii="Arial" w:cs="Arial" w:eastAsia="Arial" w:hAnsi="Arial"/>
          <w:sz w:val="18"/>
          <w:szCs w:val="18"/>
          <w:color w:val="auto"/>
        </w:rPr>
      </w:pPr>
    </w:p>
    <w:p>
      <w:pPr>
        <w:ind w:left="1200" w:right="80" w:hanging="424"/>
        <w:spacing w:after="0" w:line="262"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Liquidity risk—</w:t>
      </w:r>
      <w:r>
        <w:rPr>
          <w:rFonts w:ascii="Arial" w:cs="Arial" w:eastAsia="Arial" w:hAnsi="Arial"/>
          <w:sz w:val="18"/>
          <w:szCs w:val="18"/>
          <w:color w:val="auto"/>
        </w:rPr>
        <w:t>Liquidity risk represents the possibility that the Company may not be able to sell its investments quickly or at a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price (given the lack of an established market).</w:t>
      </w:r>
    </w:p>
    <w:p>
      <w:pPr>
        <w:spacing w:after="0" w:line="88" w:lineRule="exact"/>
        <w:rPr>
          <w:rFonts w:ascii="Arial" w:cs="Arial" w:eastAsia="Arial" w:hAnsi="Arial"/>
          <w:sz w:val="18"/>
          <w:szCs w:val="18"/>
          <w:color w:val="auto"/>
        </w:rPr>
      </w:pPr>
    </w:p>
    <w:p>
      <w:pPr>
        <w:ind w:left="1200" w:right="160" w:hanging="424"/>
        <w:spacing w:after="0" w:line="262"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Interest rate risk represents the likelihood that a change in interest rates could have an adverse impact on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an interest-bearing financial instrument.</w:t>
      </w:r>
    </w:p>
    <w:p>
      <w:pPr>
        <w:spacing w:after="0" w:line="88" w:lineRule="exact"/>
        <w:rPr>
          <w:rFonts w:ascii="Arial" w:cs="Arial" w:eastAsia="Arial" w:hAnsi="Arial"/>
          <w:sz w:val="18"/>
          <w:szCs w:val="18"/>
          <w:color w:val="auto"/>
        </w:rPr>
      </w:pPr>
    </w:p>
    <w:p>
      <w:pPr>
        <w:ind w:left="1200" w:right="100" w:hanging="424"/>
        <w:spacing w:after="0" w:line="300"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Prepayment risk—</w:t>
      </w:r>
      <w:r>
        <w:rPr>
          <w:rFonts w:ascii="Arial" w:cs="Arial" w:eastAsia="Arial" w:hAnsi="Arial"/>
          <w:sz w:val="16"/>
          <w:szCs w:val="16"/>
          <w:color w:val="auto"/>
        </w:rPr>
        <w:t>Certain of the Company’s debt investments allow for prepayment of principal without penalty. Downward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60" w:lineRule="exact"/>
        <w:rPr>
          <w:rFonts w:ascii="Arial" w:cs="Arial" w:eastAsia="Arial" w:hAnsi="Arial"/>
          <w:sz w:val="16"/>
          <w:szCs w:val="16"/>
          <w:color w:val="auto"/>
        </w:rPr>
      </w:pPr>
    </w:p>
    <w:p>
      <w:pPr>
        <w:ind w:left="1200" w:hanging="424"/>
        <w:spacing w:after="0" w:line="253"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Off-Balance sheet risk—</w:t>
      </w:r>
      <w:r>
        <w:rPr>
          <w:rFonts w:ascii="Arial" w:cs="Arial" w:eastAsia="Arial" w:hAnsi="Arial"/>
          <w:sz w:val="18"/>
          <w:szCs w:val="18"/>
          <w:color w:val="auto"/>
        </w:rPr>
        <w:t>Some of the Company’s financial instruments contain off-balance sheet risk. Generally,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future commitments to purchase other financial instruments at defined terms at defined future dates. See Note 7 for further details.</w:t>
      </w:r>
    </w:p>
    <w:p>
      <w:pPr>
        <w:spacing w:after="0" w:line="189" w:lineRule="exact"/>
        <w:rPr>
          <w:sz w:val="20"/>
          <w:szCs w:val="20"/>
          <w:color w:val="auto"/>
        </w:rPr>
      </w:pPr>
    </w:p>
    <w:p>
      <w:pPr>
        <w:ind w:left="240" w:right="40" w:firstLine="430"/>
        <w:spacing w:after="0" w:line="248"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95" w:lineRule="exact"/>
        <w:rPr>
          <w:sz w:val="20"/>
          <w:szCs w:val="20"/>
          <w:color w:val="auto"/>
        </w:rPr>
      </w:pPr>
    </w:p>
    <w:p>
      <w:pPr>
        <w:ind w:left="240" w:right="20" w:firstLine="430"/>
        <w:spacing w:after="0" w:line="287" w:lineRule="auto"/>
        <w:rPr>
          <w:sz w:val="20"/>
          <w:szCs w:val="20"/>
          <w:color w:val="auto"/>
        </w:rPr>
      </w:pPr>
      <w:r>
        <w:rPr>
          <w:rFonts w:ascii="Arial" w:cs="Arial" w:eastAsia="Arial" w:hAnsi="Arial"/>
          <w:sz w:val="16"/>
          <w:szCs w:val="16"/>
          <w:i w:val="1"/>
          <w:iCs w:val="1"/>
          <w:color w:val="auto"/>
        </w:rPr>
        <w:t xml:space="preserve">Investment classification: </w:t>
      </w:r>
      <w:r>
        <w:rPr>
          <w:rFonts w:ascii="Arial" w:cs="Arial" w:eastAsia="Arial" w:hAnsi="Arial"/>
          <w:sz w:val="16"/>
          <w:szCs w:val="16"/>
          <w:color w:val="auto"/>
        </w:rPr>
        <w:t>The Company classifies its investments in accordance with the requirements of the 1940 Act. Under the 1940 Act,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65" w:lineRule="exact"/>
        <w:rPr>
          <w:sz w:val="20"/>
          <w:szCs w:val="20"/>
          <w:color w:val="auto"/>
        </w:rPr>
      </w:pPr>
    </w:p>
    <w:p>
      <w:pPr>
        <w:ind w:left="240" w:right="400" w:firstLine="430"/>
        <w:spacing w:after="0" w:line="262"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80" w:lineRule="exact"/>
        <w:rPr>
          <w:sz w:val="20"/>
          <w:szCs w:val="20"/>
          <w:color w:val="auto"/>
        </w:rPr>
      </w:pPr>
    </w:p>
    <w:p>
      <w:pPr>
        <w:ind w:left="240" w:firstLine="430"/>
        <w:spacing w:after="0" w:line="300"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are highly liquid investments with an original maturity of three months or less at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53" w:lineRule="exact"/>
        <w:rPr>
          <w:sz w:val="20"/>
          <w:szCs w:val="20"/>
          <w:color w:val="auto"/>
        </w:rPr>
      </w:pPr>
    </w:p>
    <w:p>
      <w:pPr>
        <w:ind w:left="240" w:right="80" w:firstLine="430"/>
        <w:spacing w:after="0" w:line="250"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SBA debentures, the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91" w:lineRule="exact"/>
        <w:rPr>
          <w:sz w:val="20"/>
          <w:szCs w:val="20"/>
          <w:color w:val="auto"/>
        </w:rPr>
      </w:pPr>
    </w:p>
    <w:p>
      <w:pPr>
        <w:ind w:left="240" w:right="60" w:firstLine="430"/>
        <w:spacing w:after="0" w:line="250" w:lineRule="auto"/>
        <w:rPr>
          <w:sz w:val="20"/>
          <w:szCs w:val="20"/>
          <w:color w:val="auto"/>
        </w:rPr>
      </w:pPr>
      <w:r>
        <w:rPr>
          <w:rFonts w:ascii="Arial" w:cs="Arial" w:eastAsia="Arial" w:hAnsi="Arial"/>
          <w:sz w:val="18"/>
          <w:szCs w:val="18"/>
          <w:i w:val="1"/>
          <w:iCs w:val="1"/>
          <w:color w:val="auto"/>
        </w:rPr>
        <w:t xml:space="preserve">Realized losses on extinguishment of debt: </w:t>
      </w:r>
      <w:r>
        <w:rPr>
          <w:rFonts w:ascii="Arial" w:cs="Arial" w:eastAsia="Arial" w:hAnsi="Arial"/>
          <w:sz w:val="18"/>
          <w:szCs w:val="18"/>
          <w:color w:val="auto"/>
        </w:rPr>
        <w:t>Upon the repayment of debt obligations which are deemed to be extinguishments, the difference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principal amount due at maturity, adjusted for any unamortized deferred financing costs, is recognized as a loss (i.e., the unamortized deferred financing costs are recognized as a loss upon extinguishment of the underlying debt obligation). There is no change in historical net increase in net assets resulting from operations due to this change in presentation.</w:t>
      </w:r>
    </w:p>
    <w:p>
      <w:pPr>
        <w:spacing w:after="0" w:line="191" w:lineRule="exact"/>
        <w:rPr>
          <w:sz w:val="20"/>
          <w:szCs w:val="20"/>
          <w:color w:val="auto"/>
        </w:rPr>
      </w:pPr>
    </w:p>
    <w:p>
      <w:pPr>
        <w:ind w:left="240" w:right="60" w:firstLine="430"/>
        <w:spacing w:after="0" w:line="287" w:lineRule="auto"/>
        <w:rPr>
          <w:sz w:val="20"/>
          <w:szCs w:val="20"/>
          <w:color w:val="auto"/>
        </w:rPr>
      </w:pPr>
      <w:r>
        <w:rPr>
          <w:rFonts w:ascii="Arial" w:cs="Arial" w:eastAsia="Arial" w:hAnsi="Arial"/>
          <w:sz w:val="16"/>
          <w:szCs w:val="16"/>
          <w:i w:val="1"/>
          <w:iCs w:val="1"/>
          <w:color w:val="auto"/>
        </w:rPr>
        <w:t xml:space="preserve">Deferred offering costs: </w:t>
      </w:r>
      <w:r>
        <w:rPr>
          <w:rFonts w:ascii="Arial" w:cs="Arial" w:eastAsia="Arial" w:hAnsi="Arial"/>
          <w:sz w:val="16"/>
          <w:szCs w:val="16"/>
          <w:color w:val="auto"/>
        </w:rPr>
        <w:t>Deferred offering costs include registration expenses related to shelf filings. These expenses primarily consist of U.S.</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65" w:lineRule="exact"/>
        <w:rPr>
          <w:sz w:val="20"/>
          <w:szCs w:val="20"/>
          <w:color w:val="auto"/>
        </w:rPr>
      </w:pPr>
    </w:p>
    <w:p>
      <w:pPr>
        <w:ind w:left="240" w:right="180" w:firstLine="430"/>
        <w:spacing w:after="0" w:line="325" w:lineRule="auto"/>
        <w:rPr>
          <w:sz w:val="20"/>
          <w:szCs w:val="20"/>
          <w:color w:val="auto"/>
        </w:rPr>
      </w:pPr>
      <w:r>
        <w:rPr>
          <w:rFonts w:ascii="Arial" w:cs="Arial" w:eastAsia="Arial" w:hAnsi="Arial"/>
          <w:sz w:val="16"/>
          <w:szCs w:val="16"/>
          <w:i w:val="1"/>
          <w:iCs w:val="1"/>
          <w:color w:val="auto"/>
        </w:rPr>
        <w:t xml:space="preserve">Realized gains or losses and unrealized appreciation or depreciation on investments: </w:t>
      </w:r>
      <w:r>
        <w:rPr>
          <w:rFonts w:ascii="Arial" w:cs="Arial" w:eastAsia="Arial" w:hAnsi="Arial"/>
          <w:sz w:val="16"/>
          <w:szCs w:val="16"/>
          <w:color w:val="auto"/>
        </w:rPr>
        <w:t>Realized gains or losses on investments are recorded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or disposition of a portfolio investment and are calculated as the difference between the net proceeds from the sale or disposition and</w:t>
      </w:r>
    </w:p>
    <w:p>
      <w:pPr>
        <w:sectPr>
          <w:pgSz w:w="11900" w:h="16838" w:orient="portrait"/>
          <w:cols w:equalWidth="0" w:num="1">
            <w:col w:w="10980"/>
          </w:cols>
          <w:pgMar w:left="320" w:top="451" w:right="599" w:bottom="1440" w:gutter="0" w:footer="0" w:header="0"/>
        </w:sectPr>
      </w:pPr>
    </w:p>
    <w:p>
      <w:pPr>
        <w:spacing w:after="0" w:line="6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980"/>
          </w:cols>
          <w:pgMar w:left="320" w:top="451" w:right="59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100"/>
        <w:spacing w:after="0" w:line="291" w:lineRule="auto"/>
        <w:rPr>
          <w:sz w:val="20"/>
          <w:szCs w:val="20"/>
          <w:color w:val="auto"/>
        </w:rPr>
      </w:pPr>
      <w:r>
        <w:rPr>
          <w:rFonts w:ascii="Arial" w:cs="Arial" w:eastAsia="Arial" w:hAnsi="Arial"/>
          <w:sz w:val="16"/>
          <w:szCs w:val="16"/>
          <w:color w:val="auto"/>
        </w:rPr>
        <w:t>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62" w:lineRule="exact"/>
        <w:rPr>
          <w:sz w:val="20"/>
          <w:szCs w:val="20"/>
          <w:color w:val="auto"/>
        </w:rPr>
      </w:pPr>
    </w:p>
    <w:p>
      <w:pPr>
        <w:ind w:left="240" w:firstLine="430"/>
        <w:spacing w:after="0" w:line="284" w:lineRule="auto"/>
        <w:rPr>
          <w:sz w:val="20"/>
          <w:szCs w:val="20"/>
          <w:color w:val="auto"/>
        </w:rPr>
      </w:pPr>
      <w:r>
        <w:rPr>
          <w:rFonts w:ascii="Arial" w:cs="Arial" w:eastAsia="Arial" w:hAnsi="Arial"/>
          <w:sz w:val="16"/>
          <w:szCs w:val="16"/>
          <w:i w:val="1"/>
          <w:iCs w:val="1"/>
          <w:color w:val="auto"/>
        </w:rPr>
        <w:t xml:space="preserve">Interest and dividend income: </w:t>
      </w:r>
      <w:r>
        <w:rPr>
          <w:rFonts w:ascii="Arial" w:cs="Arial" w:eastAsia="Arial" w:hAnsi="Arial"/>
          <w:sz w:val="16"/>
          <w:szCs w:val="16"/>
          <w:color w:val="auto"/>
        </w:rPr>
        <w:t>Interest and dividend income are recorded on the accrual basis to the extent that the Company expects to collect</w:t>
      </w:r>
      <w:r>
        <w:rPr>
          <w:rFonts w:ascii="Arial" w:cs="Arial" w:eastAsia="Arial" w:hAnsi="Arial"/>
          <w:sz w:val="16"/>
          <w:szCs w:val="16"/>
          <w:i w:val="1"/>
          <w:iCs w:val="1"/>
          <w:color w:val="auto"/>
        </w:rPr>
        <w:t xml:space="preserve"> </w:t>
      </w:r>
      <w:r>
        <w:rPr>
          <w:rFonts w:ascii="Arial" w:cs="Arial" w:eastAsia="Arial" w:hAnsi="Arial"/>
          <w:sz w:val="16"/>
          <w:szCs w:val="16"/>
          <w:color w:val="auto"/>
        </w:rPr>
        <w:t>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69" w:lineRule="exact"/>
        <w:rPr>
          <w:sz w:val="20"/>
          <w:szCs w:val="20"/>
          <w:color w:val="auto"/>
        </w:rPr>
      </w:pPr>
    </w:p>
    <w:p>
      <w:pPr>
        <w:ind w:left="240" w:right="40" w:firstLine="430"/>
        <w:spacing w:after="0" w:line="281"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the Company’s investments contain a payment-in-kind (“PIK”) income provision. The PIK income, computed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15" w:lineRule="exact"/>
        <w:rPr>
          <w:sz w:val="20"/>
          <w:szCs w:val="20"/>
          <w:color w:val="auto"/>
        </w:rPr>
      </w:pPr>
    </w:p>
    <w:p>
      <w:pPr>
        <w:ind w:left="240" w:right="100"/>
        <w:spacing w:after="0" w:line="283"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8" w:lineRule="exact"/>
        <w:rPr>
          <w:sz w:val="20"/>
          <w:szCs w:val="20"/>
          <w:color w:val="auto"/>
        </w:rPr>
      </w:pPr>
    </w:p>
    <w:p>
      <w:pPr>
        <w:ind w:left="240" w:right="500" w:firstLine="430"/>
        <w:spacing w:after="0" w:line="291" w:lineRule="auto"/>
        <w:rPr>
          <w:sz w:val="20"/>
          <w:szCs w:val="20"/>
          <w:color w:val="auto"/>
        </w:rPr>
      </w:pPr>
      <w:r>
        <w:rPr>
          <w:rFonts w:ascii="Arial" w:cs="Arial" w:eastAsia="Arial" w:hAnsi="Arial"/>
          <w:sz w:val="16"/>
          <w:szCs w:val="16"/>
          <w:i w:val="1"/>
          <w:iCs w:val="1"/>
          <w:color w:val="auto"/>
        </w:rPr>
        <w:t xml:space="preserve">Origination and closing fees: </w:t>
      </w:r>
      <w:r>
        <w:rPr>
          <w:rFonts w:ascii="Arial" w:cs="Arial" w:eastAsia="Arial" w:hAnsi="Arial"/>
          <w:sz w:val="16"/>
          <w:szCs w:val="16"/>
          <w:color w:val="auto"/>
        </w:rPr>
        <w:t>The Company also typically receives debt investment origination or closing fees in connection with such</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62" w:lineRule="exact"/>
        <w:rPr>
          <w:sz w:val="20"/>
          <w:szCs w:val="20"/>
          <w:color w:val="auto"/>
        </w:rPr>
      </w:pPr>
    </w:p>
    <w:p>
      <w:pPr>
        <w:ind w:left="240" w:right="240" w:firstLine="430"/>
        <w:spacing w:after="0" w:line="247"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7" w:lineRule="exact"/>
        <w:rPr>
          <w:sz w:val="20"/>
          <w:szCs w:val="20"/>
          <w:color w:val="auto"/>
        </w:rPr>
      </w:pPr>
    </w:p>
    <w:p>
      <w:pPr>
        <w:ind w:left="240" w:right="20" w:firstLine="430"/>
        <w:spacing w:after="0" w:line="281" w:lineRule="auto"/>
        <w:rPr>
          <w:sz w:val="20"/>
          <w:szCs w:val="20"/>
          <w:color w:val="auto"/>
        </w:rPr>
      </w:pPr>
      <w:r>
        <w:rPr>
          <w:rFonts w:ascii="Arial" w:cs="Arial" w:eastAsia="Arial" w:hAnsi="Arial"/>
          <w:sz w:val="16"/>
          <w:szCs w:val="16"/>
          <w:i w:val="1"/>
          <w:iCs w:val="1"/>
          <w:color w:val="auto"/>
        </w:rPr>
        <w:t>Fee income</w:t>
      </w:r>
      <w:r>
        <w:rPr>
          <w:rFonts w:ascii="Arial" w:cs="Arial" w:eastAsia="Arial" w:hAnsi="Arial"/>
          <w:sz w:val="16"/>
          <w:szCs w:val="16"/>
          <w:color w:val="auto"/>
        </w:rPr>
        <w:t>: Transaction fees earned in connection with the Company’s investments are recognized as fee income and are generally non-recurring.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statements of operations. Currently management services fees are a component of fee income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69" w:lineRule="exact"/>
        <w:rPr>
          <w:sz w:val="20"/>
          <w:szCs w:val="20"/>
          <w:color w:val="auto"/>
        </w:rPr>
      </w:pPr>
    </w:p>
    <w:p>
      <w:pPr>
        <w:ind w:left="240" w:right="260" w:firstLine="430"/>
        <w:spacing w:after="0" w:line="291" w:lineRule="auto"/>
        <w:rPr>
          <w:sz w:val="20"/>
          <w:szCs w:val="20"/>
          <w:color w:val="auto"/>
        </w:rPr>
      </w:pPr>
      <w:r>
        <w:rPr>
          <w:rFonts w:ascii="Arial" w:cs="Arial" w:eastAsia="Arial" w:hAnsi="Arial"/>
          <w:sz w:val="16"/>
          <w:szCs w:val="16"/>
          <w:i w:val="1"/>
          <w:iCs w:val="1"/>
          <w:color w:val="auto"/>
        </w:rPr>
        <w:t xml:space="preserve">Partial loan and equity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w:t>
      </w:r>
    </w:p>
    <w:p>
      <w:pPr>
        <w:sectPr>
          <w:pgSz w:w="11900" w:h="16838" w:orient="portrait"/>
          <w:cols w:equalWidth="0" w:num="1">
            <w:col w:w="10980"/>
          </w:cols>
          <w:pgMar w:left="320" w:top="451" w:right="599" w:bottom="1440" w:gutter="0" w:footer="0" w:header="0"/>
        </w:sectPr>
      </w:pP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80"/>
          </w:cols>
          <w:pgMar w:left="320" w:top="451" w:right="599" w:bottom="1440" w:gutter="0" w:footer="0" w:header="0"/>
          <w:type w:val="continuous"/>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jc w:val="both"/>
        <w:ind w:left="240" w:right="60"/>
        <w:spacing w:after="0" w:line="300" w:lineRule="auto"/>
        <w:rPr>
          <w:sz w:val="20"/>
          <w:szCs w:val="20"/>
          <w:color w:val="auto"/>
        </w:rPr>
      </w:pPr>
      <w:r>
        <w:rPr>
          <w:rFonts w:ascii="Arial" w:cs="Arial" w:eastAsia="Arial" w:hAnsi="Arial"/>
          <w:sz w:val="16"/>
          <w:szCs w:val="16"/>
          <w:color w:val="auto"/>
        </w:rPr>
        <w:t>consolidated statements of assets and liabilities and the proceeds recorded as a secured borrowing until the definition is met. For these partial loan sales, the interest earned on the entire loan balance is recorded within “interest income” and the interest earned by the buyer is the partial loan sale is recorded within “interest and financing expenses” in the accompanying consolidated statements of operations.</w:t>
      </w:r>
    </w:p>
    <w:p>
      <w:pPr>
        <w:spacing w:after="0" w:line="153" w:lineRule="exact"/>
        <w:rPr>
          <w:sz w:val="20"/>
          <w:szCs w:val="20"/>
          <w:color w:val="auto"/>
        </w:rPr>
      </w:pPr>
    </w:p>
    <w:p>
      <w:pPr>
        <w:ind w:left="240" w:right="100" w:firstLine="430"/>
        <w:spacing w:after="0" w:line="28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has elected to be treated as a RIC under Subchapter M of the Code, which will generally relieve the Company from</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3"/>
          <w:szCs w:val="13"/>
          <w:color w:val="auto"/>
        </w:rPr>
        <w:t>th</w:t>
      </w:r>
      <w:r>
        <w:rPr>
          <w:rFonts w:ascii="Arial" w:cs="Arial" w:eastAsia="Arial" w:hAnsi="Arial"/>
          <w:sz w:val="16"/>
          <w:szCs w:val="16"/>
          <w:color w:val="auto"/>
        </w:rPr>
        <w:t xml:space="preserve"> day of the 10</w:t>
      </w:r>
      <w:r>
        <w:rPr>
          <w:rFonts w:ascii="Arial" w:cs="Arial" w:eastAsia="Arial" w:hAnsi="Arial"/>
          <w:sz w:val="13"/>
          <w:szCs w:val="13"/>
          <w:color w:val="auto"/>
        </w:rPr>
        <w:t>th</w:t>
      </w:r>
      <w:r>
        <w:rPr>
          <w:rFonts w:ascii="Arial" w:cs="Arial" w:eastAsia="Arial" w:hAnsi="Arial"/>
          <w:sz w:val="16"/>
          <w:szCs w:val="16"/>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69" w:lineRule="exact"/>
        <w:rPr>
          <w:sz w:val="20"/>
          <w:szCs w:val="20"/>
          <w:color w:val="auto"/>
        </w:rPr>
      </w:pPr>
    </w:p>
    <w:p>
      <w:pPr>
        <w:ind w:left="240" w:right="60" w:firstLine="430"/>
        <w:spacing w:after="0" w:line="325" w:lineRule="auto"/>
        <w:rPr>
          <w:sz w:val="20"/>
          <w:szCs w:val="20"/>
          <w:color w:val="auto"/>
        </w:rPr>
      </w:pPr>
      <w:r>
        <w:rPr>
          <w:rFonts w:ascii="Arial" w:cs="Arial" w:eastAsia="Arial" w:hAnsi="Arial"/>
          <w:sz w:val="16"/>
          <w:szCs w:val="16"/>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34" w:lineRule="exact"/>
        <w:rPr>
          <w:sz w:val="20"/>
          <w:szCs w:val="20"/>
          <w:color w:val="auto"/>
        </w:rPr>
      </w:pPr>
    </w:p>
    <w:p>
      <w:pPr>
        <w:ind w:left="240" w:right="120" w:firstLine="430"/>
        <w:spacing w:after="0" w:line="282"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8" w:lineRule="exact"/>
        <w:rPr>
          <w:sz w:val="20"/>
          <w:szCs w:val="20"/>
          <w:color w:val="auto"/>
        </w:rPr>
      </w:pPr>
    </w:p>
    <w:p>
      <w:pPr>
        <w:ind w:left="240" w:right="40" w:firstLine="430"/>
        <w:spacing w:after="0" w:line="291" w:lineRule="auto"/>
        <w:rPr>
          <w:sz w:val="20"/>
          <w:szCs w:val="20"/>
          <w:color w:val="auto"/>
        </w:rPr>
      </w:pPr>
      <w:r>
        <w:rPr>
          <w:rFonts w:ascii="Arial" w:cs="Arial" w:eastAsia="Arial" w:hAnsi="Arial"/>
          <w:sz w:val="16"/>
          <w:szCs w:val="16"/>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62" w:lineRule="exact"/>
        <w:rPr>
          <w:sz w:val="20"/>
          <w:szCs w:val="20"/>
          <w:color w:val="auto"/>
        </w:rPr>
      </w:pPr>
    </w:p>
    <w:p>
      <w:pPr>
        <w:ind w:left="240" w:firstLine="430"/>
        <w:spacing w:after="0" w:line="282" w:lineRule="auto"/>
        <w:rPr>
          <w:sz w:val="20"/>
          <w:szCs w:val="20"/>
          <w:color w:val="auto"/>
        </w:rPr>
      </w:pPr>
      <w:r>
        <w:rPr>
          <w:rFonts w:ascii="Arial" w:cs="Arial" w:eastAsia="Arial" w:hAnsi="Arial"/>
          <w:sz w:val="16"/>
          <w:szCs w:val="16"/>
          <w:color w:val="auto"/>
        </w:rPr>
        <w:t xml:space="preserve">ASC Topic 740 —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2021 and December 31, 2020. The Company’s tax returns are generally subject to examination by U.S. federal and most state tax authorities for a period of three years from the date the respective returns are filed, and, accordingly, the Company’s 2017 through 2019 tax years remain subject to examination.</w:t>
      </w:r>
    </w:p>
    <w:p>
      <w:pPr>
        <w:spacing w:after="0" w:line="168" w:lineRule="exact"/>
        <w:rPr>
          <w:sz w:val="20"/>
          <w:szCs w:val="20"/>
          <w:color w:val="auto"/>
        </w:rPr>
      </w:pPr>
    </w:p>
    <w:p>
      <w:pPr>
        <w:ind w:left="240" w:right="120" w:firstLine="430"/>
        <w:spacing w:after="0" w:line="300"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53" w:lineRule="exact"/>
        <w:rPr>
          <w:sz w:val="20"/>
          <w:szCs w:val="20"/>
          <w:color w:val="auto"/>
        </w:rPr>
      </w:pPr>
    </w:p>
    <w:p>
      <w:pPr>
        <w:ind w:left="240" w:right="80" w:firstLine="430"/>
        <w:spacing w:after="0" w:line="287" w:lineRule="auto"/>
        <w:rPr>
          <w:sz w:val="20"/>
          <w:szCs w:val="20"/>
          <w:color w:val="auto"/>
        </w:rPr>
      </w:pPr>
      <w:r>
        <w:rPr>
          <w:rFonts w:ascii="Arial" w:cs="Arial" w:eastAsia="Arial" w:hAnsi="Arial"/>
          <w:sz w:val="16"/>
          <w:szCs w:val="16"/>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65" w:lineRule="exact"/>
        <w:rPr>
          <w:sz w:val="20"/>
          <w:szCs w:val="20"/>
          <w:color w:val="auto"/>
        </w:rPr>
      </w:pPr>
    </w:p>
    <w:p>
      <w:pPr>
        <w:ind w:left="240" w:right="240" w:firstLine="430"/>
        <w:spacing w:after="0" w:line="291"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320" w:top="451" w:right="5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jc w:val="both"/>
        <w:ind w:left="240" w:right="120"/>
        <w:spacing w:after="0" w:line="316" w:lineRule="auto"/>
        <w:rPr>
          <w:sz w:val="20"/>
          <w:szCs w:val="20"/>
          <w:color w:val="auto"/>
        </w:rPr>
      </w:pPr>
      <w:r>
        <w:rPr>
          <w:rFonts w:ascii="Arial" w:cs="Arial" w:eastAsia="Arial" w:hAnsi="Arial"/>
          <w:sz w:val="15"/>
          <w:szCs w:val="15"/>
          <w:color w:val="auto"/>
        </w:rPr>
        <w:t>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45" w:lineRule="exact"/>
        <w:rPr>
          <w:sz w:val="20"/>
          <w:szCs w:val="20"/>
          <w:color w:val="auto"/>
        </w:rPr>
      </w:pPr>
    </w:p>
    <w:p>
      <w:pPr>
        <w:ind w:left="240" w:right="520" w:firstLine="430"/>
        <w:spacing w:after="0" w:line="253"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six months ended June 30, 2021 and 2020,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utilizing the weighted average shares outstanding for the period. Net asset value per share is calculated using the number of shares outstanding as of the end of the period.</w:t>
      </w:r>
    </w:p>
    <w:p>
      <w:pPr>
        <w:spacing w:after="0" w:line="189" w:lineRule="exact"/>
        <w:rPr>
          <w:sz w:val="20"/>
          <w:szCs w:val="20"/>
          <w:color w:val="auto"/>
        </w:rPr>
      </w:pPr>
    </w:p>
    <w:p>
      <w:pPr>
        <w:ind w:left="240" w:right="20" w:firstLine="430"/>
        <w:spacing w:after="0" w:line="299" w:lineRule="auto"/>
        <w:rPr>
          <w:sz w:val="20"/>
          <w:szCs w:val="20"/>
          <w:color w:val="auto"/>
        </w:rPr>
      </w:pPr>
      <w:r>
        <w:rPr>
          <w:rFonts w:ascii="Arial" w:cs="Arial" w:eastAsia="Arial" w:hAnsi="Arial"/>
          <w:sz w:val="15"/>
          <w:szCs w:val="15"/>
          <w:i w:val="1"/>
          <w:iCs w:val="1"/>
          <w:color w:val="auto"/>
        </w:rPr>
        <w:t xml:space="preserve">Stock Repurchase Program: </w:t>
      </w:r>
      <w:r>
        <w:rPr>
          <w:rFonts w:ascii="Arial" w:cs="Arial" w:eastAsia="Arial" w:hAnsi="Arial"/>
          <w:sz w:val="15"/>
          <w:szCs w:val="15"/>
          <w:color w:val="auto"/>
        </w:rPr>
        <w:t>The Company has an open market stock repurchase program (the “Stock Repurchase Program”) under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six months ended June 30, 2021. During the three and six months ended June 30, 2020, the Company repurchased zero and 25,719 shares of common stock on the open market for zero and $268, respectively. Refer to Note 8 for additional information concerning stock repurchases.</w:t>
      </w:r>
    </w:p>
    <w:p>
      <w:pPr>
        <w:spacing w:after="0" w:line="26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Recent accounting pronouncements:</w:t>
      </w:r>
    </w:p>
    <w:p>
      <w:pPr>
        <w:spacing w:after="0" w:line="109" w:lineRule="exact"/>
        <w:rPr>
          <w:sz w:val="20"/>
          <w:szCs w:val="20"/>
          <w:color w:val="auto"/>
        </w:rPr>
      </w:pPr>
    </w:p>
    <w:p>
      <w:pPr>
        <w:ind w:left="240" w:firstLine="430"/>
        <w:spacing w:after="0" w:line="282"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No. 2020-04,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(Topic 848),</w:t>
      </w:r>
      <w:r>
        <w:rPr>
          <w:rFonts w:ascii="Arial" w:cs="Arial" w:eastAsia="Arial" w:hAnsi="Arial"/>
          <w:sz w:val="16"/>
          <w:szCs w:val="16"/>
          <w:color w:val="auto"/>
        </w:rPr>
        <w:t>” which provides optional expedients and exceptions for applying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did not utilize the optional expedients and exceptions provided by ASU 2020-04 during the six months ended June 30, 2021.</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SEC Rule 1-02(w)(2) Update:</w:t>
      </w:r>
    </w:p>
    <w:p>
      <w:pPr>
        <w:spacing w:after="0" w:line="109" w:lineRule="exact"/>
        <w:rPr>
          <w:sz w:val="20"/>
          <w:szCs w:val="20"/>
          <w:color w:val="auto"/>
        </w:rPr>
      </w:pPr>
    </w:p>
    <w:p>
      <w:pPr>
        <w:ind w:left="240" w:right="20" w:firstLine="430"/>
        <w:spacing w:after="0" w:line="280" w:lineRule="auto"/>
        <w:rPr>
          <w:sz w:val="20"/>
          <w:szCs w:val="20"/>
          <w:color w:val="auto"/>
        </w:rPr>
      </w:pPr>
      <w:r>
        <w:rPr>
          <w:rFonts w:ascii="Arial" w:cs="Arial" w:eastAsia="Arial" w:hAnsi="Arial"/>
          <w:sz w:val="16"/>
          <w:szCs w:val="16"/>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27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SEC Regulation S-K Update:</w:t>
      </w:r>
    </w:p>
    <w:p>
      <w:pPr>
        <w:spacing w:after="0" w:line="109" w:lineRule="exact"/>
        <w:rPr>
          <w:sz w:val="20"/>
          <w:szCs w:val="20"/>
          <w:color w:val="auto"/>
        </w:rPr>
      </w:pPr>
    </w:p>
    <w:p>
      <w:pPr>
        <w:ind w:left="240" w:right="80" w:firstLine="430"/>
        <w:spacing w:after="0" w:line="283"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ectPr>
          <w:pgSz w:w="11900" w:h="16838" w:orient="portrait"/>
          <w:cols w:equalWidth="0" w:num="1">
            <w:col w:w="11000"/>
          </w:cols>
          <w:pgMar w:left="320" w:top="451" w:right="579" w:bottom="1440" w:gutter="0" w:footer="0" w:header="0"/>
        </w:sectPr>
      </w:pP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0"/>
          </w:cols>
          <w:pgMar w:left="320" w:top="451" w:right="57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15" w:lineRule="exact"/>
        <w:rPr>
          <w:sz w:val="20"/>
          <w:szCs w:val="20"/>
          <w:color w:val="auto"/>
        </w:rPr>
      </w:pPr>
    </w:p>
    <w:p>
      <w:pPr>
        <w:ind w:left="240" w:right="20" w:firstLine="430"/>
        <w:spacing w:after="0" w:line="283" w:lineRule="auto"/>
        <w:rPr>
          <w:sz w:val="20"/>
          <w:szCs w:val="20"/>
          <w:color w:val="auto"/>
        </w:rPr>
      </w:pPr>
      <w:r>
        <w:rPr>
          <w:rFonts w:ascii="Arial" w:cs="Arial" w:eastAsia="Arial" w:hAnsi="Arial"/>
          <w:sz w:val="16"/>
          <w:szCs w:val="16"/>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68" w:lineRule="exact"/>
        <w:rPr>
          <w:sz w:val="20"/>
          <w:szCs w:val="20"/>
          <w:color w:val="auto"/>
        </w:rPr>
      </w:pPr>
    </w:p>
    <w:p>
      <w:pPr>
        <w:ind w:left="240" w:right="60" w:firstLine="430"/>
        <w:spacing w:after="0" w:line="250" w:lineRule="auto"/>
        <w:rPr>
          <w:sz w:val="20"/>
          <w:szCs w:val="20"/>
          <w:color w:val="auto"/>
        </w:rPr>
      </w:pPr>
      <w:r>
        <w:rPr>
          <w:rFonts w:ascii="Arial" w:cs="Arial" w:eastAsia="Arial" w:hAnsi="Arial"/>
          <w:sz w:val="18"/>
          <w:szCs w:val="18"/>
          <w:color w:val="auto"/>
        </w:rPr>
        <w:t>As of June 30, 2021, the Company had active investments in 72 portfolio companies and residual investments in four portfolio companies that have sold their underlying operations. The aggregate fair value of the total portfolio was $743,458 and the weighted average effective yield on the Company’s debt investments was 12.2% as of such date. As of June 30, 2021, the Company held equity investments in 85.5% of its portfolio companies and the average fully diluted equity ownership in those portfolio companies was 7.4%.</w:t>
      </w:r>
    </w:p>
    <w:p>
      <w:pPr>
        <w:spacing w:after="0" w:line="191" w:lineRule="exact"/>
        <w:rPr>
          <w:sz w:val="20"/>
          <w:szCs w:val="20"/>
          <w:color w:val="auto"/>
        </w:rPr>
      </w:pPr>
    </w:p>
    <w:p>
      <w:pPr>
        <w:ind w:left="240" w:right="180" w:firstLine="430"/>
        <w:spacing w:after="0" w:line="291" w:lineRule="auto"/>
        <w:rPr>
          <w:sz w:val="20"/>
          <w:szCs w:val="20"/>
          <w:color w:val="auto"/>
        </w:rPr>
      </w:pPr>
      <w:r>
        <w:rPr>
          <w:rFonts w:ascii="Arial" w:cs="Arial" w:eastAsia="Arial" w:hAnsi="Arial"/>
          <w:sz w:val="16"/>
          <w:szCs w:val="16"/>
          <w:color w:val="auto"/>
        </w:rPr>
        <w:t>As of December 31, 2020, the Company had active investments in 66 portfolio companies and residual investments in three portfolio companies that have sold their underlying operations. The aggregate fair value of the total portfolio was $742,869 and the weighted average effective yield on the Company’s debt investments was 12.2% as of such date. As of December 31, 2020, the Company held equity investments in 88.4% of its portfolio companies and the average fully diluted equity ownership in those portfolio companies was 5.3%.</w:t>
      </w:r>
    </w:p>
    <w:p>
      <w:pPr>
        <w:spacing w:after="0" w:line="162" w:lineRule="exact"/>
        <w:rPr>
          <w:sz w:val="20"/>
          <w:szCs w:val="20"/>
          <w:color w:val="auto"/>
        </w:rPr>
      </w:pPr>
    </w:p>
    <w:p>
      <w:pPr>
        <w:ind w:left="240" w:right="60" w:firstLine="430"/>
        <w:spacing w:after="0" w:line="248" w:lineRule="auto"/>
        <w:rPr>
          <w:sz w:val="20"/>
          <w:szCs w:val="20"/>
          <w:color w:val="auto"/>
        </w:rPr>
      </w:pPr>
      <w:r>
        <w:rPr>
          <w:rFonts w:ascii="Arial" w:cs="Arial" w:eastAsia="Arial" w:hAnsi="Arial"/>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June 30, 2021 and December 31, 2020, including accretion of OID and debt investment origination fees, but excluding investments on non-accrual status and investments recorded as a secured borrowing, if any.</w:t>
      </w:r>
    </w:p>
    <w:p>
      <w:pPr>
        <w:spacing w:after="0" w:line="195" w:lineRule="exact"/>
        <w:rPr>
          <w:sz w:val="20"/>
          <w:szCs w:val="20"/>
          <w:color w:val="auto"/>
        </w:rPr>
      </w:pPr>
    </w:p>
    <w:p>
      <w:pPr>
        <w:ind w:left="240" w:right="140" w:firstLine="430"/>
        <w:spacing w:after="0" w:line="253" w:lineRule="auto"/>
        <w:rPr>
          <w:sz w:val="20"/>
          <w:szCs w:val="20"/>
          <w:color w:val="auto"/>
        </w:rPr>
      </w:pPr>
      <w:r>
        <w:rPr>
          <w:rFonts w:ascii="Arial" w:cs="Arial" w:eastAsia="Arial" w:hAnsi="Arial"/>
          <w:sz w:val="18"/>
          <w:szCs w:val="18"/>
          <w:color w:val="auto"/>
        </w:rPr>
        <w:t>Purchases of debt and equity investments for the six months ended June 30, 2021 and 2020 totaled $167,349 and $85,097, respectively. Proceeds from sales and repayments, including principal, return of capital distributions and realized gains, of portfolio investments for the six months ended June 30, 2021 and 2020 totaled $191,560 and $76,315, respectively.</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220"/>
              <w:spacing w:after="0" w:line="116"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28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gridSpan w:val="4"/>
          </w:tcPr>
          <w:p>
            <w:pPr>
              <w:jc w:val="center"/>
              <w:ind w:right="210"/>
              <w:spacing w:after="0" w:line="116"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Pr>
          <w:p>
            <w:pPr>
              <w:spacing w:after="0"/>
              <w:rPr>
                <w:sz w:val="10"/>
                <w:szCs w:val="10"/>
                <w:color w:val="auto"/>
              </w:rPr>
            </w:pPr>
          </w:p>
        </w:tc>
        <w:tc>
          <w:tcPr>
            <w:tcW w:w="126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 Debt</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$ 285,011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$187,353</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$284,630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0"/>
              <w:spacing w:after="0" w:line="204" w:lineRule="exact"/>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$184,585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26.9%</w:t>
            </w:r>
          </w:p>
        </w:tc>
      </w:tr>
      <w:tr>
        <w:trPr>
          <w:trHeight w:val="211"/>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Second Lien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207,953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332,154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221,225</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341,947</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99,854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107,911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99,411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107,343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Equity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147,226</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112,836</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62,472</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49,958</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r>
        <w:trPr>
          <w:trHeight w:val="217"/>
        </w:trPr>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743,458</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742,869</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670,932</w:t>
            </w:r>
          </w:p>
        </w:tc>
        <w:tc>
          <w:tcPr>
            <w:tcW w:w="1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100.0%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687,027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780" w:hanging="431"/>
        <w:spacing w:after="0" w:line="25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unitranche investments, which account for 30.6% and 33.8% of our portfolio on a fair value and cost basis as of June 30, 2021, respectively. Includes unitranche investments, which account for 17.3% and 18.4% of our portfolio on a fair value and cost basis as of December 31, 2020, respectively.</w:t>
      </w:r>
    </w:p>
    <w:p>
      <w:pPr>
        <w:spacing w:after="0" w:line="189" w:lineRule="exact"/>
        <w:rPr>
          <w:sz w:val="20"/>
          <w:szCs w:val="20"/>
          <w:color w:val="auto"/>
        </w:rPr>
      </w:pPr>
    </w:p>
    <w:p>
      <w:pPr>
        <w:ind w:left="240" w:right="100" w:firstLine="430"/>
        <w:spacing w:after="0" w:line="250" w:lineRule="auto"/>
        <w:rPr>
          <w:sz w:val="20"/>
          <w:szCs w:val="20"/>
          <w:color w:val="auto"/>
        </w:rPr>
      </w:pPr>
      <w:r>
        <w:rPr>
          <w:rFonts w:ascii="Arial" w:cs="Arial" w:eastAsia="Arial" w:hAnsi="Arial"/>
          <w:sz w:val="18"/>
          <w:szCs w:val="18"/>
          <w:color w:val="auto"/>
        </w:rPr>
        <w:t>All investments made by the Company as of June 30, 2021 and December 31, 2020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1" w:right="5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240"/>
              <w:spacing w:after="0" w:line="116"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Pr>
          <w:p>
            <w:pPr>
              <w:spacing w:after="0"/>
              <w:rPr>
                <w:sz w:val="10"/>
                <w:szCs w:val="10"/>
                <w:color w:val="auto"/>
              </w:rPr>
            </w:pPr>
          </w:p>
        </w:tc>
        <w:tc>
          <w:tcPr>
            <w:tcW w:w="128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4"/>
          </w:tcPr>
          <w:p>
            <w:pPr>
              <w:jc w:val="center"/>
              <w:ind w:right="210"/>
              <w:spacing w:after="0" w:line="116"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Pr>
          <w:p>
            <w:pPr>
              <w:spacing w:after="0"/>
              <w:rPr>
                <w:sz w:val="10"/>
                <w:szCs w:val="10"/>
                <w:color w:val="auto"/>
              </w:rPr>
            </w:pPr>
          </w:p>
        </w:tc>
        <w:tc>
          <w:tcPr>
            <w:tcW w:w="1260" w:type="dxa"/>
            <w:vAlign w:val="bottom"/>
            <w:gridSpan w:val="3"/>
          </w:tcPr>
          <w:p>
            <w:pPr>
              <w:jc w:val="center"/>
              <w:spacing w:after="0" w:line="116"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$195,280</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$225,745</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$147,252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90"/>
              <w:spacing w:after="0" w:line="204" w:lineRule="exact"/>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$189,560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27.6%</w:t>
            </w:r>
          </w:p>
        </w:tc>
      </w:tr>
      <w:tr>
        <w:trPr>
          <w:trHeight w:val="211"/>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Southeast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170,342</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153,291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144,190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129,974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144,830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123,268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148,282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127,833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West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102,034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108,673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97,148</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109,221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130,972</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131,892</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134,060</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130,439</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17"/>
        </w:trPr>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743,458</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742,869</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670,932</w:t>
            </w:r>
          </w:p>
        </w:tc>
        <w:tc>
          <w:tcPr>
            <w:tcW w:w="1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100.0%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687,027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1340"/>
              <w:spacing w:after="0"/>
              <w:rPr>
                <w:sz w:val="20"/>
                <w:szCs w:val="20"/>
                <w:color w:val="auto"/>
              </w:rPr>
            </w:pPr>
            <w:r>
              <w:rPr>
                <w:rFonts w:ascii="Arial" w:cs="Arial" w:eastAsia="Arial" w:hAnsi="Arial"/>
                <w:sz w:val="14"/>
                <w:szCs w:val="14"/>
                <w:b w:val="1"/>
                <w:bCs w:val="1"/>
                <w:color w:val="auto"/>
              </w:rPr>
              <w:t>By Type</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By Geographic Region</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6"/>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340" w:type="dxa"/>
            <w:vAlign w:val="bottom"/>
            <w:gridSpan w:val="3"/>
          </w:tcPr>
          <w:p>
            <w:pPr>
              <w:jc w:val="right"/>
              <w:ind w:right="300"/>
              <w:spacing w:after="0" w:line="116" w:lineRule="exact"/>
              <w:rPr>
                <w:sz w:val="20"/>
                <w:szCs w:val="20"/>
                <w:color w:val="auto"/>
              </w:rPr>
            </w:pPr>
            <w:r>
              <w:rPr>
                <w:rFonts w:ascii="Arial" w:cs="Arial" w:eastAsia="Arial" w:hAnsi="Arial"/>
                <w:sz w:val="13"/>
                <w:szCs w:val="13"/>
                <w:b w:val="1"/>
                <w:bCs w:val="1"/>
                <w:color w:val="auto"/>
              </w:rPr>
              <w:t>June 30,</w:t>
            </w:r>
          </w:p>
        </w:tc>
        <w:tc>
          <w:tcPr>
            <w:tcW w:w="9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20" w:type="dxa"/>
            <w:vAlign w:val="bottom"/>
            <w:gridSpan w:val="3"/>
          </w:tcPr>
          <w:p>
            <w:pPr>
              <w:jc w:val="right"/>
              <w:ind w:right="300"/>
              <w:spacing w:after="0" w:line="116" w:lineRule="exact"/>
              <w:rPr>
                <w:sz w:val="20"/>
                <w:szCs w:val="20"/>
                <w:color w:val="auto"/>
              </w:rPr>
            </w:pPr>
            <w:r>
              <w:rPr>
                <w:rFonts w:ascii="Arial" w:cs="Arial" w:eastAsia="Arial" w:hAnsi="Arial"/>
                <w:sz w:val="13"/>
                <w:szCs w:val="13"/>
                <w:b w:val="1"/>
                <w:bCs w:val="1"/>
                <w:color w:val="auto"/>
              </w:rPr>
              <w:t>June 30,</w:t>
            </w:r>
          </w:p>
        </w:tc>
        <w:tc>
          <w:tcPr>
            <w:tcW w:w="98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 Debt</w:t>
            </w:r>
          </w:p>
        </w:tc>
        <w:tc>
          <w:tcPr>
            <w:tcW w:w="1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4" w:lineRule="exact"/>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4" w:lineRule="exact"/>
              <w:rPr>
                <w:sz w:val="20"/>
                <w:szCs w:val="20"/>
                <w:color w:val="auto"/>
              </w:rPr>
            </w:pPr>
            <w:r>
              <w:rPr>
                <w:rFonts w:ascii="Arial" w:cs="Arial" w:eastAsia="Arial" w:hAnsi="Arial"/>
                <w:sz w:val="18"/>
                <w:szCs w:val="18"/>
                <w:color w:val="auto"/>
              </w:rPr>
              <w:t>45.6%</w:t>
            </w:r>
          </w:p>
        </w:tc>
        <w:tc>
          <w:tcPr>
            <w:tcW w:w="14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Midwest</w:t>
            </w:r>
          </w:p>
        </w:tc>
        <w:tc>
          <w:tcPr>
            <w:tcW w:w="19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4" w:lineRule="exact"/>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55.0%</w:t>
            </w:r>
          </w:p>
        </w:tc>
      </w:tr>
      <w:tr>
        <w:trPr>
          <w:trHeight w:val="211"/>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Second Lien Debt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Southeast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Equity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West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Southwest</w:t>
            </w:r>
          </w:p>
        </w:tc>
        <w:tc>
          <w:tcPr>
            <w:tcW w:w="1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r>
      <w:tr>
        <w:trPr>
          <w:trHeight w:val="217"/>
        </w:trPr>
        <w:tc>
          <w:tcPr>
            <w:tcW w:w="1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3"/>
          </w:tcPr>
          <w:p>
            <w:pPr>
              <w:jc w:val="right"/>
              <w:ind w:right="160"/>
              <w:spacing w:after="0"/>
              <w:rPr>
                <w:sz w:val="20"/>
                <w:szCs w:val="20"/>
                <w:color w:val="auto"/>
              </w:rPr>
            </w:pPr>
            <w:r>
              <w:rPr>
                <w:rFonts w:ascii="Arial" w:cs="Arial" w:eastAsia="Arial" w:hAnsi="Arial"/>
                <w:sz w:val="18"/>
                <w:szCs w:val="18"/>
                <w:color w:val="auto"/>
              </w:rPr>
              <w:t>173.2%</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180.9%</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720" w:type="dxa"/>
            <w:vAlign w:val="bottom"/>
            <w:gridSpan w:val="3"/>
          </w:tcPr>
          <w:p>
            <w:pPr>
              <w:jc w:val="right"/>
              <w:ind w:right="160"/>
              <w:spacing w:after="0"/>
              <w:rPr>
                <w:sz w:val="20"/>
                <w:szCs w:val="20"/>
                <w:color w:val="auto"/>
              </w:rPr>
            </w:pPr>
            <w:r>
              <w:rPr>
                <w:rFonts w:ascii="Arial" w:cs="Arial" w:eastAsia="Arial" w:hAnsi="Arial"/>
                <w:sz w:val="18"/>
                <w:szCs w:val="18"/>
                <w:color w:val="auto"/>
              </w:rPr>
              <w:t>173.2%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180.9%</w:t>
            </w: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60" w:firstLine="430"/>
        <w:spacing w:after="0" w:line="253" w:lineRule="auto"/>
        <w:rPr>
          <w:sz w:val="20"/>
          <w:szCs w:val="20"/>
          <w:color w:val="auto"/>
        </w:rPr>
      </w:pPr>
      <w:r>
        <w:rPr>
          <w:rFonts w:ascii="Arial" w:cs="Arial" w:eastAsia="Arial" w:hAnsi="Arial"/>
          <w:sz w:val="18"/>
          <w:szCs w:val="18"/>
          <w:color w:val="auto"/>
        </w:rPr>
        <w:t>As of June 30, 2021 and December 31, 2020, the Company had no portfolio company investments that represented more than 10% of the total investment portfolio on a fair value or cost basis. As of June 30, 2021 and December 31, 2020, the Company had no portfolio company investments that represented more than 5% of our total assets.</w:t>
      </w:r>
    </w:p>
    <w:p>
      <w:pPr>
        <w:spacing w:after="0" w:line="189" w:lineRule="exact"/>
        <w:rPr>
          <w:sz w:val="20"/>
          <w:szCs w:val="20"/>
          <w:color w:val="auto"/>
        </w:rPr>
      </w:pPr>
    </w:p>
    <w:p>
      <w:pPr>
        <w:ind w:left="240" w:right="140" w:firstLine="430"/>
        <w:spacing w:after="0" w:line="262" w:lineRule="auto"/>
        <w:rPr>
          <w:sz w:val="20"/>
          <w:szCs w:val="20"/>
          <w:color w:val="auto"/>
        </w:rPr>
      </w:pPr>
      <w:r>
        <w:rPr>
          <w:rFonts w:ascii="Arial" w:cs="Arial" w:eastAsia="Arial" w:hAnsi="Arial"/>
          <w:sz w:val="18"/>
          <w:szCs w:val="18"/>
          <w:color w:val="auto"/>
        </w:rPr>
        <w:t>As of June 30, 2021, the Company had no debt investments on non-accrual status. As of December 31, 2020, the Company had debt investments in one portfolio company on non-accrual status.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jc w:val="right"/>
              <w:ind w:right="385"/>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620" w:type="dxa"/>
            <w:vAlign w:val="bottom"/>
            <w:gridSpan w:val="5"/>
          </w:tcPr>
          <w:p>
            <w:pPr>
              <w:jc w:val="right"/>
              <w:ind w:right="285"/>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29"/>
        </w:trPr>
        <w:tc>
          <w:tcPr>
            <w:tcW w:w="7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1"/>
                <w:szCs w:val="11"/>
                <w:color w:val="auto"/>
              </w:rPr>
            </w:pPr>
          </w:p>
        </w:tc>
        <w:tc>
          <w:tcPr>
            <w:tcW w:w="640" w:type="dxa"/>
            <w:vAlign w:val="bottom"/>
            <w:tcBorders>
              <w:top w:val="single" w:sz="8" w:color="auto"/>
            </w:tcBorders>
            <w:gridSpan w:val="2"/>
          </w:tcPr>
          <w:p>
            <w:pPr>
              <w:jc w:val="center"/>
              <w:ind w:right="225"/>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205"/>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right="22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80" w:type="dxa"/>
            <w:vAlign w:val="bottom"/>
            <w:gridSpan w:val="2"/>
          </w:tcPr>
          <w:p>
            <w:pPr>
              <w:jc w:val="center"/>
              <w:ind w:right="205"/>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700" w:type="dxa"/>
            <w:vAlign w:val="bottom"/>
            <w:gridSpan w:val="2"/>
          </w:tcPr>
          <w:p>
            <w:pPr>
              <w:jc w:val="right"/>
              <w:ind w:right="265"/>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EBL, LLC (EbLens)</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5"/>
              <w:spacing w:after="0" w:line="204" w:lineRule="exact"/>
              <w:rPr>
                <w:sz w:val="20"/>
                <w:szCs w:val="20"/>
                <w:color w:val="auto"/>
              </w:rPr>
            </w:pPr>
            <w:r>
              <w:rPr>
                <w:rFonts w:ascii="Arial" w:cs="Arial" w:eastAsia="Arial" w:hAnsi="Arial"/>
                <w:sz w:val="18"/>
                <w:szCs w:val="18"/>
                <w:color w:val="auto"/>
                <w:w w:val="85"/>
              </w:rPr>
              <w:t>$—</w:t>
            </w:r>
          </w:p>
        </w:tc>
        <w:tc>
          <w:tcPr>
            <w:tcW w:w="300" w:type="dxa"/>
            <w:vAlign w:val="bottom"/>
            <w:tcBorders>
              <w:top w:val="single" w:sz="8" w:color="CCEEFF"/>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87"/>
              </w:rPr>
              <w:t>(2)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87"/>
              </w:rPr>
              <w:t>(2)</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5,454</w:t>
            </w:r>
          </w:p>
        </w:tc>
        <w:tc>
          <w:tcPr>
            <w:tcW w:w="280" w:type="dxa"/>
            <w:vAlign w:val="bottom"/>
            <w:tcBorders>
              <w:top w:val="single" w:sz="8" w:color="CCEEFF"/>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6"/>
              </w:rPr>
              <w:t>(1)</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9,214</w:t>
            </w:r>
          </w:p>
        </w:tc>
        <w:tc>
          <w:tcPr>
            <w:tcW w:w="22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r>
        <w:trPr>
          <w:trHeight w:val="217"/>
        </w:trPr>
        <w:tc>
          <w:tcPr>
            <w:tcW w:w="7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660" w:type="dxa"/>
            <w:vAlign w:val="bottom"/>
            <w:gridSpan w:val="3"/>
          </w:tcPr>
          <w:p>
            <w:pPr>
              <w:jc w:val="right"/>
              <w:ind w:right="305"/>
              <w:spacing w:after="0"/>
              <w:rPr>
                <w:sz w:val="20"/>
                <w:szCs w:val="20"/>
                <w:color w:val="auto"/>
              </w:rPr>
            </w:pPr>
            <w:r>
              <w:rPr>
                <w:rFonts w:ascii="Arial" w:cs="Arial" w:eastAsia="Arial" w:hAnsi="Arial"/>
                <w:sz w:val="18"/>
                <w:szCs w:val="18"/>
                <w:color w:val="auto"/>
                <w:w w:val="92"/>
              </w:rPr>
              <w:t>$—</w:t>
            </w: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5,454</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20" w:hanging="431"/>
        <w:spacing w:after="0" w:line="251"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ind w:left="680" w:hanging="43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Portfolio company debt investment was not on non-accrual status at period end.</w:t>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09" w:lineRule="exact"/>
        <w:rPr>
          <w:sz w:val="20"/>
          <w:szCs w:val="20"/>
          <w:color w:val="auto"/>
        </w:rPr>
      </w:pPr>
    </w:p>
    <w:p>
      <w:pPr>
        <w:jc w:val="both"/>
        <w:ind w:left="240" w:right="120" w:firstLine="430"/>
        <w:spacing w:after="0" w:line="253"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2020 and any additions and reductions made to such investments during the six months ended June 30, 2021, the ending fair value as of June 30, 2021, and the total investment income earned on such investments during the period.</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1" w:right="5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tbl>
      <w:tblPr>
        <w:tblLayout w:type="fixed"/>
        <w:tblInd w:w="2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6"/>
              </w:rPr>
              <w:t>June 30, 2021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9"/>
          </w:tcPr>
          <w:p>
            <w:pPr>
              <w:ind w:left="220"/>
              <w:spacing w:after="0"/>
              <w:rPr>
                <w:sz w:val="20"/>
                <w:szCs w:val="20"/>
                <w:color w:val="auto"/>
              </w:rPr>
            </w:pPr>
            <w:r>
              <w:rPr>
                <w:rFonts w:ascii="Arial" w:cs="Arial" w:eastAsia="Arial" w:hAnsi="Arial"/>
                <w:sz w:val="12"/>
                <w:szCs w:val="12"/>
                <w:b w:val="1"/>
                <w:bCs w:val="1"/>
                <w:color w:val="auto"/>
                <w:w w:val="95"/>
              </w:rPr>
              <w:t>Six Months Ended June 30, 2021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gridSpan w:val="2"/>
          </w:tcPr>
          <w:p>
            <w:pPr>
              <w:spacing w:after="0" w:line="99" w:lineRule="exact"/>
              <w:rPr>
                <w:sz w:val="20"/>
                <w:szCs w:val="20"/>
                <w:color w:val="auto"/>
              </w:rPr>
            </w:pPr>
            <w:r>
              <w:rPr>
                <w:rFonts w:ascii="Arial" w:cs="Arial" w:eastAsia="Arial" w:hAnsi="Arial"/>
                <w:sz w:val="11"/>
                <w:szCs w:val="11"/>
                <w:b w:val="1"/>
                <w:bCs w:val="1"/>
                <w:color w:val="auto"/>
                <w:w w:val="91"/>
              </w:rPr>
              <w:t>Net Change 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31"/>
              <w:spacing w:after="0" w:line="119" w:lineRule="exact"/>
              <w:rPr>
                <w:sz w:val="20"/>
                <w:szCs w:val="20"/>
                <w:color w:val="auto"/>
              </w:rPr>
            </w:pPr>
            <w:r>
              <w:rPr>
                <w:rFonts w:ascii="Arial" w:cs="Arial" w:eastAsia="Arial" w:hAnsi="Arial"/>
                <w:sz w:val="11"/>
                <w:szCs w:val="11"/>
                <w:b w:val="1"/>
                <w:bCs w:val="1"/>
                <w:color w:val="auto"/>
                <w:w w:val="90"/>
              </w:rPr>
              <w:t>Principal</w:t>
            </w:r>
          </w:p>
        </w:tc>
        <w:tc>
          <w:tcPr>
            <w:tcW w:w="800" w:type="dxa"/>
            <w:vAlign w:val="bottom"/>
            <w:gridSpan w:val="3"/>
          </w:tcPr>
          <w:p>
            <w:pPr>
              <w:ind w:left="180"/>
              <w:spacing w:after="0" w:line="119" w:lineRule="exact"/>
              <w:rPr>
                <w:sz w:val="20"/>
                <w:szCs w:val="20"/>
                <w:color w:val="auto"/>
              </w:rPr>
            </w:pPr>
            <w:r>
              <w:rPr>
                <w:rFonts w:ascii="Arial" w:cs="Arial" w:eastAsia="Arial" w:hAnsi="Arial"/>
                <w:sz w:val="11"/>
                <w:szCs w:val="11"/>
                <w:b w:val="1"/>
                <w:bCs w:val="1"/>
                <w:color w:val="auto"/>
                <w:w w:val="83"/>
              </w:rPr>
              <w:t>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b w:val="1"/>
                <w:bCs w:val="1"/>
                <w:color w:val="auto"/>
                <w:w w:val="72"/>
              </w:rPr>
              <w:t>June 30,</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Arial" w:cs="Arial" w:eastAsia="Arial" w:hAnsi="Arial"/>
                <w:sz w:val="11"/>
                <w:szCs w:val="11"/>
                <w:b w:val="1"/>
                <w:bCs w:val="1"/>
                <w:color w:val="auto"/>
                <w:w w:val="86"/>
              </w:rPr>
              <w:t>Unrealized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Payment-in-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 xml:space="preserve">Portfolio Company </w:t>
            </w:r>
            <w:r>
              <w:rPr>
                <w:rFonts w:ascii="Arial" w:cs="Arial" w:eastAsia="Arial" w:hAnsi="Arial"/>
                <w:sz w:val="8"/>
                <w:szCs w:val="8"/>
                <w:b w:val="1"/>
                <w:bCs w:val="1"/>
                <w:color w:val="auto"/>
              </w:rPr>
              <w:t>(1)</w:t>
            </w:r>
          </w:p>
        </w:tc>
        <w:tc>
          <w:tcPr>
            <w:tcW w:w="6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87"/>
              </w:rPr>
              <w:t>Amount - Debt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151"/>
              <w:spacing w:after="0" w:line="119" w:lineRule="exact"/>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31"/>
              <w:spacing w:after="0" w:line="119" w:lineRule="exact"/>
              <w:rPr>
                <w:sz w:val="20"/>
                <w:szCs w:val="20"/>
                <w:color w:val="auto"/>
              </w:rPr>
            </w:pPr>
            <w:r>
              <w:rPr>
                <w:rFonts w:ascii="Arial" w:cs="Arial" w:eastAsia="Arial" w:hAnsi="Arial"/>
                <w:sz w:val="11"/>
                <w:szCs w:val="11"/>
                <w:b w:val="1"/>
                <w:bCs w:val="1"/>
                <w:color w:val="auto"/>
                <w:w w:val="94"/>
              </w:rPr>
              <w:t>Gross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b w:val="1"/>
                <w:bCs w:val="1"/>
                <w:color w:val="auto"/>
              </w:rPr>
              <w:t>Gross</w:t>
            </w:r>
          </w:p>
        </w:tc>
        <w:tc>
          <w:tcPr>
            <w:tcW w:w="5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w w:val="87"/>
              </w:rPr>
              <w:t>2021 Fair</w:t>
            </w:r>
          </w:p>
        </w:tc>
        <w:tc>
          <w:tcPr>
            <w:tcW w:w="24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Net Realized</w:t>
            </w:r>
          </w:p>
        </w:tc>
        <w:tc>
          <w:tcPr>
            <w:tcW w:w="2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Arial" w:cs="Arial" w:eastAsia="Arial" w:hAnsi="Arial"/>
                <w:sz w:val="11"/>
                <w:szCs w:val="11"/>
                <w:b w:val="1"/>
                <w:bCs w:val="1"/>
                <w:color w:val="auto"/>
                <w:w w:val="80"/>
              </w:rPr>
              <w:t>Appreciation</w:t>
            </w:r>
          </w:p>
        </w:tc>
        <w:tc>
          <w:tcPr>
            <w:tcW w:w="4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w w:val="85"/>
              </w:rPr>
              <w:t>Interest</w:t>
            </w:r>
          </w:p>
        </w:tc>
        <w:tc>
          <w:tcPr>
            <w:tcW w:w="860" w:type="dxa"/>
            <w:vAlign w:val="bottom"/>
            <w:gridSpan w:val="4"/>
          </w:tcPr>
          <w:p>
            <w:pPr>
              <w:ind w:left="160"/>
              <w:spacing w:after="0" w:line="119" w:lineRule="exact"/>
              <w:rPr>
                <w:sz w:val="20"/>
                <w:szCs w:val="20"/>
                <w:color w:val="auto"/>
              </w:rPr>
            </w:pPr>
            <w:r>
              <w:rPr>
                <w:rFonts w:ascii="Arial" w:cs="Arial" w:eastAsia="Arial" w:hAnsi="Arial"/>
                <w:sz w:val="11"/>
                <w:szCs w:val="11"/>
                <w:b w:val="1"/>
                <w:bCs w:val="1"/>
                <w:color w:val="auto"/>
              </w:rPr>
              <w:t>kind Interest</w:t>
            </w:r>
          </w:p>
        </w:tc>
        <w:tc>
          <w:tcPr>
            <w:tcW w:w="4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w w:val="86"/>
              </w:rPr>
              <w:t>Dividend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6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31"/>
              <w:spacing w:after="0"/>
              <w:rPr>
                <w:sz w:val="20"/>
                <w:szCs w:val="20"/>
                <w:color w:val="auto"/>
              </w:rPr>
            </w:pPr>
            <w:r>
              <w:rPr>
                <w:rFonts w:ascii="Arial" w:cs="Arial" w:eastAsia="Arial" w:hAnsi="Arial"/>
                <w:sz w:val="11"/>
                <w:szCs w:val="11"/>
                <w:b w:val="1"/>
                <w:bCs w:val="1"/>
                <w:color w:val="auto"/>
                <w:w w:val="84"/>
              </w:rPr>
              <w:t>Investments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31"/>
              <w:spacing w:after="0"/>
              <w:rPr>
                <w:sz w:val="20"/>
                <w:szCs w:val="20"/>
                <w:color w:val="auto"/>
              </w:rPr>
            </w:pPr>
            <w:r>
              <w:rPr>
                <w:rFonts w:ascii="Arial" w:cs="Arial" w:eastAsia="Arial" w:hAnsi="Arial"/>
                <w:sz w:val="11"/>
                <w:szCs w:val="11"/>
                <w:b w:val="1"/>
                <w:bCs w:val="1"/>
                <w:color w:val="auto"/>
                <w:w w:val="87"/>
              </w:rPr>
              <w:t>Fair Value</w:t>
            </w:r>
          </w:p>
        </w:tc>
        <w:tc>
          <w:tcPr>
            <w:tcW w:w="780" w:type="dxa"/>
            <w:vAlign w:val="bottom"/>
            <w:gridSpan w:val="3"/>
          </w:tcPr>
          <w:p>
            <w:pPr>
              <w:ind w:left="180"/>
              <w:spacing w:after="0"/>
              <w:rPr>
                <w:sz w:val="20"/>
                <w:szCs w:val="20"/>
                <w:color w:val="auto"/>
              </w:rPr>
            </w:pPr>
            <w:r>
              <w:rPr>
                <w:rFonts w:ascii="Arial" w:cs="Arial" w:eastAsia="Arial" w:hAnsi="Arial"/>
                <w:sz w:val="11"/>
                <w:szCs w:val="11"/>
                <w:b w:val="1"/>
                <w:bCs w:val="1"/>
                <w:color w:val="auto"/>
                <w:w w:val="91"/>
              </w:rPr>
              <w:t xml:space="preserve">Additions </w:t>
            </w:r>
            <w:r>
              <w:rPr>
                <w:rFonts w:ascii="Arial" w:cs="Arial" w:eastAsia="Arial" w:hAnsi="Arial"/>
                <w:sz w:val="8"/>
                <w:szCs w:val="8"/>
                <w:b w:val="1"/>
                <w:bCs w:val="1"/>
                <w:color w:val="auto"/>
                <w:w w:val="91"/>
              </w:rPr>
              <w:t>(2)</w:t>
            </w:r>
          </w:p>
        </w:tc>
        <w:tc>
          <w:tcPr>
            <w:tcW w:w="920" w:type="dxa"/>
            <w:vAlign w:val="bottom"/>
            <w:gridSpan w:val="4"/>
          </w:tcPr>
          <w:p>
            <w:pPr>
              <w:ind w:left="180"/>
              <w:spacing w:after="0"/>
              <w:rPr>
                <w:sz w:val="20"/>
                <w:szCs w:val="20"/>
                <w:color w:val="auto"/>
              </w:rPr>
            </w:pPr>
            <w:r>
              <w:rPr>
                <w:rFonts w:ascii="Arial" w:cs="Arial" w:eastAsia="Arial" w:hAnsi="Arial"/>
                <w:sz w:val="11"/>
                <w:szCs w:val="11"/>
                <w:b w:val="1"/>
                <w:bCs w:val="1"/>
                <w:color w:val="auto"/>
                <w:w w:val="98"/>
              </w:rPr>
              <w:t xml:space="preserve">Reductions </w:t>
            </w:r>
            <w:r>
              <w:rPr>
                <w:rFonts w:ascii="Arial" w:cs="Arial" w:eastAsia="Arial" w:hAnsi="Arial"/>
                <w:sz w:val="8"/>
                <w:szCs w:val="8"/>
                <w:b w:val="1"/>
                <w:bCs w:val="1"/>
                <w:color w:val="auto"/>
                <w:w w:val="98"/>
              </w:rPr>
              <w:t>(3)</w:t>
            </w:r>
          </w:p>
        </w:tc>
        <w:tc>
          <w:tcPr>
            <w:tcW w:w="160" w:type="dxa"/>
            <w:vAlign w:val="bottom"/>
          </w:tcPr>
          <w:p>
            <w:pPr>
              <w:spacing w:after="0"/>
              <w:rPr>
                <w:sz w:val="11"/>
                <w:szCs w:val="11"/>
                <w:color w:val="auto"/>
              </w:rPr>
            </w:pPr>
          </w:p>
        </w:tc>
        <w:tc>
          <w:tcPr>
            <w:tcW w:w="380" w:type="dxa"/>
            <w:vAlign w:val="bottom"/>
          </w:tcPr>
          <w:p>
            <w:pPr>
              <w:jc w:val="right"/>
              <w:ind w:right="51"/>
              <w:spacing w:after="0"/>
              <w:rPr>
                <w:sz w:val="20"/>
                <w:szCs w:val="20"/>
                <w:color w:val="auto"/>
              </w:rPr>
            </w:pPr>
            <w:r>
              <w:rPr>
                <w:rFonts w:ascii="Arial" w:cs="Arial" w:eastAsia="Arial" w:hAnsi="Arial"/>
                <w:sz w:val="11"/>
                <w:szCs w:val="11"/>
                <w:b w:val="1"/>
                <w:bCs w:val="1"/>
                <w:color w:val="auto"/>
                <w:w w:val="88"/>
              </w:rPr>
              <w:t>Value</w:t>
            </w:r>
          </w:p>
        </w:tc>
        <w:tc>
          <w:tcPr>
            <w:tcW w:w="960" w:type="dxa"/>
            <w:vAlign w:val="bottom"/>
            <w:gridSpan w:val="2"/>
          </w:tcPr>
          <w:p>
            <w:pPr>
              <w:ind w:left="180"/>
              <w:spacing w:after="0"/>
              <w:rPr>
                <w:sz w:val="20"/>
                <w:szCs w:val="20"/>
                <w:color w:val="auto"/>
              </w:rPr>
            </w:pPr>
            <w:r>
              <w:rPr>
                <w:rFonts w:ascii="Arial" w:cs="Arial" w:eastAsia="Arial" w:hAnsi="Arial"/>
                <w:sz w:val="11"/>
                <w:szCs w:val="11"/>
                <w:b w:val="1"/>
                <w:bCs w:val="1"/>
                <w:color w:val="auto"/>
                <w:w w:val="82"/>
              </w:rPr>
              <w:t xml:space="preserve">Gains (Losses) </w:t>
            </w:r>
            <w:r>
              <w:rPr>
                <w:rFonts w:ascii="Arial" w:cs="Arial" w:eastAsia="Arial" w:hAnsi="Arial"/>
                <w:sz w:val="8"/>
                <w:szCs w:val="8"/>
                <w:b w:val="1"/>
                <w:bCs w:val="1"/>
                <w:color w:val="auto"/>
                <w:w w:val="82"/>
              </w:rPr>
              <w:t>(4)</w:t>
            </w:r>
          </w:p>
        </w:tc>
        <w:tc>
          <w:tcPr>
            <w:tcW w:w="940" w:type="dxa"/>
            <w:vAlign w:val="bottom"/>
            <w:gridSpan w:val="3"/>
          </w:tcPr>
          <w:p>
            <w:pPr>
              <w:ind w:left="180"/>
              <w:spacing w:after="0"/>
              <w:rPr>
                <w:sz w:val="20"/>
                <w:szCs w:val="20"/>
                <w:color w:val="auto"/>
              </w:rPr>
            </w:pPr>
            <w:r>
              <w:rPr>
                <w:rFonts w:ascii="Arial" w:cs="Arial" w:eastAsia="Arial" w:hAnsi="Arial"/>
                <w:sz w:val="11"/>
                <w:szCs w:val="11"/>
                <w:b w:val="1"/>
                <w:bCs w:val="1"/>
                <w:color w:val="auto"/>
                <w:w w:val="99"/>
              </w:rPr>
              <w:t>(Depreciation)</w:t>
            </w:r>
          </w:p>
        </w:tc>
        <w:tc>
          <w:tcPr>
            <w:tcW w:w="10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w w:val="88"/>
              </w:rPr>
              <w:t>Income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Income</w:t>
            </w:r>
          </w:p>
        </w:tc>
        <w:tc>
          <w:tcPr>
            <w:tcW w:w="60" w:type="dxa"/>
            <w:vAlign w:val="bottom"/>
          </w:tcPr>
          <w:p>
            <w:pPr>
              <w:spacing w:after="0"/>
              <w:rPr>
                <w:sz w:val="11"/>
                <w:szCs w:val="11"/>
                <w:color w:val="auto"/>
              </w:rPr>
            </w:pP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w w:val="93"/>
              </w:rPr>
              <w:t>Income</w:t>
            </w:r>
          </w:p>
        </w:tc>
        <w:tc>
          <w:tcPr>
            <w:tcW w:w="740" w:type="dxa"/>
            <w:vAlign w:val="bottom"/>
            <w:gridSpan w:val="4"/>
          </w:tcPr>
          <w:p>
            <w:pPr>
              <w:ind w:left="180"/>
              <w:spacing w:after="0"/>
              <w:rPr>
                <w:sz w:val="20"/>
                <w:szCs w:val="20"/>
                <w:color w:val="auto"/>
              </w:rPr>
            </w:pPr>
            <w:r>
              <w:rPr>
                <w:rFonts w:ascii="Arial" w:cs="Arial" w:eastAsia="Arial" w:hAnsi="Arial"/>
                <w:sz w:val="11"/>
                <w:szCs w:val="11"/>
                <w:b w:val="1"/>
                <w:bCs w:val="1"/>
                <w:color w:val="auto"/>
                <w:w w:val="89"/>
              </w:rPr>
              <w:t>Fee Income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auto"/>
              </w:rPr>
              <w:t>Control Investments</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right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tcPr>
          <w:p>
            <w:pPr>
              <w:spacing w:after="0"/>
              <w:rPr>
                <w:sz w:val="20"/>
                <w:szCs w:val="20"/>
                <w:color w:val="auto"/>
              </w:rPr>
            </w:pPr>
            <w:r>
              <w:rPr>
                <w:rFonts w:ascii="Arial" w:cs="Arial" w:eastAsia="Arial" w:hAnsi="Arial"/>
                <w:sz w:val="10"/>
                <w:szCs w:val="10"/>
                <w:color w:val="auto"/>
              </w:rPr>
              <w:t>Hilco Plastics Holdings, LLC (dba Hilco Technologies)</w:t>
            </w:r>
            <w:r>
              <w:rPr>
                <w:rFonts w:ascii="Arial" w:cs="Arial" w:eastAsia="Arial" w:hAnsi="Arial"/>
                <w:sz w:val="8"/>
                <w:szCs w:val="8"/>
                <w:color w:val="auto"/>
              </w:rPr>
              <w:t>(6)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10,286</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22,210</w:t>
            </w:r>
          </w:p>
        </w:tc>
        <w:tc>
          <w:tcPr>
            <w:tcW w:w="2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(1,496)</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20,714</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(1,495)</w:t>
            </w: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263</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2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w w:val="71"/>
              </w:rPr>
              <w:t>568</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Mesa Line Services, LLC </w:t>
            </w:r>
            <w:r>
              <w:rPr>
                <w:rFonts w:ascii="Arial" w:cs="Arial" w:eastAsia="Arial" w:hAnsi="Arial"/>
                <w:sz w:val="8"/>
                <w:szCs w:val="8"/>
                <w:color w:val="auto"/>
              </w:rPr>
              <w:t>(6)</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20,804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21,894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(5,596)</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16,298</w:t>
            </w:r>
          </w:p>
        </w:tc>
        <w:tc>
          <w:tcPr>
            <w:tcW w:w="2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(5,596)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83"/>
              </w:rPr>
              <w:t>221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tcPr>
          <w:p>
            <w:pPr>
              <w:spacing w:after="0"/>
              <w:rPr>
                <w:sz w:val="20"/>
                <w:szCs w:val="20"/>
                <w:color w:val="auto"/>
              </w:rPr>
            </w:pPr>
            <w:r>
              <w:rPr>
                <w:rFonts w:ascii="Arial" w:cs="Arial" w:eastAsia="Arial" w:hAnsi="Arial"/>
                <w:sz w:val="10"/>
                <w:szCs w:val="10"/>
                <w:color w:val="auto"/>
              </w:rPr>
              <w:t>Spectra A&amp;D Acquisition, Inc. (fka FDS Avionics Corp.)</w:t>
            </w:r>
            <w:r>
              <w:rPr>
                <w:rFonts w:ascii="Arial" w:cs="Arial" w:eastAsia="Arial" w:hAnsi="Arial"/>
                <w:sz w:val="8"/>
                <w:szCs w:val="8"/>
                <w:color w:val="auto"/>
              </w:rPr>
              <w:t>(5)</w:t>
            </w:r>
          </w:p>
        </w:tc>
        <w:tc>
          <w:tcPr>
            <w:tcW w:w="6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7,391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1,986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(9,377)</w:t>
            </w:r>
          </w:p>
        </w:tc>
        <w:tc>
          <w:tcPr>
            <w:tcW w:w="1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720" w:type="dxa"/>
            <w:vAlign w:val="bottom"/>
          </w:tcPr>
          <w:p>
            <w:pPr>
              <w:ind w:left="580"/>
              <w:spacing w:after="0"/>
              <w:rPr>
                <w:sz w:val="20"/>
                <w:szCs w:val="20"/>
                <w:color w:val="auto"/>
              </w:rPr>
            </w:pPr>
            <w:r>
              <w:rPr>
                <w:rFonts w:ascii="Arial" w:cs="Arial" w:eastAsia="Arial" w:hAnsi="Arial"/>
                <w:sz w:val="10"/>
                <w:szCs w:val="10"/>
                <w:color w:val="auto"/>
                <w:w w:val="71"/>
              </w:rPr>
              <w:t>957</w:t>
            </w: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90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ind w:left="180"/>
              <w:spacing w:after="0"/>
              <w:rPr>
                <w:sz w:val="20"/>
                <w:szCs w:val="20"/>
                <w:color w:val="auto"/>
              </w:rPr>
            </w:pPr>
            <w:r>
              <w:rPr>
                <w:rFonts w:ascii="Arial" w:cs="Arial" w:eastAsia="Arial" w:hAnsi="Arial"/>
                <w:sz w:val="10"/>
                <w:szCs w:val="10"/>
                <w:color w:val="auto"/>
                <w:w w:val="71"/>
              </w:rPr>
              <w:t>400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US GreenFiber, LLC</w:t>
            </w:r>
          </w:p>
        </w:tc>
        <w:tc>
          <w:tcPr>
            <w:tcW w:w="6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26,161</w:t>
            </w:r>
          </w:p>
        </w:tc>
        <w:tc>
          <w:tcPr>
            <w:tcW w:w="1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20,862</w:t>
            </w:r>
          </w:p>
        </w:tc>
        <w:tc>
          <w:tcPr>
            <w:tcW w:w="2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3,294</w:t>
            </w:r>
          </w:p>
        </w:tc>
        <w:tc>
          <w:tcPr>
            <w:tcW w:w="1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24,156</w:t>
            </w:r>
          </w:p>
        </w:tc>
        <w:tc>
          <w:tcPr>
            <w:tcW w:w="240" w:type="dxa"/>
            <w:vAlign w:val="bottom"/>
            <w:tcBorders>
              <w:right w:val="single" w:sz="8" w:color="CCEEFF"/>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1,054</w:t>
            </w:r>
          </w:p>
        </w:tc>
        <w:tc>
          <w:tcPr>
            <w:tcW w:w="1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0"/>
                <w:szCs w:val="10"/>
                <w:color w:val="auto"/>
                <w:w w:val="83"/>
              </w:rPr>
              <w:t>716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00" w:type="dxa"/>
            <w:vAlign w:val="bottom"/>
            <w:gridSpan w:val="3"/>
          </w:tcPr>
          <w:p>
            <w:pPr>
              <w:spacing w:after="0"/>
              <w:rPr>
                <w:sz w:val="20"/>
                <w:szCs w:val="20"/>
                <w:color w:val="auto"/>
              </w:rPr>
            </w:pPr>
            <w:r>
              <w:rPr>
                <w:rFonts w:ascii="Arial" w:cs="Arial" w:eastAsia="Arial" w:hAnsi="Arial"/>
                <w:sz w:val="10"/>
                <w:szCs w:val="10"/>
                <w:b w:val="1"/>
                <w:bCs w:val="1"/>
                <w:color w:val="auto"/>
              </w:rPr>
              <w:t>Total Control Investments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57,251</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28,253</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49,384</w:t>
            </w:r>
          </w:p>
        </w:tc>
        <w:tc>
          <w:tcPr>
            <w:tcW w:w="2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(16,469)</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61,168</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w w:val="71"/>
              </w:rPr>
              <w:t>957</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(5,985)</w:t>
            </w: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w w:val="95"/>
              </w:rPr>
              <w:t>1,568</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w w:val="83"/>
              </w:rPr>
              <w:t>937</w:t>
            </w:r>
          </w:p>
        </w:tc>
        <w:tc>
          <w:tcPr>
            <w:tcW w:w="100" w:type="dxa"/>
            <w:vAlign w:val="bottom"/>
          </w:tcPr>
          <w:p>
            <w:pPr>
              <w:spacing w:after="0"/>
              <w:rPr>
                <w:sz w:val="10"/>
                <w:szCs w:val="10"/>
                <w:color w:val="auto"/>
              </w:rPr>
            </w:pPr>
          </w:p>
        </w:tc>
        <w:tc>
          <w:tcPr>
            <w:tcW w:w="2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w w:val="71"/>
              </w:rPr>
              <w:t>568</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20" w:type="dxa"/>
            <w:vAlign w:val="bottom"/>
          </w:tcPr>
          <w:p>
            <w:pPr>
              <w:ind w:left="180"/>
              <w:spacing w:after="0"/>
              <w:rPr>
                <w:sz w:val="20"/>
                <w:szCs w:val="20"/>
                <w:color w:val="auto"/>
              </w:rPr>
            </w:pPr>
            <w:r>
              <w:rPr>
                <w:rFonts w:ascii="Arial" w:cs="Arial" w:eastAsia="Arial" w:hAnsi="Arial"/>
                <w:sz w:val="10"/>
                <w:szCs w:val="10"/>
                <w:color w:val="auto"/>
                <w:w w:val="71"/>
              </w:rPr>
              <w:t>400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auto"/>
              </w:rPr>
              <w:t>Affiliate Investments</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tcPr>
          <w:p>
            <w:pPr>
              <w:spacing w:after="0"/>
              <w:rPr>
                <w:sz w:val="20"/>
                <w:szCs w:val="20"/>
                <w:color w:val="auto"/>
              </w:rPr>
            </w:pPr>
            <w:r>
              <w:rPr>
                <w:rFonts w:ascii="Arial" w:cs="Arial" w:eastAsia="Arial" w:hAnsi="Arial"/>
                <w:sz w:val="10"/>
                <w:szCs w:val="10"/>
                <w:color w:val="auto"/>
              </w:rPr>
              <w:t>FAR Research Inc.</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28</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28</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2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Fiber Materials, Inc.</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2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tcPr>
          <w:p>
            <w:pPr>
              <w:spacing w:after="0"/>
              <w:rPr>
                <w:sz w:val="20"/>
                <w:szCs w:val="20"/>
                <w:color w:val="auto"/>
              </w:rPr>
            </w:pPr>
            <w:r>
              <w:rPr>
                <w:rFonts w:ascii="Arial" w:cs="Arial" w:eastAsia="Arial" w:hAnsi="Arial"/>
                <w:sz w:val="10"/>
                <w:szCs w:val="10"/>
                <w:color w:val="auto"/>
              </w:rPr>
              <w:t>Medsurant Holdings, LLC</w:t>
            </w:r>
          </w:p>
        </w:tc>
        <w:tc>
          <w:tcPr>
            <w:tcW w:w="6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10,960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1,075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(8,031)</w:t>
            </w: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4,004</w:t>
            </w:r>
          </w:p>
        </w:tc>
        <w:tc>
          <w:tcPr>
            <w:tcW w:w="240" w:type="dxa"/>
            <w:vAlign w:val="bottom"/>
          </w:tcPr>
          <w:p>
            <w:pPr>
              <w:spacing w:after="0"/>
              <w:rPr>
                <w:sz w:val="10"/>
                <w:szCs w:val="10"/>
                <w:color w:val="auto"/>
              </w:rPr>
            </w:pP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331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ind w:left="220"/>
              <w:spacing w:after="0"/>
              <w:rPr>
                <w:sz w:val="20"/>
                <w:szCs w:val="20"/>
                <w:color w:val="auto"/>
              </w:rPr>
            </w:pPr>
            <w:r>
              <w:rPr>
                <w:rFonts w:ascii="Arial" w:cs="Arial" w:eastAsia="Arial" w:hAnsi="Arial"/>
                <w:sz w:val="10"/>
                <w:szCs w:val="10"/>
                <w:color w:val="auto"/>
                <w:w w:val="71"/>
              </w:rPr>
              <w:t>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Mirage Trailers LLC</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6,532</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6,494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3,622</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(44)</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10,072</w:t>
            </w:r>
          </w:p>
        </w:tc>
        <w:tc>
          <w:tcPr>
            <w:tcW w:w="2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83"/>
              </w:rPr>
              <w:t>165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110</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tcPr>
          <w:p>
            <w:pPr>
              <w:spacing w:after="0"/>
              <w:rPr>
                <w:sz w:val="20"/>
                <w:szCs w:val="20"/>
                <w:color w:val="auto"/>
              </w:rPr>
            </w:pPr>
            <w:r>
              <w:rPr>
                <w:rFonts w:ascii="Arial" w:cs="Arial" w:eastAsia="Arial" w:hAnsi="Arial"/>
                <w:sz w:val="10"/>
                <w:szCs w:val="10"/>
                <w:color w:val="auto"/>
              </w:rPr>
              <w:t>Pfanstiehl, Inc.</w:t>
            </w:r>
          </w:p>
        </w:tc>
        <w:tc>
          <w:tcPr>
            <w:tcW w:w="6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33,505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9,676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43,181</w:t>
            </w:r>
          </w:p>
        </w:tc>
        <w:tc>
          <w:tcPr>
            <w:tcW w:w="240" w:type="dxa"/>
            <w:vAlign w:val="bottom"/>
          </w:tcPr>
          <w:p>
            <w:pPr>
              <w:spacing w:after="0"/>
              <w:rPr>
                <w:sz w:val="10"/>
                <w:szCs w:val="10"/>
                <w:color w:val="auto"/>
              </w:rPr>
            </w:pP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9,677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Pinnergy, Ltd.</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20,589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20,797</w:t>
            </w:r>
          </w:p>
        </w:tc>
        <w:tc>
          <w:tcPr>
            <w:tcW w:w="2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tcPr>
          <w:p>
            <w:pPr>
              <w:spacing w:after="0"/>
              <w:rPr>
                <w:sz w:val="20"/>
                <w:szCs w:val="20"/>
                <w:color w:val="auto"/>
              </w:rPr>
            </w:pPr>
            <w:r>
              <w:rPr>
                <w:rFonts w:ascii="Arial" w:cs="Arial" w:eastAsia="Arial" w:hAnsi="Arial"/>
                <w:sz w:val="10"/>
                <w:szCs w:val="10"/>
                <w:color w:val="auto"/>
              </w:rPr>
              <w:t>Spectra A&amp;D Acquisition, Inc. (fka FDS Avionics Corp.)</w:t>
            </w:r>
            <w:r>
              <w:rPr>
                <w:rFonts w:ascii="Arial" w:cs="Arial" w:eastAsia="Arial" w:hAnsi="Arial"/>
                <w:sz w:val="8"/>
                <w:szCs w:val="8"/>
                <w:color w:val="auto"/>
              </w:rPr>
              <w:t>(5)</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8,000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12,277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(59)</w:t>
            </w: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12,218</w:t>
            </w:r>
          </w:p>
        </w:tc>
        <w:tc>
          <w:tcPr>
            <w:tcW w:w="240" w:type="dxa"/>
            <w:vAlign w:val="bottom"/>
          </w:tcPr>
          <w:p>
            <w:pPr>
              <w:spacing w:after="0"/>
              <w:rPr>
                <w:sz w:val="10"/>
                <w:szCs w:val="10"/>
                <w:color w:val="auto"/>
              </w:rPr>
            </w:pP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395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ind w:left="180"/>
              <w:spacing w:after="0"/>
              <w:rPr>
                <w:sz w:val="20"/>
                <w:szCs w:val="20"/>
                <w:color w:val="auto"/>
              </w:rPr>
            </w:pPr>
            <w:r>
              <w:rPr>
                <w:rFonts w:ascii="Arial" w:cs="Arial" w:eastAsia="Arial" w:hAnsi="Arial"/>
                <w:sz w:val="10"/>
                <w:szCs w:val="10"/>
                <w:color w:val="auto"/>
                <w:w w:val="71"/>
              </w:rPr>
              <w:t>177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Steward Holding LLC (dba Steward Advanced Materials)</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9,777</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(7,812)</w:t>
            </w:r>
          </w:p>
        </w:tc>
        <w:tc>
          <w:tcPr>
            <w:tcW w:w="16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2,297</w:t>
            </w:r>
          </w:p>
        </w:tc>
        <w:tc>
          <w:tcPr>
            <w:tcW w:w="24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0"/>
                <w:szCs w:val="10"/>
                <w:color w:val="auto"/>
                <w:w w:val="71"/>
              </w:rPr>
              <w:t>30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Total Affiliate Investments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00" w:type="dxa"/>
            <w:vAlign w:val="bottom"/>
            <w:gridSpan w:val="3"/>
            <w:vMerge w:val="continue"/>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14,532</w:t>
            </w:r>
          </w:p>
        </w:tc>
        <w:tc>
          <w:tcPr>
            <w:tcW w:w="1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81,394</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27,191</w:t>
            </w:r>
          </w:p>
        </w:tc>
        <w:tc>
          <w:tcPr>
            <w:tcW w:w="2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(15,946)</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92,639</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16,368</w:t>
            </w:r>
          </w:p>
        </w:tc>
        <w:tc>
          <w:tcPr>
            <w:tcW w:w="100" w:type="dxa"/>
            <w:vAlign w:val="bottom"/>
          </w:tcPr>
          <w:p>
            <w:pPr>
              <w:spacing w:after="0"/>
              <w:rPr>
                <w:sz w:val="10"/>
                <w:szCs w:val="10"/>
                <w:color w:val="auto"/>
              </w:rPr>
            </w:pP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w w:val="95"/>
              </w:rPr>
              <w:t>1,559</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w w:val="83"/>
              </w:rPr>
              <w:t>195</w:t>
            </w:r>
          </w:p>
        </w:tc>
        <w:tc>
          <w:tcPr>
            <w:tcW w:w="100" w:type="dxa"/>
            <w:vAlign w:val="bottom"/>
          </w:tcPr>
          <w:p>
            <w:pPr>
              <w:spacing w:after="0"/>
              <w:rPr>
                <w:sz w:val="10"/>
                <w:szCs w:val="10"/>
                <w:color w:val="auto"/>
              </w:rPr>
            </w:pPr>
          </w:p>
        </w:tc>
        <w:tc>
          <w:tcPr>
            <w:tcW w:w="22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w w:val="71"/>
              </w:rPr>
              <w:t>110</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20" w:type="dxa"/>
            <w:vAlign w:val="bottom"/>
          </w:tcPr>
          <w:p>
            <w:pPr>
              <w:ind w:left="180"/>
              <w:spacing w:after="0"/>
              <w:rPr>
                <w:sz w:val="20"/>
                <w:szCs w:val="20"/>
                <w:color w:val="auto"/>
              </w:rPr>
            </w:pPr>
            <w:r>
              <w:rPr>
                <w:rFonts w:ascii="Arial" w:cs="Arial" w:eastAsia="Arial" w:hAnsi="Arial"/>
                <w:sz w:val="10"/>
                <w:szCs w:val="10"/>
                <w:color w:val="auto"/>
                <w:w w:val="71"/>
              </w:rPr>
              <w:t>268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7442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65" w:lineRule="exact"/>
        <w:rPr>
          <w:sz w:val="20"/>
          <w:szCs w:val="20"/>
          <w:color w:val="auto"/>
        </w:rPr>
      </w:pPr>
    </w:p>
    <w:p>
      <w:pPr>
        <w:ind w:left="680" w:right="100" w:hanging="431"/>
        <w:spacing w:after="0" w:line="251"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investment type, industry, ownership detail for equity investments, and if the investment is income producing is disclosed in the consolidated schedule of investments.</w:t>
      </w:r>
    </w:p>
    <w:p>
      <w:pPr>
        <w:ind w:left="680" w:right="200" w:hanging="431"/>
        <w:spacing w:after="0" w:line="274"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2" w:lineRule="exact"/>
        <w:rPr>
          <w:rFonts w:ascii="Arial" w:cs="Arial" w:eastAsia="Arial" w:hAnsi="Arial"/>
          <w:sz w:val="16"/>
          <w:szCs w:val="16"/>
          <w:color w:val="auto"/>
        </w:rPr>
      </w:pPr>
    </w:p>
    <w:p>
      <w:pPr>
        <w:ind w:left="680" w:right="140" w:hanging="431"/>
        <w:spacing w:after="0" w:line="24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spacing w:after="0" w:line="1" w:lineRule="exact"/>
        <w:rPr>
          <w:rFonts w:ascii="Arial" w:cs="Arial" w:eastAsia="Arial" w:hAnsi="Arial"/>
          <w:sz w:val="18"/>
          <w:szCs w:val="18"/>
          <w:color w:val="auto"/>
        </w:rPr>
      </w:pPr>
    </w:p>
    <w:p>
      <w:pPr>
        <w:ind w:left="680" w:right="300" w:hanging="431"/>
        <w:spacing w:after="0" w:line="24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8"/>
          <w:szCs w:val="18"/>
          <w:color w:val="auto"/>
        </w:rPr>
      </w:pPr>
    </w:p>
    <w:p>
      <w:pPr>
        <w:ind w:left="680" w:hanging="43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Portfolio company was transferred to Affiliate investments from Control investments during the six months ended June 30, 2021.</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Portfolio company was transferred to Control investments from Non-control/Non-affiliate investments during the six months ended June 30, 2021.</w:t>
      </w:r>
    </w:p>
    <w:p>
      <w:pPr>
        <w:spacing w:after="0" w:line="226" w:lineRule="exact"/>
        <w:rPr>
          <w:sz w:val="20"/>
          <w:szCs w:val="20"/>
          <w:color w:val="auto"/>
        </w:rPr>
      </w:pPr>
    </w:p>
    <w:p>
      <w:pPr>
        <w:ind w:left="240" w:right="260"/>
        <w:spacing w:after="0" w:line="325" w:lineRule="auto"/>
        <w:rPr>
          <w:sz w:val="20"/>
          <w:szCs w:val="20"/>
          <w:color w:val="auto"/>
        </w:rPr>
      </w:pPr>
      <w:r>
        <w:rPr>
          <w:rFonts w:ascii="Arial" w:cs="Arial" w:eastAsia="Arial" w:hAnsi="Arial"/>
          <w:sz w:val="16"/>
          <w:szCs w:val="16"/>
          <w:color w:val="auto"/>
        </w:rPr>
        <w:t>The table below represents the fair value of control and affiliate investments as of December 31, 2019 and any additions and reductions made to such investments during the year ended December 31, 2020, including the total investment income earned on such investments during the period.</w:t>
      </w:r>
    </w:p>
    <w:p>
      <w:pPr>
        <w:spacing w:after="0" w:line="155" w:lineRule="exact"/>
        <w:rPr>
          <w:sz w:val="20"/>
          <w:szCs w:val="20"/>
          <w:color w:val="auto"/>
        </w:rPr>
      </w:pPr>
    </w:p>
    <w:tbl>
      <w:tblPr>
        <w:tblLayout w:type="fixed"/>
        <w:tblInd w:w="2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1"/>
              </w:rPr>
              <w:t>December 31,</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Year Ended December 31, 2020</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gridSpan w:val="2"/>
          </w:tcPr>
          <w:p>
            <w:pPr>
              <w:spacing w:after="0" w:line="99" w:lineRule="exact"/>
              <w:rPr>
                <w:sz w:val="20"/>
                <w:szCs w:val="20"/>
                <w:color w:val="auto"/>
              </w:rPr>
            </w:pPr>
            <w:r>
              <w:rPr>
                <w:rFonts w:ascii="Arial" w:cs="Arial" w:eastAsia="Arial" w:hAnsi="Arial"/>
                <w:sz w:val="11"/>
                <w:szCs w:val="11"/>
                <w:b w:val="1"/>
                <w:bCs w:val="1"/>
                <w:color w:val="auto"/>
                <w:w w:val="91"/>
              </w:rPr>
              <w:t>Net Change 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19" w:lineRule="exact"/>
              <w:rPr>
                <w:sz w:val="20"/>
                <w:szCs w:val="20"/>
                <w:color w:val="auto"/>
              </w:rPr>
            </w:pPr>
            <w:r>
              <w:rPr>
                <w:rFonts w:ascii="Arial" w:cs="Arial" w:eastAsia="Arial" w:hAnsi="Arial"/>
                <w:sz w:val="11"/>
                <w:szCs w:val="11"/>
                <w:b w:val="1"/>
                <w:bCs w:val="1"/>
                <w:color w:val="auto"/>
                <w:w w:val="83"/>
              </w:rPr>
              <w:t>2020 Principal</w:t>
            </w:r>
          </w:p>
        </w:tc>
        <w:tc>
          <w:tcPr>
            <w:tcW w:w="800" w:type="dxa"/>
            <w:vAlign w:val="bottom"/>
            <w:gridSpan w:val="2"/>
          </w:tcPr>
          <w:p>
            <w:pPr>
              <w:ind w:left="180"/>
              <w:spacing w:after="0" w:line="119" w:lineRule="exact"/>
              <w:rPr>
                <w:sz w:val="20"/>
                <w:szCs w:val="20"/>
                <w:color w:val="auto"/>
              </w:rPr>
            </w:pPr>
            <w:r>
              <w:rPr>
                <w:rFonts w:ascii="Arial" w:cs="Arial" w:eastAsia="Arial" w:hAnsi="Arial"/>
                <w:sz w:val="11"/>
                <w:szCs w:val="11"/>
                <w:b w:val="1"/>
                <w:bCs w:val="1"/>
                <w:color w:val="auto"/>
                <w:w w:val="83"/>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line="119" w:lineRule="exact"/>
              <w:rPr>
                <w:sz w:val="20"/>
                <w:szCs w:val="20"/>
                <w:color w:val="auto"/>
              </w:rPr>
            </w:pPr>
            <w:r>
              <w:rPr>
                <w:rFonts w:ascii="Arial" w:cs="Arial" w:eastAsia="Arial" w:hAnsi="Arial"/>
                <w:sz w:val="11"/>
                <w:szCs w:val="11"/>
                <w:b w:val="1"/>
                <w:bCs w:val="1"/>
                <w:color w:val="auto"/>
                <w:w w:val="78"/>
              </w:rPr>
              <w:t>December</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Arial" w:cs="Arial" w:eastAsia="Arial" w:hAnsi="Arial"/>
                <w:sz w:val="11"/>
                <w:szCs w:val="11"/>
                <w:b w:val="1"/>
                <w:bCs w:val="1"/>
                <w:color w:val="auto"/>
                <w:w w:val="86"/>
              </w:rPr>
              <w:t>Unrealized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88"/>
              </w:rPr>
              <w:t>Payment-in-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 xml:space="preserve">Portfolio Company </w:t>
            </w:r>
            <w:r>
              <w:rPr>
                <w:rFonts w:ascii="Arial" w:cs="Arial" w:eastAsia="Arial" w:hAnsi="Arial"/>
                <w:sz w:val="8"/>
                <w:szCs w:val="8"/>
                <w:b w:val="1"/>
                <w:bCs w:val="1"/>
                <w:color w:val="auto"/>
              </w:rPr>
              <w:t>(1)</w:t>
            </w:r>
          </w:p>
        </w:tc>
        <w:tc>
          <w:tcPr>
            <w:tcW w:w="7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87"/>
              </w:rPr>
              <w:t>Amount - Debt</w:t>
            </w:r>
          </w:p>
        </w:tc>
        <w:tc>
          <w:tcPr>
            <w:tcW w:w="240" w:type="dxa"/>
            <w:vAlign w:val="bottom"/>
          </w:tcPr>
          <w:p>
            <w:pPr>
              <w:spacing w:after="0"/>
              <w:rPr>
                <w:sz w:val="10"/>
                <w:szCs w:val="10"/>
                <w:color w:val="auto"/>
              </w:rPr>
            </w:pPr>
          </w:p>
        </w:tc>
        <w:tc>
          <w:tcPr>
            <w:tcW w:w="560" w:type="dxa"/>
            <w:vAlign w:val="bottom"/>
          </w:tcPr>
          <w:p>
            <w:pPr>
              <w:jc w:val="right"/>
              <w:ind w:right="171"/>
              <w:spacing w:after="0" w:line="119" w:lineRule="exact"/>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11"/>
              <w:spacing w:after="0" w:line="119" w:lineRule="exact"/>
              <w:rPr>
                <w:sz w:val="20"/>
                <w:szCs w:val="20"/>
                <w:color w:val="auto"/>
              </w:rPr>
            </w:pPr>
            <w:r>
              <w:rPr>
                <w:rFonts w:ascii="Arial" w:cs="Arial" w:eastAsia="Arial" w:hAnsi="Arial"/>
                <w:sz w:val="11"/>
                <w:szCs w:val="11"/>
                <w:b w:val="1"/>
                <w:bCs w:val="1"/>
                <w:color w:val="auto"/>
                <w:w w:val="94"/>
              </w:rPr>
              <w:t>Gross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10"/>
                <w:szCs w:val="10"/>
                <w:color w:val="auto"/>
              </w:rPr>
            </w:pPr>
          </w:p>
        </w:tc>
        <w:tc>
          <w:tcPr>
            <w:tcW w:w="440" w:type="dxa"/>
            <w:vAlign w:val="bottom"/>
          </w:tcPr>
          <w:p>
            <w:pPr>
              <w:jc w:val="right"/>
              <w:ind w:right="11"/>
              <w:spacing w:after="0" w:line="119" w:lineRule="exact"/>
              <w:rPr>
                <w:sz w:val="20"/>
                <w:szCs w:val="20"/>
                <w:color w:val="auto"/>
              </w:rPr>
            </w:pPr>
            <w:r>
              <w:rPr>
                <w:rFonts w:ascii="Arial" w:cs="Arial" w:eastAsia="Arial" w:hAnsi="Arial"/>
                <w:sz w:val="11"/>
                <w:szCs w:val="11"/>
                <w:b w:val="1"/>
                <w:bCs w:val="1"/>
                <w:color w:val="auto"/>
                <w:w w:val="83"/>
              </w:rPr>
              <w:t>31, 2020</w:t>
            </w:r>
          </w:p>
        </w:tc>
        <w:tc>
          <w:tcPr>
            <w:tcW w:w="26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Net Realized</w:t>
            </w:r>
          </w:p>
        </w:tc>
        <w:tc>
          <w:tcPr>
            <w:tcW w:w="24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Arial" w:cs="Arial" w:eastAsia="Arial" w:hAnsi="Arial"/>
                <w:sz w:val="11"/>
                <w:szCs w:val="11"/>
                <w:b w:val="1"/>
                <w:bCs w:val="1"/>
                <w:color w:val="auto"/>
                <w:w w:val="80"/>
              </w:rPr>
              <w:t>Appreciation</w:t>
            </w:r>
          </w:p>
        </w:tc>
        <w:tc>
          <w:tcPr>
            <w:tcW w:w="4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w w:val="85"/>
              </w:rPr>
              <w:t>Interest</w:t>
            </w:r>
          </w:p>
        </w:tc>
        <w:tc>
          <w:tcPr>
            <w:tcW w:w="760" w:type="dxa"/>
            <w:vAlign w:val="bottom"/>
            <w:gridSpan w:val="3"/>
          </w:tcPr>
          <w:p>
            <w:pPr>
              <w:ind w:left="160"/>
              <w:spacing w:after="0" w:line="119" w:lineRule="exact"/>
              <w:rPr>
                <w:sz w:val="20"/>
                <w:szCs w:val="20"/>
                <w:color w:val="auto"/>
              </w:rPr>
            </w:pPr>
            <w:r>
              <w:rPr>
                <w:rFonts w:ascii="Arial" w:cs="Arial" w:eastAsia="Arial" w:hAnsi="Arial"/>
                <w:sz w:val="11"/>
                <w:szCs w:val="11"/>
                <w:b w:val="1"/>
                <w:bCs w:val="1"/>
                <w:color w:val="auto"/>
                <w:w w:val="88"/>
              </w:rPr>
              <w:t>kind Interest</w:t>
            </w:r>
          </w:p>
        </w:tc>
        <w:tc>
          <w:tcPr>
            <w:tcW w:w="580" w:type="dxa"/>
            <w:vAlign w:val="bottom"/>
            <w:gridSpan w:val="3"/>
          </w:tcPr>
          <w:p>
            <w:pPr>
              <w:ind w:left="160"/>
              <w:spacing w:after="0" w:line="119" w:lineRule="exact"/>
              <w:rPr>
                <w:sz w:val="20"/>
                <w:szCs w:val="20"/>
                <w:color w:val="auto"/>
              </w:rPr>
            </w:pPr>
            <w:r>
              <w:rPr>
                <w:rFonts w:ascii="Arial" w:cs="Arial" w:eastAsia="Arial" w:hAnsi="Arial"/>
                <w:sz w:val="11"/>
                <w:szCs w:val="11"/>
                <w:b w:val="1"/>
                <w:bCs w:val="1"/>
                <w:color w:val="auto"/>
                <w:w w:val="86"/>
              </w:rPr>
              <w:t>Dividend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5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31"/>
              <w:spacing w:after="0"/>
              <w:rPr>
                <w:sz w:val="20"/>
                <w:szCs w:val="20"/>
                <w:color w:val="auto"/>
              </w:rPr>
            </w:pPr>
            <w:r>
              <w:rPr>
                <w:rFonts w:ascii="Arial" w:cs="Arial" w:eastAsia="Arial" w:hAnsi="Arial"/>
                <w:sz w:val="11"/>
                <w:szCs w:val="11"/>
                <w:b w:val="1"/>
                <w:bCs w:val="1"/>
                <w:color w:val="auto"/>
                <w:w w:val="84"/>
              </w:rPr>
              <w:t>Investments</w:t>
            </w:r>
          </w:p>
        </w:tc>
        <w:tc>
          <w:tcPr>
            <w:tcW w:w="240" w:type="dxa"/>
            <w:vAlign w:val="bottom"/>
          </w:tcPr>
          <w:p>
            <w:pPr>
              <w:spacing w:after="0"/>
              <w:rPr>
                <w:sz w:val="11"/>
                <w:szCs w:val="11"/>
                <w:color w:val="auto"/>
              </w:rPr>
            </w:pPr>
          </w:p>
        </w:tc>
        <w:tc>
          <w:tcPr>
            <w:tcW w:w="560" w:type="dxa"/>
            <w:vAlign w:val="bottom"/>
          </w:tcPr>
          <w:p>
            <w:pPr>
              <w:jc w:val="right"/>
              <w:ind w:right="31"/>
              <w:spacing w:after="0"/>
              <w:rPr>
                <w:sz w:val="20"/>
                <w:szCs w:val="20"/>
                <w:color w:val="auto"/>
              </w:rPr>
            </w:pPr>
            <w:r>
              <w:rPr>
                <w:rFonts w:ascii="Arial" w:cs="Arial" w:eastAsia="Arial" w:hAnsi="Arial"/>
                <w:sz w:val="11"/>
                <w:szCs w:val="11"/>
                <w:b w:val="1"/>
                <w:bCs w:val="1"/>
                <w:color w:val="auto"/>
                <w:w w:val="87"/>
              </w:rPr>
              <w:t>Fair Value</w:t>
            </w:r>
          </w:p>
        </w:tc>
        <w:tc>
          <w:tcPr>
            <w:tcW w:w="760" w:type="dxa"/>
            <w:vAlign w:val="bottom"/>
            <w:gridSpan w:val="3"/>
          </w:tcPr>
          <w:p>
            <w:pPr>
              <w:ind w:left="180"/>
              <w:spacing w:after="0"/>
              <w:rPr>
                <w:sz w:val="20"/>
                <w:szCs w:val="20"/>
                <w:color w:val="auto"/>
              </w:rPr>
            </w:pPr>
            <w:r>
              <w:rPr>
                <w:rFonts w:ascii="Arial" w:cs="Arial" w:eastAsia="Arial" w:hAnsi="Arial"/>
                <w:sz w:val="11"/>
                <w:szCs w:val="11"/>
                <w:b w:val="1"/>
                <w:bCs w:val="1"/>
                <w:color w:val="auto"/>
                <w:w w:val="88"/>
              </w:rPr>
              <w:t xml:space="preserve">Additions </w:t>
            </w:r>
            <w:r>
              <w:rPr>
                <w:rFonts w:ascii="Arial" w:cs="Arial" w:eastAsia="Arial" w:hAnsi="Arial"/>
                <w:sz w:val="8"/>
                <w:szCs w:val="8"/>
                <w:b w:val="1"/>
                <w:bCs w:val="1"/>
                <w:color w:val="auto"/>
                <w:w w:val="88"/>
              </w:rPr>
              <w:t>(2)</w:t>
            </w:r>
          </w:p>
        </w:tc>
        <w:tc>
          <w:tcPr>
            <w:tcW w:w="940" w:type="dxa"/>
            <w:vAlign w:val="bottom"/>
            <w:gridSpan w:val="4"/>
          </w:tcPr>
          <w:p>
            <w:pPr>
              <w:ind w:left="180"/>
              <w:spacing w:after="0"/>
              <w:rPr>
                <w:sz w:val="20"/>
                <w:szCs w:val="20"/>
                <w:color w:val="auto"/>
              </w:rPr>
            </w:pPr>
            <w:r>
              <w:rPr>
                <w:rFonts w:ascii="Arial" w:cs="Arial" w:eastAsia="Arial" w:hAnsi="Arial"/>
                <w:sz w:val="11"/>
                <w:szCs w:val="11"/>
                <w:b w:val="1"/>
                <w:bCs w:val="1"/>
                <w:color w:val="auto"/>
              </w:rPr>
              <w:t xml:space="preserve">Reductions </w:t>
            </w:r>
            <w:r>
              <w:rPr>
                <w:rFonts w:ascii="Arial" w:cs="Arial" w:eastAsia="Arial" w:hAnsi="Arial"/>
                <w:sz w:val="8"/>
                <w:szCs w:val="8"/>
                <w:b w:val="1"/>
                <w:bCs w:val="1"/>
                <w:color w:val="auto"/>
              </w:rPr>
              <w:t>(3)</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w w:val="87"/>
              </w:rPr>
              <w:t>Fair Value</w:t>
            </w:r>
          </w:p>
        </w:tc>
        <w:tc>
          <w:tcPr>
            <w:tcW w:w="980" w:type="dxa"/>
            <w:vAlign w:val="bottom"/>
            <w:gridSpan w:val="2"/>
          </w:tcPr>
          <w:p>
            <w:pPr>
              <w:ind w:left="200"/>
              <w:spacing w:after="0"/>
              <w:rPr>
                <w:sz w:val="20"/>
                <w:szCs w:val="20"/>
                <w:color w:val="auto"/>
              </w:rPr>
            </w:pPr>
            <w:r>
              <w:rPr>
                <w:rFonts w:ascii="Arial" w:cs="Arial" w:eastAsia="Arial" w:hAnsi="Arial"/>
                <w:sz w:val="11"/>
                <w:szCs w:val="11"/>
                <w:b w:val="1"/>
                <w:bCs w:val="1"/>
                <w:color w:val="auto"/>
                <w:w w:val="82"/>
              </w:rPr>
              <w:t xml:space="preserve">Gains (Losses) </w:t>
            </w:r>
            <w:r>
              <w:rPr>
                <w:rFonts w:ascii="Arial" w:cs="Arial" w:eastAsia="Arial" w:hAnsi="Arial"/>
                <w:sz w:val="8"/>
                <w:szCs w:val="8"/>
                <w:b w:val="1"/>
                <w:bCs w:val="1"/>
                <w:color w:val="auto"/>
                <w:w w:val="82"/>
              </w:rPr>
              <w:t>(4)</w:t>
            </w:r>
          </w:p>
        </w:tc>
        <w:tc>
          <w:tcPr>
            <w:tcW w:w="940" w:type="dxa"/>
            <w:vAlign w:val="bottom"/>
            <w:gridSpan w:val="3"/>
          </w:tcPr>
          <w:p>
            <w:pPr>
              <w:ind w:left="180"/>
              <w:spacing w:after="0"/>
              <w:rPr>
                <w:sz w:val="20"/>
                <w:szCs w:val="20"/>
                <w:color w:val="auto"/>
              </w:rPr>
            </w:pPr>
            <w:r>
              <w:rPr>
                <w:rFonts w:ascii="Arial" w:cs="Arial" w:eastAsia="Arial" w:hAnsi="Arial"/>
                <w:sz w:val="11"/>
                <w:szCs w:val="11"/>
                <w:b w:val="1"/>
                <w:bCs w:val="1"/>
                <w:color w:val="auto"/>
                <w:w w:val="99"/>
              </w:rPr>
              <w:t>(Depreciation)</w:t>
            </w:r>
          </w:p>
        </w:tc>
        <w:tc>
          <w:tcPr>
            <w:tcW w:w="10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w w:val="88"/>
              </w:rPr>
              <w:t>Income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Income</w:t>
            </w:r>
          </w:p>
        </w:tc>
        <w:tc>
          <w:tcPr>
            <w:tcW w:w="160" w:type="dxa"/>
            <w:vAlign w:val="bottom"/>
          </w:tcPr>
          <w:p>
            <w:pPr>
              <w:spacing w:after="0"/>
              <w:rPr>
                <w:sz w:val="11"/>
                <w:szCs w:val="11"/>
                <w:color w:val="auto"/>
              </w:rPr>
            </w:pP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w w:val="93"/>
              </w:rPr>
              <w:t>Income</w:t>
            </w:r>
          </w:p>
        </w:tc>
        <w:tc>
          <w:tcPr>
            <w:tcW w:w="740" w:type="dxa"/>
            <w:vAlign w:val="bottom"/>
            <w:gridSpan w:val="4"/>
          </w:tcPr>
          <w:p>
            <w:pPr>
              <w:ind w:left="180"/>
              <w:spacing w:after="0"/>
              <w:rPr>
                <w:sz w:val="20"/>
                <w:szCs w:val="20"/>
                <w:color w:val="auto"/>
              </w:rPr>
            </w:pPr>
            <w:r>
              <w:rPr>
                <w:rFonts w:ascii="Arial" w:cs="Arial" w:eastAsia="Arial" w:hAnsi="Arial"/>
                <w:sz w:val="11"/>
                <w:szCs w:val="11"/>
                <w:b w:val="1"/>
                <w:bCs w:val="1"/>
                <w:color w:val="auto"/>
                <w:w w:val="89"/>
              </w:rPr>
              <w:t>Fee Income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60" w:type="dxa"/>
            <w:vAlign w:val="bottom"/>
            <w:tcBorders>
              <w:top w:val="single" w:sz="8" w:color="auto"/>
            </w:tcBorders>
            <w:shd w:val="clear" w:color="auto" w:fill="CCEEFF"/>
          </w:tcPr>
          <w:p>
            <w:pPr>
              <w:spacing w:after="0" w:line="112" w:lineRule="exact"/>
              <w:rPr>
                <w:sz w:val="20"/>
                <w:szCs w:val="20"/>
                <w:color w:val="auto"/>
              </w:rPr>
            </w:pPr>
            <w:r>
              <w:rPr>
                <w:rFonts w:ascii="Arial" w:cs="Arial" w:eastAsia="Arial" w:hAnsi="Arial"/>
                <w:sz w:val="10"/>
                <w:szCs w:val="10"/>
                <w:b w:val="1"/>
                <w:bCs w:val="1"/>
                <w:color w:val="auto"/>
              </w:rPr>
              <w:t>Control Investments</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right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right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tcPr>
          <w:p>
            <w:pPr>
              <w:spacing w:after="0"/>
              <w:rPr>
                <w:sz w:val="20"/>
                <w:szCs w:val="20"/>
                <w:color w:val="auto"/>
              </w:rPr>
            </w:pPr>
            <w:r>
              <w:rPr>
                <w:rFonts w:ascii="Arial" w:cs="Arial" w:eastAsia="Arial" w:hAnsi="Arial"/>
                <w:sz w:val="10"/>
                <w:szCs w:val="10"/>
                <w:color w:val="auto"/>
              </w:rPr>
              <w:t>FDS Avionics Corp. (dba Flight Display Systems)</w:t>
            </w:r>
          </w:p>
        </w:tc>
        <w:tc>
          <w:tcPr>
            <w:tcW w:w="60" w:type="dxa"/>
            <w:vAlign w:val="bottom"/>
          </w:tcPr>
          <w:p>
            <w:pPr>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5,122</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5,403</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1,988</w:t>
            </w:r>
          </w:p>
        </w:tc>
        <w:tc>
          <w:tcPr>
            <w:tcW w:w="3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7,391</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1,545</w:t>
            </w:r>
          </w:p>
        </w:tc>
        <w:tc>
          <w:tcPr>
            <w:tcW w:w="100" w:type="dxa"/>
            <w:vAlign w:val="bottom"/>
          </w:tcPr>
          <w:p>
            <w:pPr>
              <w:spacing w:after="0"/>
              <w:rPr>
                <w:sz w:val="10"/>
                <w:szCs w:val="10"/>
                <w:color w:val="auto"/>
              </w:rPr>
            </w:pP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298</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w w:val="83"/>
              </w:rPr>
              <w:t>442</w:t>
            </w:r>
          </w:p>
        </w:tc>
        <w:tc>
          <w:tcPr>
            <w:tcW w:w="32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US GreenFiber, LLC</w:t>
            </w:r>
          </w:p>
        </w:tc>
        <w:tc>
          <w:tcPr>
            <w:tcW w:w="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22,943</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16,417</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5,830</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(1,385)</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20,862</w:t>
            </w:r>
          </w:p>
        </w:tc>
        <w:tc>
          <w:tcPr>
            <w:tcW w:w="2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(363)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1,591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1,306</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5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Total Control Investments</w:t>
            </w:r>
          </w:p>
        </w:tc>
        <w:tc>
          <w:tcPr>
            <w:tcW w:w="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gridSpan w:val="3"/>
            <w:vMerge w:val="continue"/>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28,065</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21,820</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7,818</w:t>
            </w:r>
          </w:p>
        </w:tc>
        <w:tc>
          <w:tcPr>
            <w:tcW w:w="3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(1,385)</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28,253</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1,182</w:t>
            </w:r>
          </w:p>
        </w:tc>
        <w:tc>
          <w:tcPr>
            <w:tcW w:w="100" w:type="dxa"/>
            <w:vAlign w:val="bottom"/>
          </w:tcPr>
          <w:p>
            <w:pPr>
              <w:spacing w:after="0"/>
              <w:rPr>
                <w:sz w:val="10"/>
                <w:szCs w:val="10"/>
                <w:color w:val="auto"/>
              </w:rPr>
            </w:pP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w w:val="95"/>
              </w:rPr>
              <w:t>1,889</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1,748</w:t>
            </w:r>
          </w:p>
        </w:tc>
        <w:tc>
          <w:tcPr>
            <w:tcW w:w="32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2"/>
            <w:shd w:val="clear" w:color="auto" w:fill="CCEEFF"/>
          </w:tcPr>
          <w:p>
            <w:pPr>
              <w:spacing w:after="0" w:line="112" w:lineRule="exact"/>
              <w:rPr>
                <w:sz w:val="20"/>
                <w:szCs w:val="20"/>
                <w:color w:val="auto"/>
              </w:rPr>
            </w:pPr>
            <w:r>
              <w:rPr>
                <w:rFonts w:ascii="Arial" w:cs="Arial" w:eastAsia="Arial" w:hAnsi="Arial"/>
                <w:sz w:val="10"/>
                <w:szCs w:val="10"/>
                <w:b w:val="1"/>
                <w:bCs w:val="1"/>
                <w:color w:val="auto"/>
              </w:rPr>
              <w:t>Affiliate Investments</w:t>
            </w:r>
          </w:p>
        </w:tc>
        <w:tc>
          <w:tcPr>
            <w:tcW w:w="6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60" w:type="dxa"/>
            <w:vAlign w:val="bottom"/>
            <w:tcBorders>
              <w:right w:val="single" w:sz="8" w:color="CCEEFF"/>
            </w:tcBorders>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tcPr>
          <w:p>
            <w:pPr>
              <w:spacing w:after="0"/>
              <w:rPr>
                <w:sz w:val="20"/>
                <w:szCs w:val="20"/>
                <w:color w:val="auto"/>
              </w:rPr>
            </w:pPr>
            <w:r>
              <w:rPr>
                <w:rFonts w:ascii="Arial" w:cs="Arial" w:eastAsia="Arial" w:hAnsi="Arial"/>
                <w:sz w:val="10"/>
                <w:szCs w:val="10"/>
                <w:color w:val="auto"/>
              </w:rPr>
              <w:t>FAR Research Inc.</w:t>
            </w:r>
          </w:p>
        </w:tc>
        <w:tc>
          <w:tcPr>
            <w:tcW w:w="60" w:type="dxa"/>
            <w:vAlign w:val="bottom"/>
          </w:tcPr>
          <w:p>
            <w:pPr>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28</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3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28</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32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Fiber Materials, Inc.</w:t>
            </w:r>
          </w:p>
        </w:tc>
        <w:tc>
          <w:tcPr>
            <w:tcW w:w="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10,449</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9,681</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(20,089)</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2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9,681</w:t>
            </w:r>
          </w:p>
        </w:tc>
        <w:tc>
          <w:tcPr>
            <w:tcW w:w="24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(9,762)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354</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tcPr>
          <w:p>
            <w:pPr>
              <w:spacing w:after="0"/>
              <w:rPr>
                <w:sz w:val="20"/>
                <w:szCs w:val="20"/>
                <w:color w:val="auto"/>
              </w:rPr>
            </w:pPr>
            <w:r>
              <w:rPr>
                <w:rFonts w:ascii="Arial" w:cs="Arial" w:eastAsia="Arial" w:hAnsi="Arial"/>
                <w:sz w:val="10"/>
                <w:szCs w:val="10"/>
                <w:color w:val="auto"/>
              </w:rPr>
              <w:t>Medsurant Holdings, LLC</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8,031</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16,980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1,721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(7,741)</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10,960</w:t>
            </w:r>
          </w:p>
        </w:tc>
        <w:tc>
          <w:tcPr>
            <w:tcW w:w="2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1,714</w:t>
            </w:r>
          </w:p>
        </w:tc>
        <w:tc>
          <w:tcPr>
            <w:tcW w:w="24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(2,304)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w w:val="95"/>
              </w:rPr>
              <w:t>1,145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ind w:left="220"/>
              <w:spacing w:after="0"/>
              <w:rPr>
                <w:sz w:val="20"/>
                <w:szCs w:val="20"/>
                <w:color w:val="auto"/>
              </w:rPr>
            </w:pPr>
            <w:r>
              <w:rPr>
                <w:rFonts w:ascii="Arial" w:cs="Arial" w:eastAsia="Arial" w:hAnsi="Arial"/>
                <w:sz w:val="10"/>
                <w:szCs w:val="10"/>
                <w:color w:val="auto"/>
                <w:w w:val="71"/>
              </w:rPr>
              <w:t>79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Microbiology Research Associates, Inc.</w:t>
            </w:r>
            <w:r>
              <w:rPr>
                <w:rFonts w:ascii="Arial" w:cs="Arial" w:eastAsia="Arial" w:hAnsi="Arial"/>
                <w:sz w:val="8"/>
                <w:szCs w:val="8"/>
                <w:color w:val="auto"/>
              </w:rPr>
              <w:t>(5)</w:t>
            </w:r>
          </w:p>
        </w:tc>
        <w:tc>
          <w:tcPr>
            <w:tcW w:w="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11,611</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(11,632)</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(751)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tcPr>
          <w:p>
            <w:pPr>
              <w:spacing w:after="0"/>
              <w:rPr>
                <w:sz w:val="20"/>
                <w:szCs w:val="20"/>
                <w:color w:val="auto"/>
              </w:rPr>
            </w:pPr>
            <w:r>
              <w:rPr>
                <w:rFonts w:ascii="Arial" w:cs="Arial" w:eastAsia="Arial" w:hAnsi="Arial"/>
                <w:sz w:val="10"/>
                <w:szCs w:val="10"/>
                <w:color w:val="auto"/>
              </w:rPr>
              <w:t>Mirage Trailers LLC</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6,410</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7,218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235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(959)</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6,494</w:t>
            </w:r>
          </w:p>
        </w:tc>
        <w:tc>
          <w:tcPr>
            <w:tcW w:w="260" w:type="dxa"/>
            <w:vAlign w:val="bottom"/>
          </w:tcPr>
          <w:p>
            <w:pPr>
              <w:spacing w:after="0"/>
              <w:rPr>
                <w:sz w:val="10"/>
                <w:szCs w:val="10"/>
                <w:color w:val="auto"/>
              </w:rPr>
            </w:pPr>
          </w:p>
        </w:tc>
        <w:tc>
          <w:tcPr>
            <w:tcW w:w="720" w:type="dxa"/>
            <w:vAlign w:val="bottom"/>
          </w:tcPr>
          <w:p>
            <w:pPr>
              <w:ind w:left="58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718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60"/>
              <w:spacing w:after="0"/>
              <w:rPr>
                <w:sz w:val="20"/>
                <w:szCs w:val="20"/>
                <w:color w:val="auto"/>
              </w:rPr>
            </w:pPr>
            <w:r>
              <w:rPr>
                <w:rFonts w:ascii="Arial" w:cs="Arial" w:eastAsia="Arial" w:hAnsi="Arial"/>
                <w:sz w:val="10"/>
                <w:szCs w:val="10"/>
                <w:color w:val="auto"/>
                <w:w w:val="83"/>
              </w:rPr>
              <w:t>159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5"/>
                <w:szCs w:val="5"/>
                <w:color w:val="auto"/>
                <w:w w:val="70"/>
              </w:rPr>
              <w:t>5</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ind w:left="220"/>
              <w:spacing w:after="0"/>
              <w:rPr>
                <w:sz w:val="20"/>
                <w:szCs w:val="20"/>
                <w:color w:val="auto"/>
              </w:rPr>
            </w:pPr>
            <w:r>
              <w:rPr>
                <w:rFonts w:ascii="Arial" w:cs="Arial" w:eastAsia="Arial" w:hAnsi="Arial"/>
                <w:sz w:val="10"/>
                <w:szCs w:val="10"/>
                <w:color w:val="auto"/>
                <w:w w:val="71"/>
              </w:rPr>
              <w:t>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Pfanstiehl, Inc.</w:t>
            </w:r>
          </w:p>
        </w:tc>
        <w:tc>
          <w:tcPr>
            <w:tcW w:w="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32,822</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20,128</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(19,445)</w:t>
            </w: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33,505</w:t>
            </w:r>
          </w:p>
        </w:tc>
        <w:tc>
          <w:tcPr>
            <w:tcW w:w="2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12,812</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7,309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478</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tcPr>
          <w:p>
            <w:pPr>
              <w:spacing w:after="0"/>
              <w:rPr>
                <w:sz w:val="20"/>
                <w:szCs w:val="20"/>
                <w:color w:val="auto"/>
              </w:rPr>
            </w:pPr>
            <w:r>
              <w:rPr>
                <w:rFonts w:ascii="Arial" w:cs="Arial" w:eastAsia="Arial" w:hAnsi="Arial"/>
                <w:sz w:val="10"/>
                <w:szCs w:val="10"/>
                <w:color w:val="auto"/>
              </w:rPr>
              <w:t>Pinnergy, Ltd.</w:t>
            </w:r>
          </w:p>
        </w:tc>
        <w:tc>
          <w:tcPr>
            <w:tcW w:w="6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32,978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301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(12,690)</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20,589</w:t>
            </w:r>
          </w:p>
        </w:tc>
        <w:tc>
          <w:tcPr>
            <w:tcW w:w="260" w:type="dxa"/>
            <w:vAlign w:val="bottom"/>
          </w:tcPr>
          <w:p>
            <w:pPr>
              <w:spacing w:after="0"/>
              <w:rPr>
                <w:sz w:val="10"/>
                <w:szCs w:val="10"/>
                <w:color w:val="auto"/>
              </w:rPr>
            </w:pPr>
          </w:p>
        </w:tc>
        <w:tc>
          <w:tcPr>
            <w:tcW w:w="720" w:type="dxa"/>
            <w:vAlign w:val="bottom"/>
          </w:tcPr>
          <w:p>
            <w:pPr>
              <w:ind w:left="580"/>
              <w:spacing w:after="0"/>
              <w:rPr>
                <w:sz w:val="20"/>
                <w:szCs w:val="20"/>
                <w:color w:val="auto"/>
              </w:rPr>
            </w:pPr>
            <w:r>
              <w:rPr>
                <w:rFonts w:ascii="Arial" w:cs="Arial" w:eastAsia="Arial" w:hAnsi="Arial"/>
                <w:sz w:val="10"/>
                <w:szCs w:val="10"/>
                <w:color w:val="auto"/>
                <w:w w:val="71"/>
              </w:rPr>
              <w:t>301</w:t>
            </w:r>
          </w:p>
        </w:tc>
        <w:tc>
          <w:tcPr>
            <w:tcW w:w="24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(9,388)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ind w:left="3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8"/>
              </w:rPr>
              <w:t>Steward Holding LLC (dba Steward Advanced Materials)</w:t>
            </w:r>
          </w:p>
        </w:tc>
        <w:tc>
          <w:tcPr>
            <w:tcW w:w="6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7,783</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9,469</w:t>
            </w:r>
          </w:p>
        </w:tc>
        <w:tc>
          <w:tcPr>
            <w:tcW w:w="1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308</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9,777</w:t>
            </w:r>
          </w:p>
        </w:tc>
        <w:tc>
          <w:tcPr>
            <w:tcW w:w="260" w:type="dxa"/>
            <w:vAlign w:val="bottom"/>
            <w:tcBorders>
              <w:right w:val="single" w:sz="8" w:color="CCEEFF"/>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934</w:t>
            </w:r>
          </w:p>
        </w:tc>
        <w:tc>
          <w:tcPr>
            <w:tcW w:w="1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0"/>
                <w:szCs w:val="10"/>
                <w:color w:val="auto"/>
                <w:w w:val="83"/>
              </w:rPr>
              <w:t>117</w:t>
            </w:r>
          </w:p>
        </w:tc>
        <w:tc>
          <w:tcPr>
            <w:tcW w:w="16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w w:val="71"/>
              </w:rPr>
              <w:t>25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520" w:type="dxa"/>
            <w:vAlign w:val="bottom"/>
            <w:gridSpan w:val="3"/>
          </w:tcPr>
          <w:p>
            <w:pPr>
              <w:spacing w:after="0"/>
              <w:rPr>
                <w:sz w:val="20"/>
                <w:szCs w:val="20"/>
                <w:color w:val="auto"/>
              </w:rPr>
            </w:pPr>
            <w:r>
              <w:rPr>
                <w:rFonts w:ascii="Arial" w:cs="Arial" w:eastAsia="Arial" w:hAnsi="Arial"/>
                <w:sz w:val="10"/>
                <w:szCs w:val="10"/>
                <w:b w:val="1"/>
                <w:bCs w:val="1"/>
                <w:color w:val="auto"/>
              </w:rPr>
              <w:t>Total Affiliate Investments</w:t>
            </w:r>
          </w:p>
        </w:tc>
        <w:tc>
          <w:tcPr>
            <w:tcW w:w="60" w:type="dxa"/>
            <w:vAlign w:val="bottom"/>
          </w:tcPr>
          <w:p>
            <w:pPr>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22,224</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121,555</w:t>
            </w:r>
          </w:p>
        </w:tc>
        <w:tc>
          <w:tcPr>
            <w:tcW w:w="2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32,395</w:t>
            </w:r>
          </w:p>
        </w:tc>
        <w:tc>
          <w:tcPr>
            <w:tcW w:w="3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(72,556)</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81,394</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24,508</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(15,669)</w:t>
            </w:r>
          </w:p>
        </w:tc>
        <w:tc>
          <w:tcPr>
            <w:tcW w:w="18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w w:val="95"/>
              </w:rPr>
              <w:t>3,511</w:t>
            </w:r>
          </w:p>
        </w:tc>
        <w:tc>
          <w:tcPr>
            <w:tcW w:w="24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520" w:type="dxa"/>
            <w:vAlign w:val="bottom"/>
          </w:tcPr>
          <w:p>
            <w:pPr>
              <w:ind w:left="360"/>
              <w:spacing w:after="0"/>
              <w:rPr>
                <w:sz w:val="20"/>
                <w:szCs w:val="20"/>
                <w:color w:val="auto"/>
              </w:rPr>
            </w:pPr>
            <w:r>
              <w:rPr>
                <w:rFonts w:ascii="Arial" w:cs="Arial" w:eastAsia="Arial" w:hAnsi="Arial"/>
                <w:sz w:val="10"/>
                <w:szCs w:val="10"/>
                <w:color w:val="auto"/>
                <w:w w:val="83"/>
              </w:rPr>
              <w:t>287</w:t>
            </w:r>
          </w:p>
        </w:tc>
        <w:tc>
          <w:tcPr>
            <w:tcW w:w="32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260" w:type="dxa"/>
            <w:vAlign w:val="bottom"/>
          </w:tcPr>
          <w:p>
            <w:pPr>
              <w:ind w:left="120"/>
              <w:spacing w:after="0"/>
              <w:rPr>
                <w:sz w:val="20"/>
                <w:szCs w:val="20"/>
                <w:color w:val="auto"/>
              </w:rPr>
            </w:pPr>
            <w:r>
              <w:rPr>
                <w:rFonts w:ascii="Arial" w:cs="Arial" w:eastAsia="Arial" w:hAnsi="Arial"/>
                <w:sz w:val="10"/>
                <w:szCs w:val="10"/>
                <w:color w:val="auto"/>
                <w:w w:val="71"/>
              </w:rPr>
              <w:t>837</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320" w:type="dxa"/>
            <w:vAlign w:val="bottom"/>
          </w:tcPr>
          <w:p>
            <w:pPr>
              <w:ind w:left="180"/>
              <w:spacing w:after="0"/>
              <w:rPr>
                <w:sz w:val="20"/>
                <w:szCs w:val="20"/>
                <w:color w:val="auto"/>
              </w:rPr>
            </w:pPr>
            <w:r>
              <w:rPr>
                <w:rFonts w:ascii="Arial" w:cs="Arial" w:eastAsia="Arial" w:hAnsi="Arial"/>
                <w:sz w:val="10"/>
                <w:szCs w:val="10"/>
                <w:color w:val="auto"/>
                <w:w w:val="71"/>
              </w:rPr>
              <w:t>120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92075</wp:posOffset>
            </wp:positionV>
            <wp:extent cx="7442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165" w:lineRule="exact"/>
        <w:rPr>
          <w:sz w:val="20"/>
          <w:szCs w:val="20"/>
          <w:color w:val="auto"/>
        </w:rPr>
      </w:pPr>
    </w:p>
    <w:p>
      <w:pPr>
        <w:ind w:left="680" w:right="100" w:hanging="431"/>
        <w:spacing w:after="0" w:line="251"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investment type, industry, ownership detail for equity investments, and if the investment is income producing is disclosed in the consolidated schedule of investments.</w:t>
      </w:r>
    </w:p>
    <w:p>
      <w:pPr>
        <w:ind w:left="680" w:right="200" w:hanging="431"/>
        <w:spacing w:after="0" w:line="274"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2" w:lineRule="exact"/>
        <w:rPr>
          <w:rFonts w:ascii="Arial" w:cs="Arial" w:eastAsia="Arial" w:hAnsi="Arial"/>
          <w:sz w:val="16"/>
          <w:szCs w:val="16"/>
          <w:color w:val="auto"/>
        </w:rPr>
      </w:pPr>
    </w:p>
    <w:p>
      <w:pPr>
        <w:ind w:left="680" w:right="140" w:hanging="431"/>
        <w:spacing w:after="0" w:line="24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spacing w:after="0" w:line="1" w:lineRule="exact"/>
        <w:rPr>
          <w:rFonts w:ascii="Arial" w:cs="Arial" w:eastAsia="Arial" w:hAnsi="Arial"/>
          <w:sz w:val="18"/>
          <w:szCs w:val="18"/>
          <w:color w:val="auto"/>
        </w:rPr>
      </w:pPr>
    </w:p>
    <w:p>
      <w:pPr>
        <w:ind w:left="680" w:right="300" w:hanging="431"/>
        <w:spacing w:after="0" w:line="24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8"/>
          <w:szCs w:val="18"/>
          <w:color w:val="auto"/>
        </w:rPr>
      </w:pPr>
    </w:p>
    <w:p>
      <w:pPr>
        <w:ind w:left="680" w:right="780" w:hanging="431"/>
        <w:spacing w:after="0" w:line="248"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Portfolio company was transferred to Non-control/Non-affiliate investments from Affiliate investments during the twelve months ended December 31, 2020.</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4. Fair Value Measurements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w:t>
      </w:r>
    </w:p>
    <w:p>
      <w:pPr>
        <w:spacing w:after="0" w:line="109" w:lineRule="exact"/>
        <w:rPr>
          <w:sz w:val="20"/>
          <w:szCs w:val="20"/>
          <w:color w:val="auto"/>
        </w:rPr>
      </w:pPr>
    </w:p>
    <w:p>
      <w:pPr>
        <w:ind w:left="240" w:right="20" w:firstLine="430"/>
        <w:spacing w:after="0" w:line="283" w:lineRule="auto"/>
        <w:rPr>
          <w:sz w:val="20"/>
          <w:szCs w:val="20"/>
          <w:color w:val="auto"/>
        </w:rPr>
      </w:pPr>
      <w:r>
        <w:rPr>
          <w:rFonts w:ascii="Arial" w:cs="Arial" w:eastAsia="Arial" w:hAnsi="Arial"/>
          <w:sz w:val="16"/>
          <w:szCs w:val="16"/>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ectPr>
          <w:pgSz w:w="11900" w:h="16838" w:orient="portrait"/>
          <w:cols w:equalWidth="0" w:num="1">
            <w:col w:w="11000"/>
          </w:cols>
          <w:pgMar w:left="320" w:top="451" w:right="579" w:bottom="0" w:gutter="0" w:footer="0" w:header="0"/>
        </w:sectPr>
      </w:pPr>
    </w:p>
    <w:bookmarkStart w:id="28" w:name="page29"/>
    <w:bookmarkEnd w:id="28"/>
    <w:p>
      <w:pPr>
        <w:spacing w:after="0"/>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Inputs are unadjusted, quoted prices in active markets for identical assets as of the measurement date.</w:t>
      </w:r>
    </w:p>
    <w:p>
      <w:pPr>
        <w:sectPr>
          <w:pgSz w:w="11900" w:h="16838" w:orient="portrait"/>
          <w:cols w:equalWidth="0" w:num="1">
            <w:col w:w="9459"/>
          </w:cols>
          <w:pgMar w:left="1000" w:top="127" w:right="1440" w:bottom="1440" w:gutter="0" w:footer="0" w:header="0"/>
        </w:sectPr>
      </w:pPr>
    </w:p>
    <w:p>
      <w:pPr>
        <w:spacing w:after="0" w:line="18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459"/>
          </w:cols>
          <w:pgMar w:left="1000" w:top="127" w:right="1440" w:bottom="1440" w:gutter="0" w:footer="0" w:header="0"/>
          <w:type w:val="continuous"/>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120" w:firstLine="430"/>
        <w:spacing w:after="0" w:line="325"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15" w:lineRule="exact"/>
        <w:rPr>
          <w:sz w:val="20"/>
          <w:szCs w:val="20"/>
          <w:color w:val="auto"/>
        </w:rPr>
      </w:pPr>
    </w:p>
    <w:p>
      <w:pPr>
        <w:ind w:left="240" w:firstLine="430"/>
        <w:spacing w:after="0" w:line="281" w:lineRule="auto"/>
        <w:rPr>
          <w:sz w:val="20"/>
          <w:szCs w:val="20"/>
          <w:color w:val="auto"/>
        </w:rPr>
      </w:pPr>
      <w:r>
        <w:rPr>
          <w:rFonts w:ascii="Arial" w:cs="Arial" w:eastAsia="Arial" w:hAnsi="Arial"/>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69" w:lineRule="exact"/>
        <w:rPr>
          <w:sz w:val="20"/>
          <w:szCs w:val="20"/>
          <w:color w:val="auto"/>
        </w:rPr>
      </w:pPr>
    </w:p>
    <w:p>
      <w:pPr>
        <w:ind w:left="240" w:right="500" w:firstLine="430"/>
        <w:spacing w:after="0" w:line="262"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88" w:lineRule="exact"/>
        <w:rPr>
          <w:sz w:val="20"/>
          <w:szCs w:val="20"/>
          <w:color w:val="auto"/>
        </w:rPr>
      </w:pPr>
    </w:p>
    <w:p>
      <w:pPr>
        <w:ind w:left="1200" w:right="320" w:hanging="424"/>
        <w:spacing w:after="0" w:line="262"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88" w:lineRule="exact"/>
        <w:rPr>
          <w:rFonts w:ascii="Arial" w:cs="Arial" w:eastAsia="Arial" w:hAnsi="Arial"/>
          <w:sz w:val="18"/>
          <w:szCs w:val="18"/>
          <w:color w:val="auto"/>
        </w:rPr>
      </w:pPr>
    </w:p>
    <w:p>
      <w:pPr>
        <w:ind w:left="1200" w:hanging="424"/>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the Investment Advisor;</w:t>
      </w:r>
    </w:p>
    <w:p>
      <w:pPr>
        <w:spacing w:after="0" w:line="145" w:lineRule="exact"/>
        <w:rPr>
          <w:rFonts w:ascii="Arial" w:cs="Arial" w:eastAsia="Arial" w:hAnsi="Arial"/>
          <w:sz w:val="16"/>
          <w:szCs w:val="16"/>
          <w:color w:val="auto"/>
        </w:rPr>
      </w:pPr>
    </w:p>
    <w:p>
      <w:pPr>
        <w:ind w:left="1200" w:right="20" w:hanging="424"/>
        <w:spacing w:after="0" w:line="283"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75" w:lineRule="exact"/>
        <w:rPr>
          <w:rFonts w:ascii="Arial" w:cs="Arial" w:eastAsia="Arial" w:hAnsi="Arial"/>
          <w:sz w:val="16"/>
          <w:szCs w:val="16"/>
          <w:color w:val="auto"/>
        </w:rPr>
      </w:pPr>
    </w:p>
    <w:p>
      <w:pPr>
        <w:ind w:left="1200" w:right="240" w:hanging="424"/>
        <w:spacing w:after="0" w:line="262"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88" w:lineRule="exact"/>
        <w:rPr>
          <w:rFonts w:ascii="Arial" w:cs="Arial" w:eastAsia="Arial" w:hAnsi="Arial"/>
          <w:sz w:val="18"/>
          <w:szCs w:val="18"/>
          <w:color w:val="auto"/>
        </w:rPr>
      </w:pPr>
    </w:p>
    <w:p>
      <w:pPr>
        <w:ind w:left="1200" w:right="160" w:hanging="424"/>
        <w:spacing w:after="0" w:line="262"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80" w:lineRule="exact"/>
        <w:rPr>
          <w:sz w:val="20"/>
          <w:szCs w:val="20"/>
          <w:color w:val="auto"/>
        </w:rPr>
      </w:pPr>
    </w:p>
    <w:p>
      <w:pPr>
        <w:ind w:left="240" w:right="200" w:firstLine="430"/>
        <w:spacing w:after="0" w:line="253"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9" w:lineRule="exact"/>
        <w:rPr>
          <w:sz w:val="20"/>
          <w:szCs w:val="20"/>
          <w:color w:val="auto"/>
        </w:rPr>
      </w:pPr>
    </w:p>
    <w:p>
      <w:pPr>
        <w:ind w:left="240" w:firstLine="430"/>
        <w:spacing w:after="0" w:line="247"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95" w:lineRule="exact"/>
        <w:rPr>
          <w:sz w:val="20"/>
          <w:szCs w:val="20"/>
          <w:color w:val="auto"/>
        </w:rPr>
      </w:pPr>
    </w:p>
    <w:p>
      <w:pPr>
        <w:ind w:left="240" w:right="220" w:firstLine="430"/>
        <w:spacing w:after="0" w:line="253"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9" w:lineRule="exact"/>
        <w:rPr>
          <w:sz w:val="20"/>
          <w:szCs w:val="20"/>
          <w:color w:val="auto"/>
        </w:rPr>
      </w:pPr>
    </w:p>
    <w:p>
      <w:pPr>
        <w:ind w:left="240" w:right="20" w:firstLine="430"/>
        <w:spacing w:after="0" w:line="307" w:lineRule="auto"/>
        <w:rPr>
          <w:sz w:val="20"/>
          <w:szCs w:val="20"/>
          <w:color w:val="auto"/>
        </w:rPr>
      </w:pPr>
      <w:r>
        <w:rPr>
          <w:rFonts w:ascii="Arial" w:cs="Arial" w:eastAsia="Arial" w:hAnsi="Arial"/>
          <w:sz w:val="15"/>
          <w:szCs w:val="15"/>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w:t>
      </w:r>
    </w:p>
    <w:p>
      <w:pPr>
        <w:sectPr>
          <w:pgSz w:w="11900" w:h="16838" w:orient="portrait"/>
          <w:cols w:equalWidth="0" w:num="1">
            <w:col w:w="10980"/>
          </w:cols>
          <w:pgMar w:left="320" w:top="451" w:right="599" w:bottom="1440" w:gutter="0" w:footer="0" w:header="0"/>
        </w:sectPr>
      </w:pPr>
    </w:p>
    <w:p>
      <w:pPr>
        <w:spacing w:after="0" w:line="8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980"/>
          </w:cols>
          <w:pgMar w:left="320" w:top="451" w:right="599" w:bottom="1440" w:gutter="0" w:footer="0" w:header="0"/>
          <w:type w:val="continuous"/>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40"/>
        <w:spacing w:after="0" w:line="281" w:lineRule="auto"/>
        <w:rPr>
          <w:sz w:val="20"/>
          <w:szCs w:val="20"/>
          <w:color w:val="auto"/>
        </w:rPr>
      </w:pPr>
      <w:r>
        <w:rPr>
          <w:rFonts w:ascii="Arial" w:cs="Arial" w:eastAsia="Arial" w:hAnsi="Arial"/>
          <w:sz w:val="16"/>
          <w:szCs w:val="16"/>
          <w:color w:val="auto"/>
        </w:rPr>
        <w:t>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69" w:lineRule="exact"/>
        <w:rPr>
          <w:sz w:val="20"/>
          <w:szCs w:val="20"/>
          <w:color w:val="auto"/>
        </w:rPr>
      </w:pPr>
    </w:p>
    <w:p>
      <w:pPr>
        <w:ind w:left="240" w:right="440" w:firstLine="430"/>
        <w:spacing w:after="0" w:line="283" w:lineRule="auto"/>
        <w:rPr>
          <w:sz w:val="20"/>
          <w:szCs w:val="20"/>
          <w:color w:val="auto"/>
        </w:rPr>
      </w:pPr>
      <w:r>
        <w:rPr>
          <w:rFonts w:ascii="Arial" w:cs="Arial" w:eastAsia="Arial" w:hAnsi="Arial"/>
          <w:sz w:val="16"/>
          <w:szCs w:val="16"/>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68" w:lineRule="exact"/>
        <w:rPr>
          <w:sz w:val="20"/>
          <w:szCs w:val="20"/>
          <w:color w:val="auto"/>
        </w:rPr>
      </w:pPr>
    </w:p>
    <w:p>
      <w:pPr>
        <w:ind w:left="240" w:right="120" w:firstLine="430"/>
        <w:spacing w:after="0" w:line="284"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9" w:lineRule="exact"/>
        <w:rPr>
          <w:sz w:val="20"/>
          <w:szCs w:val="20"/>
          <w:color w:val="auto"/>
        </w:rPr>
      </w:pPr>
    </w:p>
    <w:p>
      <w:pPr>
        <w:jc w:val="both"/>
        <w:ind w:left="240" w:right="120" w:firstLine="430"/>
        <w:spacing w:after="0" w:line="253"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2021 and 2020.</w:t>
      </w:r>
    </w:p>
    <w:p>
      <w:pPr>
        <w:spacing w:after="0" w:line="189" w:lineRule="exact"/>
        <w:rPr>
          <w:sz w:val="20"/>
          <w:szCs w:val="20"/>
          <w:color w:val="auto"/>
        </w:rPr>
      </w:pPr>
    </w:p>
    <w:p>
      <w:pPr>
        <w:ind w:left="240" w:right="660" w:firstLine="430"/>
        <w:spacing w:after="0" w:line="262"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six months ended June 30, 2021 and 2020:</w: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First Lien</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Second</w:t>
            </w: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Subordinated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8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Lien Debt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Balance, December 31, 2019</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$108,327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4"/>
              </w:rPr>
              <w:t>$ 383,077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140,843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126,564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8,108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$ 766,919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1,862</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(43,029)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(3,027)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(76,098)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49,239</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20,999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(15,263)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(4,491)</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(76,315)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2020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139,690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$ 366,536</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151,636</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72,306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2,452</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$ 732,620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Balance, December 31, 2020</w:t>
            </w:r>
          </w:p>
        </w:tc>
        <w:tc>
          <w:tcPr>
            <w:tcW w:w="6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$187,353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$ 332,154</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107,911</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112,836</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2,615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$ 742,869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799</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132,900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167,349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(32,568)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(135,048)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(191,560)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2021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285,011</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$ 207,953</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99,854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147,226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3,414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$ 743,458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40" w:firstLine="430"/>
        <w:spacing w:after="0" w:line="300" w:lineRule="auto"/>
        <w:rPr>
          <w:sz w:val="20"/>
          <w:szCs w:val="20"/>
          <w:color w:val="auto"/>
        </w:rPr>
      </w:pPr>
      <w:r>
        <w:rPr>
          <w:rFonts w:ascii="Arial" w:cs="Arial" w:eastAsia="Arial" w:hAnsi="Arial"/>
          <w:sz w:val="16"/>
          <w:szCs w:val="16"/>
          <w:color w:val="auto"/>
        </w:rPr>
        <w:t>Net change in unrealized appreciation/(depreciation) of $14,214 and $16,349 for the three and six months ended June 30, 2021, respectively, was attributable to Level 3 investments held at June 30, 2021. Net change in unrealized (depreciation) of $(1,508) and $(75,441) for the three and six months ended June 30, 2020, respectively, was attributable to Level 3 investments held at June 30, 2020.</w:t>
      </w:r>
    </w:p>
    <w:p>
      <w:pPr>
        <w:sectPr>
          <w:pgSz w:w="11900" w:h="16838" w:orient="portrait"/>
          <w:cols w:equalWidth="0" w:num="1">
            <w:col w:w="11000"/>
          </w:cols>
          <w:pgMar w:left="320" w:top="451" w:right="579" w:bottom="1440" w:gutter="0" w:footer="0" w:header="0"/>
        </w:sectPr>
      </w:pP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00"/>
          </w:cols>
          <w:pgMar w:left="320" w:top="451" w:right="579" w:bottom="1440" w:gutter="0" w:footer="0" w:header="0"/>
          <w:type w:val="continuous"/>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120" w:firstLine="430"/>
        <w:spacing w:after="0" w:line="253"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June 30, 2021 and December 31, 2020. The tables are not intended to be all-inclusive, but instead capture the significant unobservable inputs relevant to the Company’s determination of fair values.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Fair Value at</w:t>
            </w:r>
          </w:p>
        </w:tc>
        <w:tc>
          <w:tcPr>
            <w:tcW w:w="20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0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Unobservable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b w:val="1"/>
                <w:bCs w:val="1"/>
                <w:color w:val="auto"/>
              </w:rPr>
              <w:t>Range</w:t>
            </w:r>
          </w:p>
        </w:tc>
      </w:tr>
      <w:tr>
        <w:trPr>
          <w:trHeight w:val="171"/>
        </w:trPr>
        <w:tc>
          <w:tcPr>
            <w:tcW w:w="20" w:type="dxa"/>
            <w:vAlign w:val="bottom"/>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Borders>
              <w:bottom w:val="single" w:sz="8" w:color="CCEEFF"/>
            </w:tcBorders>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Techniques</w:t>
            </w:r>
          </w:p>
        </w:tc>
        <w:tc>
          <w:tcPr>
            <w:tcW w:w="10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1"/>
                <w:szCs w:val="11"/>
                <w:b w:val="1"/>
                <w:bCs w:val="1"/>
                <w:color w:val="auto"/>
              </w:rPr>
              <w:t>(1)</w:t>
            </w:r>
          </w:p>
        </w:tc>
      </w:tr>
      <w:tr>
        <w:trPr>
          <w:trHeight w:val="191"/>
        </w:trPr>
        <w:tc>
          <w:tcPr>
            <w:tcW w:w="20" w:type="dxa"/>
            <w:vAlign w:val="bottom"/>
          </w:tcPr>
          <w:p>
            <w:pPr>
              <w:spacing w:after="0"/>
              <w:rPr>
                <w:sz w:val="16"/>
                <w:szCs w:val="16"/>
                <w:color w:val="auto"/>
              </w:rPr>
            </w:pPr>
          </w:p>
        </w:tc>
        <w:tc>
          <w:tcPr>
            <w:tcW w:w="17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Debt investments: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First Lien Debt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265,345</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Discounted cash flow</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w w:val="93"/>
              </w:rPr>
              <w:t>Weighted average cost of capital</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4.5% - 35.0% (12.2%)</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Enterprise value</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Asset Coverage</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1.1x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- 1.1x (1.1x)</w:t>
            </w:r>
          </w:p>
        </w:tc>
      </w:tr>
      <w:tr>
        <w:trPr>
          <w:trHeight w:val="211"/>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8,852</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Enterprise value</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5.0x</w:t>
            </w:r>
          </w:p>
        </w:tc>
        <w:tc>
          <w:tcPr>
            <w:tcW w:w="1480" w:type="dxa"/>
            <w:vAlign w:val="bottom"/>
          </w:tcPr>
          <w:p>
            <w:pPr>
              <w:ind w:left="20"/>
              <w:spacing w:after="0"/>
              <w:rPr>
                <w:sz w:val="20"/>
                <w:szCs w:val="20"/>
                <w:color w:val="auto"/>
              </w:rPr>
            </w:pPr>
            <w:r>
              <w:rPr>
                <w:rFonts w:ascii="Arial" w:cs="Arial" w:eastAsia="Arial" w:hAnsi="Arial"/>
                <w:sz w:val="18"/>
                <w:szCs w:val="18"/>
                <w:color w:val="auto"/>
              </w:rPr>
              <w:t>- 5.0x (5.0x)</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Second Lien Debt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185,294</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Discounted cash flow</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Weighted average cost of capital</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9.3% - 25.0% (16.4%)</w:t>
            </w:r>
          </w:p>
        </w:tc>
      </w:tr>
      <w:tr>
        <w:trPr>
          <w:trHeight w:val="211"/>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7,940</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Enterprise value</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3.3x</w:t>
            </w:r>
          </w:p>
        </w:tc>
        <w:tc>
          <w:tcPr>
            <w:tcW w:w="1480" w:type="dxa"/>
            <w:vAlign w:val="bottom"/>
          </w:tcPr>
          <w:p>
            <w:pPr>
              <w:ind w:left="20"/>
              <w:spacing w:after="0"/>
              <w:rPr>
                <w:sz w:val="20"/>
                <w:szCs w:val="20"/>
                <w:color w:val="auto"/>
              </w:rPr>
            </w:pPr>
            <w:r>
              <w:rPr>
                <w:rFonts w:ascii="Arial" w:cs="Arial" w:eastAsia="Arial" w:hAnsi="Arial"/>
                <w:sz w:val="18"/>
                <w:szCs w:val="18"/>
                <w:color w:val="auto"/>
              </w:rPr>
              <w:t>- 3.3x (3.3x)</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Enterprise value</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Asset Coverage</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1.1x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- 1.3x (1.3x)</w:t>
            </w: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w w:val="90"/>
              </w:rPr>
              <w:t>Subordinated Debt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99,854</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Discounted cash flow</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w w:val="93"/>
              </w:rPr>
              <w:t>Weighted average cost of capital</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11.5% - 12.0% (11.7%)</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Equity investments: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147,226</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Enterprise value</w:t>
            </w: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3"/>
              </w:rPr>
              <w:t>3.3x</w:t>
            </w:r>
          </w:p>
        </w:tc>
        <w:tc>
          <w:tcPr>
            <w:tcW w:w="1480" w:type="dxa"/>
            <w:vAlign w:val="bottom"/>
          </w:tcPr>
          <w:p>
            <w:pPr>
              <w:ind w:left="20"/>
              <w:spacing w:after="0"/>
              <w:rPr>
                <w:sz w:val="20"/>
                <w:szCs w:val="20"/>
                <w:color w:val="auto"/>
              </w:rPr>
            </w:pPr>
            <w:r>
              <w:rPr>
                <w:rFonts w:ascii="Arial" w:cs="Arial" w:eastAsia="Arial" w:hAnsi="Arial"/>
                <w:sz w:val="18"/>
                <w:szCs w:val="18"/>
                <w:color w:val="auto"/>
              </w:rPr>
              <w:t>- 17.8x (7.9x)</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Enterprise value</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4.5x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- 6.0x (5.9x)</w:t>
            </w:r>
          </w:p>
        </w:tc>
      </w:tr>
    </w:tbl>
    <w:p>
      <w:pPr>
        <w:spacing w:after="0" w:line="225" w:lineRule="exact"/>
        <w:rPr>
          <w:sz w:val="20"/>
          <w:szCs w:val="20"/>
          <w:color w:val="auto"/>
        </w:rPr>
      </w:pPr>
    </w:p>
    <w:p>
      <w:pPr>
        <w:ind w:left="680" w:hanging="43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b w:val="1"/>
                <w:bCs w:val="1"/>
                <w:color w:val="auto"/>
              </w:rPr>
              <w:t>Range</w:t>
            </w:r>
          </w:p>
        </w:tc>
      </w:tr>
      <w:tr>
        <w:trPr>
          <w:trHeight w:val="171"/>
        </w:trPr>
        <w:tc>
          <w:tcPr>
            <w:tcW w:w="20" w:type="dxa"/>
            <w:vAlign w:val="bottom"/>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320" w:type="dxa"/>
            <w:vAlign w:val="bottom"/>
            <w:tcBorders>
              <w:bottom w:val="single" w:sz="8" w:color="CCEEFF"/>
            </w:tcBorders>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Techniques</w:t>
            </w:r>
          </w:p>
        </w:tc>
        <w:tc>
          <w:tcPr>
            <w:tcW w:w="22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1"/>
                <w:szCs w:val="11"/>
                <w:b w:val="1"/>
                <w:bCs w:val="1"/>
                <w:color w:val="auto"/>
              </w:rPr>
              <w:t>(1)</w:t>
            </w:r>
          </w:p>
        </w:tc>
      </w:tr>
      <w:tr>
        <w:trPr>
          <w:trHeight w:val="191"/>
        </w:trPr>
        <w:tc>
          <w:tcPr>
            <w:tcW w:w="20" w:type="dxa"/>
            <w:vAlign w:val="bottom"/>
          </w:tcPr>
          <w:p>
            <w:pPr>
              <w:spacing w:after="0"/>
              <w:rPr>
                <w:sz w:val="16"/>
                <w:szCs w:val="16"/>
                <w:color w:val="auto"/>
              </w:rPr>
            </w:pPr>
          </w:p>
        </w:tc>
        <w:tc>
          <w:tcPr>
            <w:tcW w:w="17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Debt investments:</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First Lien Debt</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183,238</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Discounted cash flow</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w w:val="94"/>
              </w:rPr>
              <w:t>Weighted average cost of capital</w:t>
            </w: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rPr>
              <w:t>6.8% - 16.3% (10.3%)</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3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Coverage</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1.8x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- 1.8x (1.8x)</w:t>
            </w: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w w:val="95"/>
              </w:rPr>
              <w:t>Second Lien Debt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306,405</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Discounted cash flow</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w w:val="94"/>
              </w:rPr>
              <w:t>Weighted average cost of capital</w:t>
            </w: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rPr>
              <w:t>9.3% - 27.0% (14.0%)</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3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3.9x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- 3.9x (3.9x)</w:t>
            </w:r>
          </w:p>
        </w:tc>
      </w:tr>
      <w:tr>
        <w:trPr>
          <w:trHeight w:val="211"/>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5,123</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2.1x</w:t>
            </w:r>
          </w:p>
        </w:tc>
        <w:tc>
          <w:tcPr>
            <w:tcW w:w="1480" w:type="dxa"/>
            <w:vAlign w:val="bottom"/>
          </w:tcPr>
          <w:p>
            <w:pPr>
              <w:ind w:left="20"/>
              <w:spacing w:after="0"/>
              <w:rPr>
                <w:sz w:val="20"/>
                <w:szCs w:val="20"/>
                <w:color w:val="auto"/>
              </w:rPr>
            </w:pPr>
            <w:r>
              <w:rPr>
                <w:rFonts w:ascii="Arial" w:cs="Arial" w:eastAsia="Arial" w:hAnsi="Arial"/>
                <w:sz w:val="18"/>
                <w:szCs w:val="18"/>
                <w:color w:val="auto"/>
              </w:rPr>
              <w:t>- 2.1x (2.1x)</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w:t>
            </w:r>
          </w:p>
        </w:tc>
        <w:tc>
          <w:tcPr>
            <w:tcW w:w="3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Coverage</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1.2x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- 1.2x (1.2x)</w:t>
            </w: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w w:val="90"/>
              </w:rPr>
              <w:t>Subordinated Debt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107,911</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Discounted cash flow</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w w:val="94"/>
              </w:rPr>
              <w:t>Weighted average cost of capital</w:t>
            </w:r>
          </w:p>
        </w:tc>
        <w:tc>
          <w:tcPr>
            <w:tcW w:w="2020" w:type="dxa"/>
            <w:vAlign w:val="bottom"/>
            <w:gridSpan w:val="3"/>
          </w:tcPr>
          <w:p>
            <w:pPr>
              <w:ind w:left="200"/>
              <w:spacing w:after="0"/>
              <w:rPr>
                <w:sz w:val="20"/>
                <w:szCs w:val="20"/>
                <w:color w:val="auto"/>
              </w:rPr>
            </w:pPr>
            <w:r>
              <w:rPr>
                <w:rFonts w:ascii="Arial" w:cs="Arial" w:eastAsia="Arial" w:hAnsi="Arial"/>
                <w:sz w:val="18"/>
                <w:szCs w:val="18"/>
                <w:color w:val="auto"/>
                <w:w w:val="96"/>
              </w:rPr>
              <w:t>11.5% - 12.0% (11.7%)</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Equity investments: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110,568</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3.9x</w:t>
            </w:r>
          </w:p>
        </w:tc>
        <w:tc>
          <w:tcPr>
            <w:tcW w:w="1480" w:type="dxa"/>
            <w:vAlign w:val="bottom"/>
          </w:tcPr>
          <w:p>
            <w:pPr>
              <w:ind w:left="20"/>
              <w:spacing w:after="0"/>
              <w:rPr>
                <w:sz w:val="20"/>
                <w:szCs w:val="20"/>
                <w:color w:val="auto"/>
              </w:rPr>
            </w:pPr>
            <w:r>
              <w:rPr>
                <w:rFonts w:ascii="Arial" w:cs="Arial" w:eastAsia="Arial" w:hAnsi="Arial"/>
                <w:sz w:val="18"/>
                <w:szCs w:val="18"/>
                <w:color w:val="auto"/>
              </w:rPr>
              <w:t>- 15.3x (8.1x)</w:t>
            </w:r>
          </w:p>
        </w:tc>
      </w:tr>
      <w:tr>
        <w:trPr>
          <w:trHeight w:val="211"/>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3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2.1x</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- 2.1x (2.1x)</w:t>
            </w:r>
          </w:p>
        </w:tc>
      </w:tr>
      <w:tr>
        <w:trPr>
          <w:trHeight w:val="222"/>
        </w:trPr>
        <w:tc>
          <w:tcPr>
            <w:tcW w:w="20" w:type="dxa"/>
            <w:vAlign w:val="bottom"/>
          </w:tcPr>
          <w:p>
            <w:pPr>
              <w:spacing w:after="0"/>
              <w:rPr>
                <w:sz w:val="19"/>
                <w:szCs w:val="19"/>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Warrants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2,615</w:t>
            </w:r>
          </w:p>
        </w:tc>
        <w:tc>
          <w:tcPr>
            <w:tcW w:w="3000" w:type="dxa"/>
            <w:vAlign w:val="bottom"/>
            <w:gridSpan w:val="2"/>
          </w:tcPr>
          <w:p>
            <w:pPr>
              <w:ind w:left="300"/>
              <w:spacing w:after="0"/>
              <w:rPr>
                <w:sz w:val="20"/>
                <w:szCs w:val="20"/>
                <w:color w:val="auto"/>
              </w:rPr>
            </w:pPr>
            <w:r>
              <w:rPr>
                <w:rFonts w:ascii="Arial" w:cs="Arial" w:eastAsia="Arial" w:hAnsi="Arial"/>
                <w:sz w:val="18"/>
                <w:szCs w:val="18"/>
                <w:color w:val="auto"/>
              </w:rPr>
              <w:t>Enterprise value</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4.5x</w:t>
            </w:r>
          </w:p>
        </w:tc>
        <w:tc>
          <w:tcPr>
            <w:tcW w:w="1480" w:type="dxa"/>
            <w:vAlign w:val="bottom"/>
          </w:tcPr>
          <w:p>
            <w:pPr>
              <w:ind w:left="20"/>
              <w:spacing w:after="0"/>
              <w:rPr>
                <w:sz w:val="20"/>
                <w:szCs w:val="20"/>
                <w:color w:val="auto"/>
              </w:rPr>
            </w:pPr>
            <w:r>
              <w:rPr>
                <w:rFonts w:ascii="Arial" w:cs="Arial" w:eastAsia="Arial" w:hAnsi="Arial"/>
                <w:sz w:val="18"/>
                <w:szCs w:val="18"/>
                <w:color w:val="auto"/>
              </w:rPr>
              <w:t>- 6.5x (6.2x)</w:t>
            </w:r>
          </w:p>
        </w:tc>
      </w:tr>
    </w:tbl>
    <w:p>
      <w:pPr>
        <w:spacing w:after="0" w:line="213" w:lineRule="exact"/>
        <w:rPr>
          <w:sz w:val="20"/>
          <w:szCs w:val="20"/>
          <w:color w:val="auto"/>
        </w:rPr>
      </w:pPr>
    </w:p>
    <w:p>
      <w:pPr>
        <w:ind w:left="680" w:hanging="43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15" w:lineRule="exact"/>
        <w:rPr>
          <w:sz w:val="20"/>
          <w:szCs w:val="20"/>
          <w:color w:val="auto"/>
        </w:rPr>
      </w:pPr>
    </w:p>
    <w:p>
      <w:pPr>
        <w:ind w:left="240" w:right="300" w:firstLine="430"/>
        <w:spacing w:after="0" w:line="325"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34" w:lineRule="exact"/>
        <w:rPr>
          <w:sz w:val="20"/>
          <w:szCs w:val="20"/>
          <w:color w:val="auto"/>
        </w:rPr>
      </w:pPr>
    </w:p>
    <w:p>
      <w:pPr>
        <w:ind w:left="240" w:right="300" w:firstLine="430"/>
        <w:spacing w:after="0" w:line="325"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09" w:lineRule="exact"/>
        <w:rPr>
          <w:sz w:val="20"/>
          <w:szCs w:val="20"/>
          <w:color w:val="auto"/>
        </w:rPr>
      </w:pPr>
    </w:p>
    <w:p>
      <w:pPr>
        <w:ind w:left="240" w:right="20" w:firstLine="430"/>
        <w:spacing w:after="0" w:line="291" w:lineRule="auto"/>
        <w:rPr>
          <w:sz w:val="20"/>
          <w:szCs w:val="20"/>
          <w:color w:val="auto"/>
        </w:rPr>
      </w:pPr>
      <w:r>
        <w:rPr>
          <w:rFonts w:ascii="Arial" w:cs="Arial" w:eastAsia="Arial" w:hAnsi="Arial"/>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Notes (as defined in Note 6) are recorded at their respective carrying values.</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51" w:right="5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The following tables summarize the carrying value and fair value of the Company’s debt obligations as of June 30, 2021 and December 31, 2020.</w:t>
      </w:r>
    </w:p>
    <w:p>
      <w:pPr>
        <w:spacing w:after="0" w:line="265" w:lineRule="exact"/>
        <w:rPr>
          <w:sz w:val="20"/>
          <w:szCs w:val="20"/>
          <w:color w:val="auto"/>
        </w:rPr>
      </w:pPr>
    </w:p>
    <w:tbl>
      <w:tblPr>
        <w:tblLayout w:type="fixed"/>
        <w:tblInd w:w="6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w w:val="89"/>
              </w:rPr>
              <w:t>June 30, 2021</w:t>
            </w:r>
            <w:r>
              <w:rPr>
                <w:rFonts w:ascii="Arial" w:cs="Arial" w:eastAsia="Arial" w:hAnsi="Arial"/>
                <w:sz w:val="11"/>
                <w:szCs w:val="11"/>
                <w:b w:val="1"/>
                <w:bCs w:val="1"/>
                <w:color w:val="auto"/>
                <w:w w:val="89"/>
              </w:rPr>
              <w:t>(6)</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2020</w:t>
            </w: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1"/>
                <w:szCs w:val="11"/>
                <w:b w:val="1"/>
                <w:bCs w:val="1"/>
                <w:color w:val="auto"/>
              </w:rPr>
              <w:t>(1)</w:t>
            </w: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5"/>
              </w:rPr>
              <w:t>Fair Value</w:t>
            </w:r>
          </w:p>
        </w:tc>
        <w:tc>
          <w:tcPr>
            <w:tcW w:w="540" w:type="dxa"/>
            <w:vAlign w:val="bottom"/>
          </w:tcPr>
          <w:p>
            <w:pPr>
              <w:spacing w:after="0"/>
              <w:rPr>
                <w:sz w:val="12"/>
                <w:szCs w:val="12"/>
                <w:color w:val="auto"/>
              </w:rPr>
            </w:pPr>
          </w:p>
        </w:tc>
        <w:tc>
          <w:tcPr>
            <w:tcW w:w="11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w w:val="92"/>
              </w:rPr>
              <w:t xml:space="preserve">Carrying Value </w:t>
            </w:r>
            <w:r>
              <w:rPr>
                <w:rFonts w:ascii="Arial" w:cs="Arial" w:eastAsia="Arial" w:hAnsi="Arial"/>
                <w:sz w:val="11"/>
                <w:szCs w:val="11"/>
                <w:b w:val="1"/>
                <w:bCs w:val="1"/>
                <w:color w:val="auto"/>
                <w:w w:val="92"/>
              </w:rPr>
              <w:t>(1)</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SBA debentures </w:t>
            </w:r>
            <w:r>
              <w:rPr>
                <w:rFonts w:ascii="Arial" w:cs="Arial" w:eastAsia="Arial" w:hAnsi="Arial"/>
                <w:sz w:val="14"/>
                <w:szCs w:val="14"/>
                <w:color w:val="auto"/>
              </w:rPr>
              <w:t>(2)</w:t>
            </w:r>
          </w:p>
        </w:tc>
        <w:tc>
          <w:tcPr>
            <w:tcW w:w="1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139,300</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$139,300</w:t>
            </w: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147,000</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$147,000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4"/>
                <w:szCs w:val="14"/>
                <w:color w:val="auto"/>
              </w:rPr>
              <w:t>(3)</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4"/>
                <w:szCs w:val="14"/>
                <w:color w:val="auto"/>
              </w:rPr>
              <w:t>(4)</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50,620</w:t>
            </w:r>
          </w:p>
        </w:tc>
        <w:tc>
          <w:tcPr>
            <w:tcW w:w="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4"/>
                <w:szCs w:val="14"/>
                <w:color w:val="auto"/>
              </w:rPr>
              <w:t>(4)</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19,000</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19,266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69,745</w:t>
            </w: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4"/>
                <w:szCs w:val="14"/>
                <w:color w:val="auto"/>
              </w:rPr>
              <w:t>(4)</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65,223</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64,389</w:t>
            </w:r>
          </w:p>
        </w:tc>
        <w:tc>
          <w:tcPr>
            <w:tcW w:w="6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 xml:space="preserve">2026 Notes </w:t>
            </w:r>
            <w:r>
              <w:rPr>
                <w:rFonts w:ascii="Arial" w:cs="Arial" w:eastAsia="Arial" w:hAnsi="Arial"/>
                <w:sz w:val="14"/>
                <w:szCs w:val="14"/>
                <w:color w:val="auto"/>
              </w:rPr>
              <w:t>(5)</w:t>
            </w:r>
          </w:p>
        </w:tc>
        <w:tc>
          <w:tcPr>
            <w:tcW w:w="1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125,286</w:t>
            </w:r>
          </w:p>
        </w:tc>
        <w:tc>
          <w:tcPr>
            <w:tcW w:w="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346,550</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349,075</w:t>
            </w:r>
          </w:p>
        </w:tc>
        <w:tc>
          <w:tcPr>
            <w:tcW w:w="8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456,754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15" w:lineRule="exact"/>
        <w:rPr>
          <w:rFonts w:ascii="Arial" w:cs="Arial" w:eastAsia="Arial" w:hAnsi="Arial"/>
          <w:sz w:val="18"/>
          <w:szCs w:val="18"/>
          <w:color w:val="auto"/>
        </w:rPr>
      </w:pPr>
    </w:p>
    <w:p>
      <w:pPr>
        <w:jc w:val="both"/>
        <w:ind w:left="680" w:right="40" w:hanging="431"/>
        <w:spacing w:after="0" w:line="24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680" w:right="80" w:hanging="431"/>
        <w:spacing w:after="0" w:line="24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680" w:hanging="43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3" w:lineRule="exact"/>
        <w:rPr>
          <w:rFonts w:ascii="Arial" w:cs="Arial" w:eastAsia="Arial" w:hAnsi="Arial"/>
          <w:sz w:val="18"/>
          <w:szCs w:val="18"/>
          <w:color w:val="auto"/>
        </w:rPr>
      </w:pPr>
    </w:p>
    <w:p>
      <w:pPr>
        <w:ind w:left="680" w:right="440" w:hanging="431"/>
        <w:spacing w:after="0" w:line="24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value of the 2026 Notes is estimated by discounting the remaining payments using current market rates for similar instruments and considering such factors as the legal maturity date, which are Level 3 inputs under ASC Topic 820.</w:t>
      </w:r>
    </w:p>
    <w:p>
      <w:pPr>
        <w:ind w:left="680" w:hanging="43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Totals exclude $13,500 of Secured Borrowings.</w:t>
      </w:r>
    </w:p>
    <w:p>
      <w:pPr>
        <w:spacing w:after="0" w:line="203" w:lineRule="exact"/>
        <w:rPr>
          <w:sz w:val="20"/>
          <w:szCs w:val="20"/>
          <w:color w:val="auto"/>
        </w:rPr>
      </w:pPr>
    </w:p>
    <w:p>
      <w:pPr>
        <w:ind w:left="240" w:right="520" w:firstLine="430"/>
        <w:spacing w:after="0" w:line="262"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June 30, 2021 and December 31, 2020.</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67"/>
        </w:trPr>
        <w:tc>
          <w:tcPr>
            <w:tcW w:w="10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1"/>
              </w:rPr>
              <w:t>Valuation Inputs</w:t>
            </w:r>
          </w:p>
        </w:tc>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20"/>
              <w:spacing w:after="0" w:line="116" w:lineRule="exact"/>
              <w:rPr>
                <w:sz w:val="20"/>
                <w:szCs w:val="20"/>
                <w:color w:val="auto"/>
              </w:rPr>
            </w:pPr>
            <w:r>
              <w:rPr>
                <w:rFonts w:ascii="Arial" w:cs="Arial" w:eastAsia="Arial" w:hAnsi="Arial"/>
                <w:sz w:val="13"/>
                <w:szCs w:val="13"/>
                <w:b w:val="1"/>
                <w:bCs w:val="1"/>
                <w:color w:val="auto"/>
                <w:w w:val="92"/>
              </w:rPr>
              <w:t>June 30,</w:t>
            </w:r>
          </w:p>
        </w:tc>
        <w:tc>
          <w:tcPr>
            <w:tcW w:w="1180" w:type="dxa"/>
            <w:vAlign w:val="bottom"/>
            <w:gridSpan w:val="3"/>
          </w:tcPr>
          <w:p>
            <w:pPr>
              <w:jc w:val="right"/>
              <w:spacing w:after="0" w:line="116"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20" w:type="dxa"/>
            <w:vAlign w:val="bottom"/>
            <w:tcBorders>
              <w:bottom w:val="single" w:sz="8" w:color="auto"/>
            </w:tcBorders>
            <w:vMerge w:val="continue"/>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20"/>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96"/>
              <w:spacing w:after="0" w:line="15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2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Level 1</w:t>
            </w:r>
          </w:p>
        </w:tc>
        <w:tc>
          <w:tcPr>
            <w:tcW w:w="52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84,489</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89"/>
              </w:rPr>
              <w:t>184,754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20" w:type="dxa"/>
            <w:vAlign w:val="bottom"/>
          </w:tcPr>
          <w:p>
            <w:pPr>
              <w:spacing w:after="0"/>
              <w:rPr>
                <w:sz w:val="20"/>
                <w:szCs w:val="20"/>
                <w:color w:val="auto"/>
              </w:rPr>
            </w:pPr>
            <w:r>
              <w:rPr>
                <w:rFonts w:ascii="Arial" w:cs="Arial" w:eastAsia="Arial" w:hAnsi="Arial"/>
                <w:sz w:val="18"/>
                <w:szCs w:val="18"/>
                <w:color w:val="auto"/>
              </w:rPr>
              <w:t>Level 2</w:t>
            </w:r>
          </w:p>
        </w:tc>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264,586</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349,075</w:t>
            </w:r>
          </w:p>
        </w:tc>
        <w:tc>
          <w:tcPr>
            <w:tcW w:w="5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456,754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5. Related Party Transactions</w:t>
      </w:r>
    </w:p>
    <w:p>
      <w:pPr>
        <w:spacing w:after="0" w:line="115" w:lineRule="exact"/>
        <w:rPr>
          <w:sz w:val="20"/>
          <w:szCs w:val="20"/>
          <w:color w:val="auto"/>
        </w:rPr>
      </w:pPr>
    </w:p>
    <w:p>
      <w:pPr>
        <w:ind w:left="240" w:right="40" w:firstLine="430"/>
        <w:spacing w:after="0" w:line="291"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10,</w:t>
      </w:r>
      <w:r>
        <w:rPr>
          <w:rFonts w:ascii="Arial" w:cs="Arial" w:eastAsia="Arial" w:hAnsi="Arial"/>
          <w:sz w:val="16"/>
          <w:szCs w:val="16"/>
          <w:i w:val="1"/>
          <w:iCs w:val="1"/>
          <w:color w:val="auto"/>
        </w:rPr>
        <w:t xml:space="preserve"> </w:t>
      </w:r>
      <w:r>
        <w:rPr>
          <w:rFonts w:ascii="Arial" w:cs="Arial" w:eastAsia="Arial" w:hAnsi="Arial"/>
          <w:sz w:val="16"/>
          <w:szCs w:val="16"/>
          <w:color w:val="auto"/>
        </w:rPr>
        <w:t>2021, the Board approved the renewal of the Investment Advisory Agreement through June 20, 2022.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62" w:lineRule="exact"/>
        <w:rPr>
          <w:sz w:val="20"/>
          <w:szCs w:val="20"/>
          <w:color w:val="auto"/>
        </w:rPr>
      </w:pPr>
    </w:p>
    <w:p>
      <w:pPr>
        <w:ind w:left="240" w:firstLine="430"/>
        <w:spacing w:after="0" w:line="303" w:lineRule="auto"/>
        <w:rPr>
          <w:sz w:val="20"/>
          <w:szCs w:val="20"/>
          <w:color w:val="auto"/>
        </w:rPr>
      </w:pPr>
      <w:r>
        <w:rPr>
          <w:rFonts w:ascii="Arial" w:cs="Arial" w:eastAsia="Arial" w:hAnsi="Arial"/>
          <w:sz w:val="15"/>
          <w:szCs w:val="15"/>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as of June 30, 2021. The base management fee is payable quarterly in arrears. The base management fee under the Investment Advisory Agreement was $3,215 and $6,391 for the three and six months ended June 30, 2021, and $3,193 and $6,465 for the three and six months ended June 30, 2020, respectively. The base management fee waiver was $29 for the three and six months ended June 30, 2021. There was no base management fee waiver for the three and six months ended June 30, 2020. As of June 30, 2021 and December 31, 2020, the base management fee payable (net of the base management fee waiver) was $3,186 and $3,244, respectively.</w:t>
      </w:r>
    </w:p>
    <w:p>
      <w:pPr>
        <w:spacing w:after="0" w:line="155" w:lineRule="exact"/>
        <w:rPr>
          <w:sz w:val="20"/>
          <w:szCs w:val="20"/>
          <w:color w:val="auto"/>
        </w:rPr>
      </w:pPr>
    </w:p>
    <w:p>
      <w:pPr>
        <w:jc w:val="both"/>
        <w:ind w:left="240" w:right="80" w:firstLine="430"/>
        <w:spacing w:after="0" w:line="328" w:lineRule="auto"/>
        <w:rPr>
          <w:sz w:val="20"/>
          <w:szCs w:val="20"/>
          <w:color w:val="auto"/>
        </w:rPr>
      </w:pPr>
      <w:r>
        <w:rPr>
          <w:rFonts w:ascii="Arial" w:cs="Arial" w:eastAsia="Arial" w:hAnsi="Arial"/>
          <w:sz w:val="15"/>
          <w:szCs w:val="15"/>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w:t>
      </w:r>
    </w:p>
    <w:p>
      <w:pPr>
        <w:spacing w:after="0" w:line="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320" w:top="451" w:right="6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20"/>
        <w:spacing w:after="0" w:line="247" w:lineRule="auto"/>
        <w:rPr>
          <w:sz w:val="20"/>
          <w:szCs w:val="20"/>
          <w:color w:val="auto"/>
        </w:rPr>
      </w:pPr>
      <w:r>
        <w:rPr>
          <w:rFonts w:ascii="Arial" w:cs="Arial" w:eastAsia="Arial" w:hAnsi="Arial"/>
          <w:sz w:val="18"/>
          <w:szCs w:val="18"/>
          <w:color w:val="auto"/>
        </w:rPr>
        <w:t>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95" w:lineRule="exact"/>
        <w:rPr>
          <w:sz w:val="20"/>
          <w:szCs w:val="20"/>
          <w:color w:val="auto"/>
        </w:rPr>
      </w:pPr>
    </w:p>
    <w:p>
      <w:pPr>
        <w:ind w:left="240" w:right="40" w:firstLine="430"/>
        <w:spacing w:after="0" w:line="248"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95" w:lineRule="exact"/>
        <w:rPr>
          <w:sz w:val="20"/>
          <w:szCs w:val="20"/>
          <w:color w:val="auto"/>
        </w:rPr>
      </w:pPr>
    </w:p>
    <w:p>
      <w:pPr>
        <w:ind w:left="240" w:right="40" w:firstLine="430"/>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65" w:lineRule="exact"/>
        <w:rPr>
          <w:sz w:val="20"/>
          <w:szCs w:val="20"/>
          <w:color w:val="auto"/>
        </w:rPr>
      </w:pPr>
    </w:p>
    <w:p>
      <w:pPr>
        <w:ind w:left="240" w:right="260" w:firstLine="430"/>
        <w:spacing w:after="0" w:line="262"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88" w:lineRule="exact"/>
        <w:rPr>
          <w:sz w:val="20"/>
          <w:szCs w:val="20"/>
          <w:color w:val="auto"/>
        </w:rPr>
      </w:pPr>
    </w:p>
    <w:p>
      <w:pPr>
        <w:ind w:left="1200" w:hanging="424"/>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45" w:lineRule="exact"/>
        <w:rPr>
          <w:rFonts w:ascii="Arial" w:cs="Arial" w:eastAsia="Arial" w:hAnsi="Arial"/>
          <w:sz w:val="16"/>
          <w:szCs w:val="16"/>
          <w:color w:val="auto"/>
        </w:rPr>
      </w:pPr>
    </w:p>
    <w:p>
      <w:pPr>
        <w:ind w:left="1200" w:hanging="424"/>
        <w:spacing w:after="0" w:line="248"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103" w:lineRule="exact"/>
        <w:rPr>
          <w:rFonts w:ascii="Arial" w:cs="Arial" w:eastAsia="Arial" w:hAnsi="Arial"/>
          <w:sz w:val="18"/>
          <w:szCs w:val="18"/>
          <w:color w:val="auto"/>
        </w:rPr>
      </w:pPr>
    </w:p>
    <w:p>
      <w:pPr>
        <w:ind w:left="1200" w:hanging="424"/>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20.0% of the amount of the Company’s pre-incentive fee net investment income, if any, that exceeds 2.5% in any calendar quarter.</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sum of the calculations above equals the income incentive fee. The income incentive fee is appropriately prorated for any period of less than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three months and adjusted for any share issuances or repurchases during the calendar quarter. The income incentive fee was $2,550 and $5,219 for</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three and six months ended June 30, 2021, respectively, and $2,113 and $3,968 for the three and six months ended June 30, 2020, respectively.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 Advisor, in consultation with the Board, agreed to voluntarily waive $423 of the income incentive fee for the three and six months ended</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June 30, 2020. There was no income incentive fee waiver for the three and six months ended June 30, 2021. As of June 30, 2021 and December 31,</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2020, the income incentive fee payable (net of the income incentive fee waiver) was $2,550 and $2,610, respectively.</w:t>
      </w:r>
    </w:p>
    <w:p>
      <w:pPr>
        <w:spacing w:after="0" w:line="203" w:lineRule="exact"/>
        <w:rPr>
          <w:sz w:val="20"/>
          <w:szCs w:val="20"/>
          <w:color w:val="auto"/>
        </w:rPr>
      </w:pPr>
    </w:p>
    <w:p>
      <w:pPr>
        <w:ind w:left="240" w:right="40" w:firstLine="430"/>
        <w:spacing w:after="0" w:line="295" w:lineRule="auto"/>
        <w:rPr>
          <w:sz w:val="20"/>
          <w:szCs w:val="20"/>
          <w:color w:val="auto"/>
        </w:rPr>
      </w:pPr>
      <w:r>
        <w:rPr>
          <w:rFonts w:ascii="Arial" w:cs="Arial" w:eastAsia="Arial" w:hAnsi="Arial"/>
          <w:sz w:val="15"/>
          <w:szCs w:val="15"/>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1" w:lineRule="exact"/>
        <w:rPr>
          <w:sz w:val="20"/>
          <w:szCs w:val="20"/>
          <w:color w:val="auto"/>
        </w:rPr>
      </w:pPr>
    </w:p>
    <w:p>
      <w:pPr>
        <w:ind w:left="240" w:right="20"/>
        <w:spacing w:after="0" w:line="245"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June 30, 2021 and December 31, 2020,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June 30, 2021 was $348.</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320" w:top="451" w:right="5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80" w:firstLine="430"/>
        <w:spacing w:after="0" w:line="278"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2" w:lineRule="exact"/>
        <w:rPr>
          <w:sz w:val="20"/>
          <w:szCs w:val="20"/>
          <w:color w:val="auto"/>
        </w:rPr>
      </w:pPr>
    </w:p>
    <w:p>
      <w:pPr>
        <w:ind w:left="240" w:right="100" w:firstLine="9"/>
        <w:spacing w:after="0" w:line="245" w:lineRule="auto"/>
        <w:tabs>
          <w:tab w:leader="none" w:pos="4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three and six months ended June 30, 2021 was $3,883 and $3,974, respectively, and $(263) and $(9,141) for the three and six months ended June 30, 2020, respectively. As of June 30, 2021 and December 31, 2020, the accrued capital gains incentive fee payable was $15,005 and $11,031, respectively.</w:t>
      </w:r>
    </w:p>
    <w:p>
      <w:pPr>
        <w:spacing w:after="0" w:line="197" w:lineRule="exact"/>
        <w:rPr>
          <w:sz w:val="20"/>
          <w:szCs w:val="20"/>
          <w:color w:val="auto"/>
        </w:rPr>
      </w:pPr>
    </w:p>
    <w:p>
      <w:pPr>
        <w:ind w:left="240" w:right="120" w:firstLine="430"/>
        <w:spacing w:after="0" w:line="284" w:lineRule="auto"/>
        <w:rPr>
          <w:sz w:val="20"/>
          <w:szCs w:val="20"/>
          <w:color w:val="auto"/>
        </w:rPr>
      </w:pPr>
      <w:r>
        <w:rPr>
          <w:rFonts w:ascii="Arial" w:cs="Arial" w:eastAsia="Arial" w:hAnsi="Arial"/>
          <w:sz w:val="16"/>
          <w:szCs w:val="16"/>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69" w:lineRule="exact"/>
        <w:rPr>
          <w:sz w:val="20"/>
          <w:szCs w:val="20"/>
          <w:color w:val="auto"/>
        </w:rPr>
      </w:pPr>
    </w:p>
    <w:p>
      <w:pPr>
        <w:ind w:left="240" w:right="60" w:firstLine="430"/>
        <w:spacing w:after="0" w:line="299" w:lineRule="auto"/>
        <w:rPr>
          <w:sz w:val="20"/>
          <w:szCs w:val="20"/>
          <w:color w:val="auto"/>
        </w:rPr>
      </w:pPr>
      <w:r>
        <w:rPr>
          <w:rFonts w:ascii="Arial" w:cs="Arial" w:eastAsia="Arial" w:hAnsi="Arial"/>
          <w:sz w:val="15"/>
          <w:szCs w:val="15"/>
          <w:i w:val="1"/>
          <w:iCs w:val="1"/>
          <w:color w:val="auto"/>
        </w:rPr>
        <w:t xml:space="preserve">Administration Agreement: </w:t>
      </w:r>
      <w:r>
        <w:rPr>
          <w:rFonts w:ascii="Arial" w:cs="Arial" w:eastAsia="Arial" w:hAnsi="Arial"/>
          <w:sz w:val="15"/>
          <w:szCs w:val="15"/>
          <w:color w:val="auto"/>
        </w:rPr>
        <w:t>The Company also entered into an administration agreement (the “Administration Agreement”) with the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Advisor. On June 10, 2021, the Board approved the renewal of the Administration Agreement through June 20, 2022.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Administration Agreement, administrative service expenses for the three and six months ended June 30, 2021 were $430 and $843, respectively, and $364 and $830 for the three and six months ended June 30, 2020, respectively. As of June 30, 2021 and December 31, 2020, the accrued administrative service expense payable was $339 and $593, respectively.</w:t>
      </w:r>
    </w:p>
    <w:p>
      <w:pPr>
        <w:spacing w:after="0" w:line="162" w:lineRule="exact"/>
        <w:rPr>
          <w:sz w:val="20"/>
          <w:szCs w:val="20"/>
          <w:color w:val="auto"/>
        </w:rPr>
      </w:pPr>
    </w:p>
    <w:p>
      <w:pPr>
        <w:ind w:left="240" w:right="60" w:firstLine="430"/>
        <w:spacing w:after="0" w:line="287" w:lineRule="auto"/>
        <w:rPr>
          <w:sz w:val="20"/>
          <w:szCs w:val="20"/>
          <w:color w:val="auto"/>
        </w:rPr>
      </w:pPr>
      <w:r>
        <w:rPr>
          <w:rFonts w:ascii="Arial" w:cs="Arial" w:eastAsia="Arial" w:hAnsi="Arial"/>
          <w:sz w:val="16"/>
          <w:szCs w:val="16"/>
          <w:i w:val="1"/>
          <w:iCs w:val="1"/>
          <w:color w:val="auto"/>
        </w:rPr>
        <w:t>Fidus Equity Fund I, L.P.</w:t>
      </w:r>
      <w:r>
        <w:rPr>
          <w:rFonts w:ascii="Arial" w:cs="Arial" w:eastAsia="Arial" w:hAnsi="Arial"/>
          <w:sz w:val="16"/>
          <w:szCs w:val="16"/>
          <w:color w:val="auto"/>
        </w:rPr>
        <w:t>: On February 25, 2020, the Company entered into a Limited Partnership Agreement (the “Agreement”) with Fidus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Fund I, 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6. Debt</w:t>
      </w:r>
    </w:p>
    <w:p>
      <w:pPr>
        <w:spacing w:after="0" w:line="115" w:lineRule="exact"/>
        <w:rPr>
          <w:sz w:val="20"/>
          <w:szCs w:val="20"/>
          <w:color w:val="auto"/>
        </w:rPr>
      </w:pPr>
    </w:p>
    <w:p>
      <w:pPr>
        <w:ind w:left="240" w:firstLine="430"/>
        <w:spacing w:after="0" w:line="281"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69" w:lineRule="exact"/>
        <w:rPr>
          <w:sz w:val="20"/>
          <w:szCs w:val="20"/>
          <w:color w:val="auto"/>
        </w:rPr>
      </w:pPr>
    </w:p>
    <w:p>
      <w:pPr>
        <w:ind w:left="240" w:right="200" w:firstLine="430"/>
        <w:spacing w:after="0" w:line="283"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1" w:right="5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applicable, or (b) 2.00% (or 1.75% if the above conditions are satisfied) plus the highest of (A) a prime rate, (B) the Federal Funds rate plus 0.5%,</w:t>
      </w:r>
    </w:p>
    <w:p>
      <w:pPr>
        <w:spacing w:after="0" w:line="38" w:lineRule="exact"/>
        <w:rPr>
          <w:sz w:val="20"/>
          <w:szCs w:val="20"/>
          <w:color w:val="auto"/>
        </w:rPr>
      </w:pPr>
    </w:p>
    <w:p>
      <w:pPr>
        <w:ind w:left="240" w:right="60" w:firstLine="9"/>
        <w:spacing w:after="0" w:line="283" w:lineRule="auto"/>
        <w:tabs>
          <w:tab w:leader="none" w:pos="5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8" w:lineRule="exact"/>
        <w:rPr>
          <w:sz w:val="20"/>
          <w:szCs w:val="20"/>
          <w:color w:val="auto"/>
        </w:rPr>
      </w:pPr>
    </w:p>
    <w:p>
      <w:pPr>
        <w:ind w:left="240" w:right="160" w:firstLine="430"/>
        <w:spacing w:after="0" w:line="29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62" w:lineRule="exact"/>
        <w:rPr>
          <w:sz w:val="20"/>
          <w:szCs w:val="20"/>
          <w:color w:val="auto"/>
        </w:rPr>
      </w:pPr>
    </w:p>
    <w:p>
      <w:pPr>
        <w:jc w:val="both"/>
        <w:ind w:left="240" w:right="160" w:firstLine="430"/>
        <w:spacing w:after="0" w:line="250"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2021 and December 31, 2020, the Company was in compliance in all material respect with the terms of the Credit Facility.</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15" w:lineRule="exact"/>
        <w:rPr>
          <w:sz w:val="20"/>
          <w:szCs w:val="20"/>
          <w:color w:val="auto"/>
        </w:rPr>
      </w:pPr>
    </w:p>
    <w:p>
      <w:pPr>
        <w:ind w:left="240" w:firstLine="430"/>
        <w:spacing w:after="0" w:line="287" w:lineRule="auto"/>
        <w:rPr>
          <w:sz w:val="20"/>
          <w:szCs w:val="20"/>
          <w:color w:val="auto"/>
        </w:rPr>
      </w:pPr>
      <w:r>
        <w:rPr>
          <w:rFonts w:ascii="Arial" w:cs="Arial" w:eastAsia="Arial" w:hAnsi="Arial"/>
          <w:sz w:val="16"/>
          <w:szCs w:val="16"/>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June 30, 2021 and December 31, 2020, approved and unused SBA debenture commitments were $75,000 and $11,500,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June 30, 2021 and December 31, 2020, the Company’s issued and outstanding SBA debentures mature as follows:</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1000"/>
              <w:spacing w:after="0"/>
              <w:rPr>
                <w:sz w:val="20"/>
                <w:szCs w:val="20"/>
                <w:color w:val="auto"/>
              </w:rPr>
            </w:pPr>
            <w:r>
              <w:rPr>
                <w:rFonts w:ascii="Arial" w:cs="Arial" w:eastAsia="Arial" w:hAnsi="Arial"/>
                <w:sz w:val="14"/>
                <w:szCs w:val="14"/>
                <w:b w:val="1"/>
                <w:bCs w:val="1"/>
                <w:color w:val="auto"/>
              </w:rPr>
              <w:t>Pooling</w:t>
            </w:r>
          </w:p>
        </w:tc>
        <w:tc>
          <w:tcPr>
            <w:tcW w:w="1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280" w:type="dxa"/>
            <w:vAlign w:val="bottom"/>
          </w:tcPr>
          <w:p>
            <w:pPr>
              <w:spacing w:after="0"/>
              <w:rPr>
                <w:sz w:val="14"/>
                <w:szCs w:val="14"/>
                <w:color w:val="auto"/>
              </w:rPr>
            </w:pP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Fixed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June 30,</w:t>
            </w: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Pr>
          <w:p>
            <w:pPr>
              <w:ind w:left="100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1"/>
                <w:szCs w:val="11"/>
                <w:b w:val="1"/>
                <w:bCs w:val="1"/>
                <w:color w:val="auto"/>
              </w:rPr>
              <w:t>(1)</w:t>
            </w:r>
          </w:p>
        </w:tc>
        <w:tc>
          <w:tcPr>
            <w:tcW w:w="1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8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Interest Rate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3/25/2015</w:t>
            </w:r>
          </w:p>
        </w:tc>
        <w:tc>
          <w:tcPr>
            <w:tcW w:w="12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3/1/2025</w:t>
            </w:r>
          </w:p>
        </w:tc>
        <w:tc>
          <w:tcPr>
            <w:tcW w:w="12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60"/>
              <w:spacing w:after="0" w:line="204" w:lineRule="exact"/>
              <w:rPr>
                <w:sz w:val="20"/>
                <w:szCs w:val="20"/>
                <w:color w:val="auto"/>
              </w:rPr>
            </w:pPr>
            <w:r>
              <w:rPr>
                <w:rFonts w:ascii="Arial" w:cs="Arial" w:eastAsia="Arial" w:hAnsi="Arial"/>
                <w:sz w:val="18"/>
                <w:szCs w:val="18"/>
                <w:color w:val="auto"/>
              </w:rPr>
              <w:t>3.277%</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22,500</w:t>
            </w:r>
          </w:p>
        </w:tc>
        <w:tc>
          <w:tcPr>
            <w:tcW w:w="13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9/23/2015</w:t>
            </w:r>
          </w:p>
        </w:tc>
        <w:tc>
          <w:tcPr>
            <w:tcW w:w="1880" w:type="dxa"/>
            <w:vAlign w:val="bottom"/>
            <w:gridSpan w:val="2"/>
          </w:tcPr>
          <w:p>
            <w:pPr>
              <w:jc w:val="center"/>
              <w:ind w:left="1172"/>
              <w:spacing w:after="0"/>
              <w:rPr>
                <w:sz w:val="20"/>
                <w:szCs w:val="20"/>
                <w:color w:val="auto"/>
              </w:rPr>
            </w:pPr>
            <w:r>
              <w:rPr>
                <w:rFonts w:ascii="Arial" w:cs="Arial" w:eastAsia="Arial" w:hAnsi="Arial"/>
                <w:sz w:val="18"/>
                <w:szCs w:val="18"/>
                <w:color w:val="auto"/>
                <w:w w:val="88"/>
              </w:rPr>
              <w:t>9/1/2025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3.571</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3/23/2016</w:t>
            </w:r>
          </w:p>
        </w:tc>
        <w:tc>
          <w:tcPr>
            <w:tcW w:w="18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8"/>
              </w:rPr>
              <w:t>3/1/2026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3/23/2016</w:t>
            </w:r>
          </w:p>
        </w:tc>
        <w:tc>
          <w:tcPr>
            <w:tcW w:w="1880" w:type="dxa"/>
            <w:vAlign w:val="bottom"/>
            <w:gridSpan w:val="2"/>
          </w:tcPr>
          <w:p>
            <w:pPr>
              <w:jc w:val="center"/>
              <w:ind w:left="1172"/>
              <w:spacing w:after="0"/>
              <w:rPr>
                <w:sz w:val="20"/>
                <w:szCs w:val="20"/>
                <w:color w:val="auto"/>
              </w:rPr>
            </w:pPr>
            <w:r>
              <w:rPr>
                <w:rFonts w:ascii="Arial" w:cs="Arial" w:eastAsia="Arial" w:hAnsi="Arial"/>
                <w:sz w:val="18"/>
                <w:szCs w:val="18"/>
                <w:color w:val="auto"/>
                <w:w w:val="88"/>
              </w:rPr>
              <w:t>3/1/2026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3.249</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21,800</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9/21/2016</w:t>
            </w:r>
          </w:p>
        </w:tc>
        <w:tc>
          <w:tcPr>
            <w:tcW w:w="18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8"/>
              </w:rPr>
              <w:t>9/1/2026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3/29/2017</w:t>
            </w:r>
          </w:p>
        </w:tc>
        <w:tc>
          <w:tcPr>
            <w:tcW w:w="1880" w:type="dxa"/>
            <w:vAlign w:val="bottom"/>
            <w:gridSpan w:val="2"/>
          </w:tcPr>
          <w:p>
            <w:pPr>
              <w:jc w:val="center"/>
              <w:ind w:left="1172"/>
              <w:spacing w:after="0"/>
              <w:rPr>
                <w:sz w:val="20"/>
                <w:szCs w:val="20"/>
                <w:color w:val="auto"/>
              </w:rPr>
            </w:pPr>
            <w:r>
              <w:rPr>
                <w:rFonts w:ascii="Arial" w:cs="Arial" w:eastAsia="Arial" w:hAnsi="Arial"/>
                <w:sz w:val="18"/>
                <w:szCs w:val="18"/>
                <w:color w:val="auto"/>
                <w:w w:val="88"/>
              </w:rPr>
              <w:t>3/1/2027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3.587</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9/20/2017</w:t>
            </w:r>
          </w:p>
        </w:tc>
        <w:tc>
          <w:tcPr>
            <w:tcW w:w="18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8"/>
              </w:rPr>
              <w:t>9/1/2027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9/20/2017</w:t>
            </w:r>
          </w:p>
        </w:tc>
        <w:tc>
          <w:tcPr>
            <w:tcW w:w="1880" w:type="dxa"/>
            <w:vAlign w:val="bottom"/>
            <w:gridSpan w:val="2"/>
          </w:tcPr>
          <w:p>
            <w:pPr>
              <w:jc w:val="center"/>
              <w:ind w:left="1172"/>
              <w:spacing w:after="0"/>
              <w:rPr>
                <w:sz w:val="20"/>
                <w:szCs w:val="20"/>
                <w:color w:val="auto"/>
              </w:rPr>
            </w:pPr>
            <w:r>
              <w:rPr>
                <w:rFonts w:ascii="Arial" w:cs="Arial" w:eastAsia="Arial" w:hAnsi="Arial"/>
                <w:sz w:val="18"/>
                <w:szCs w:val="18"/>
                <w:color w:val="auto"/>
                <w:w w:val="88"/>
              </w:rPr>
              <w:t>9/1/2027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3.190</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33,000</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3/21/2018</w:t>
            </w:r>
          </w:p>
        </w:tc>
        <w:tc>
          <w:tcPr>
            <w:tcW w:w="18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8"/>
              </w:rPr>
              <w:t>3/1/2028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3/21/2018</w:t>
            </w:r>
          </w:p>
        </w:tc>
        <w:tc>
          <w:tcPr>
            <w:tcW w:w="1880" w:type="dxa"/>
            <w:vAlign w:val="bottom"/>
            <w:gridSpan w:val="2"/>
          </w:tcPr>
          <w:p>
            <w:pPr>
              <w:jc w:val="center"/>
              <w:ind w:left="1172"/>
              <w:spacing w:after="0"/>
              <w:rPr>
                <w:sz w:val="20"/>
                <w:szCs w:val="20"/>
                <w:color w:val="auto"/>
              </w:rPr>
            </w:pPr>
            <w:r>
              <w:rPr>
                <w:rFonts w:ascii="Arial" w:cs="Arial" w:eastAsia="Arial" w:hAnsi="Arial"/>
                <w:sz w:val="18"/>
                <w:szCs w:val="18"/>
                <w:color w:val="auto"/>
                <w:w w:val="88"/>
              </w:rPr>
              <w:t>3/1/2028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3.534</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9,000</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9/25/2019</w:t>
            </w:r>
          </w:p>
        </w:tc>
        <w:tc>
          <w:tcPr>
            <w:tcW w:w="18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8"/>
              </w:rPr>
              <w:t>9/1/2029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3/25/2020</w:t>
            </w:r>
          </w:p>
        </w:tc>
        <w:tc>
          <w:tcPr>
            <w:tcW w:w="1880" w:type="dxa"/>
            <w:vAlign w:val="bottom"/>
            <w:gridSpan w:val="2"/>
          </w:tcPr>
          <w:p>
            <w:pPr>
              <w:jc w:val="center"/>
              <w:ind w:left="1172"/>
              <w:spacing w:after="0"/>
              <w:rPr>
                <w:sz w:val="20"/>
                <w:szCs w:val="20"/>
                <w:color w:val="auto"/>
              </w:rPr>
            </w:pPr>
            <w:r>
              <w:rPr>
                <w:rFonts w:ascii="Arial" w:cs="Arial" w:eastAsia="Arial" w:hAnsi="Arial"/>
                <w:sz w:val="18"/>
                <w:szCs w:val="18"/>
                <w:color w:val="auto"/>
                <w:w w:val="88"/>
              </w:rPr>
              <w:t>3/1/2030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2.172</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6,000</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88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90"/>
              </w:rPr>
              <w:t>(2)</w:t>
            </w:r>
          </w:p>
        </w:tc>
        <w:tc>
          <w:tcPr>
            <w:tcW w:w="28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880" w:type="dxa"/>
            <w:vAlign w:val="bottom"/>
            <w:gridSpan w:val="2"/>
          </w:tcPr>
          <w:p>
            <w:pPr>
              <w:jc w:val="center"/>
              <w:ind w:left="1152"/>
              <w:spacing w:after="0"/>
              <w:rPr>
                <w:sz w:val="20"/>
                <w:szCs w:val="20"/>
                <w:color w:val="auto"/>
              </w:rPr>
            </w:pPr>
            <w:r>
              <w:rPr>
                <w:rFonts w:ascii="Arial" w:cs="Arial" w:eastAsia="Arial" w:hAnsi="Arial"/>
                <w:sz w:val="18"/>
                <w:szCs w:val="18"/>
                <w:color w:val="auto"/>
                <w:w w:val="90"/>
              </w:rPr>
              <w:t>(2)</w:t>
            </w:r>
          </w:p>
        </w:tc>
        <w:tc>
          <w:tcPr>
            <w:tcW w:w="2860" w:type="dxa"/>
            <w:vAlign w:val="bottom"/>
            <w:gridSpan w:val="3"/>
          </w:tcPr>
          <w:p>
            <w:pPr>
              <w:jc w:val="right"/>
              <w:ind w:right="74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outstanding SBA debentures</w:t>
            </w: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139,300</w:t>
            </w:r>
          </w:p>
        </w:tc>
        <w:tc>
          <w:tcPr>
            <w:tcW w:w="14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280" w:hanging="431"/>
        <w:spacing w:after="0" w:line="251"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ind w:left="680" w:right="280" w:hanging="431"/>
        <w:spacing w:after="0" w:line="246"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issued $6,000 and $5,500 in SBA debentures which will pool in September 2021. Until the pooling date, the debentures bear interest at a fixed rate and an interim interest rate of 0.60% and 0.55%, respectively. The Company expects the current interim interest rate will reset to a higher long-term fixed rate on the pooling date.</w:t>
      </w:r>
    </w:p>
    <w:p>
      <w:pPr>
        <w:spacing w:after="0" w:line="195" w:lineRule="exact"/>
        <w:rPr>
          <w:sz w:val="20"/>
          <w:szCs w:val="20"/>
          <w:color w:val="auto"/>
        </w:rPr>
      </w:pPr>
    </w:p>
    <w:p>
      <w:pPr>
        <w:jc w:val="both"/>
        <w:ind w:left="240" w:right="80" w:firstLine="430"/>
        <w:spacing w:after="0" w:line="300" w:lineRule="auto"/>
        <w:rPr>
          <w:sz w:val="20"/>
          <w:szCs w:val="20"/>
          <w:color w:val="auto"/>
        </w:rPr>
      </w:pPr>
      <w:r>
        <w:rPr>
          <w:rFonts w:ascii="Arial" w:cs="Arial" w:eastAsia="Arial" w:hAnsi="Arial"/>
          <w:sz w:val="16"/>
          <w:szCs w:val="16"/>
          <w:i w:val="1"/>
          <w:iCs w:val="1"/>
          <w:color w:val="auto"/>
        </w:rPr>
        <w:t xml:space="preserve">Notes: </w:t>
      </w:r>
      <w:r>
        <w:rPr>
          <w:rFonts w:ascii="Arial" w:cs="Arial" w:eastAsia="Arial" w:hAnsi="Arial"/>
          <w:sz w:val="16"/>
          <w:szCs w:val="16"/>
          <w:color w:val="auto"/>
        </w:rPr>
        <w:t>On February 2, 2018, the Company closed the public offering of approximately $43,478 in aggregate principal amount of its 5.875% notes</w:t>
      </w:r>
      <w:r>
        <w:rPr>
          <w:rFonts w:ascii="Arial" w:cs="Arial" w:eastAsia="Arial" w:hAnsi="Arial"/>
          <w:sz w:val="16"/>
          <w:szCs w:val="16"/>
          <w:i w:val="1"/>
          <w:iCs w:val="1"/>
          <w:color w:val="auto"/>
        </w:rPr>
        <w:t xml:space="preserve"> </w:t>
      </w:r>
      <w:r>
        <w:rPr>
          <w:rFonts w:ascii="Arial" w:cs="Arial" w:eastAsia="Arial" w:hAnsi="Arial"/>
          <w:sz w:val="16"/>
          <w:szCs w:val="16"/>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451" w:right="5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260"/>
        <w:spacing w:after="0" w:line="291" w:lineRule="auto"/>
        <w:rPr>
          <w:sz w:val="20"/>
          <w:szCs w:val="20"/>
          <w:color w:val="auto"/>
        </w:rPr>
      </w:pPr>
      <w:r>
        <w:rPr>
          <w:rFonts w:ascii="Arial" w:cs="Arial" w:eastAsia="Arial" w:hAnsi="Arial"/>
          <w:sz w:val="16"/>
          <w:szCs w:val="16"/>
          <w:color w:val="auto"/>
        </w:rPr>
        <w:t>underwriting discounts of approximately $1,500 and offering expenses of $438, were approximately $48,062. The 2023 Notes mature on February 1, 2023 and bear interest at a rate of 5.875%. The 2023 Notes may be redeemed in whole or in part at any time or from time to time at the Company’s option on or after February 1, 2020. On January 19, 2021, the Company redeemed $50,000 of the aggregate principal amount on the 2023 Notes, resulting in a realized loss on extinguishment of debt of approximately $794.</w:t>
      </w:r>
    </w:p>
    <w:p>
      <w:pPr>
        <w:spacing w:after="0" w:line="162" w:lineRule="exact"/>
        <w:rPr>
          <w:sz w:val="20"/>
          <w:szCs w:val="20"/>
          <w:color w:val="auto"/>
        </w:rPr>
      </w:pPr>
    </w:p>
    <w:p>
      <w:pPr>
        <w:ind w:left="240" w:right="80" w:firstLine="430"/>
        <w:spacing w:after="0" w:line="291"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w:t>
      </w:r>
    </w:p>
    <w:p>
      <w:pPr>
        <w:spacing w:after="0" w:line="162" w:lineRule="exact"/>
        <w:rPr>
          <w:sz w:val="20"/>
          <w:szCs w:val="20"/>
          <w:color w:val="auto"/>
        </w:rPr>
      </w:pPr>
    </w:p>
    <w:p>
      <w:pPr>
        <w:ind w:left="240" w:right="20" w:firstLine="430"/>
        <w:spacing w:after="0" w:line="287" w:lineRule="auto"/>
        <w:rPr>
          <w:sz w:val="20"/>
          <w:szCs w:val="20"/>
          <w:color w:val="auto"/>
        </w:rPr>
      </w:pPr>
      <w:r>
        <w:rPr>
          <w:rFonts w:ascii="Arial" w:cs="Arial" w:eastAsia="Arial" w:hAnsi="Arial"/>
          <w:sz w:val="16"/>
          <w:szCs w:val="16"/>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 On February 16, 2021, the Company redeemed $50,000 of the $69,000 aggregate principal amount on the February 2024 Notes, resulting in a realized loss on extinguishment of debt of approximately $1,081.</w:t>
      </w:r>
    </w:p>
    <w:p>
      <w:pPr>
        <w:spacing w:after="0" w:line="165" w:lineRule="exact"/>
        <w:rPr>
          <w:sz w:val="20"/>
          <w:szCs w:val="20"/>
          <w:color w:val="auto"/>
        </w:rPr>
      </w:pPr>
    </w:p>
    <w:p>
      <w:pPr>
        <w:ind w:left="240" w:right="40" w:firstLine="430"/>
        <w:spacing w:after="0" w:line="282" w:lineRule="auto"/>
        <w:rPr>
          <w:sz w:val="20"/>
          <w:szCs w:val="20"/>
          <w:color w:val="auto"/>
        </w:rPr>
      </w:pPr>
      <w:r>
        <w:rPr>
          <w:rFonts w:ascii="Arial" w:cs="Arial" w:eastAsia="Arial" w:hAnsi="Arial"/>
          <w:sz w:val="16"/>
          <w:szCs w:val="16"/>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68" w:lineRule="exact"/>
        <w:rPr>
          <w:sz w:val="20"/>
          <w:szCs w:val="20"/>
          <w:color w:val="auto"/>
        </w:rPr>
      </w:pPr>
    </w:p>
    <w:p>
      <w:pPr>
        <w:ind w:left="240" w:firstLine="430"/>
        <w:spacing w:after="0" w:line="247" w:lineRule="auto"/>
        <w:rPr>
          <w:sz w:val="20"/>
          <w:szCs w:val="20"/>
          <w:color w:val="auto"/>
        </w:rPr>
      </w:pPr>
      <w:r>
        <w:rPr>
          <w:rFonts w:ascii="Arial" w:cs="Arial" w:eastAsia="Arial" w:hAnsi="Arial"/>
          <w:sz w:val="18"/>
          <w:szCs w:val="18"/>
          <w:color w:val="auto"/>
        </w:rPr>
        <w:t>On December 23, 2020, the Company closed the offering of approximately $125,000 in aggregate principal amount of its 4.75% notes due 2026, or the “2026 Notes” (collectively with the Public Notes, the “Notes”). The total net proceeds to the Company from the 2026 Notes after deducting underwriting discounts of approximately $2,500 and estimated offering expenses of $400, were approximately $122,100. The 2026 Notes will mature on January 31, 2026 and bear interest at a rate of 4.75%. The 2026 Notes may be redeemed in whole or in part at any time or from time to time at our option subject to a make whole provision if redeemed more than three months prior to maturity. Interest on the 2026 Notes is payable on January 31 and July 31 of each year, beginning July 31, 2021. The Company does not intend to list the 2026 Notes on any securities exchange or automated dealer quotation system.</w:t>
      </w:r>
    </w:p>
    <w:p>
      <w:pPr>
        <w:spacing w:after="0" w:line="195" w:lineRule="exact"/>
        <w:rPr>
          <w:sz w:val="20"/>
          <w:szCs w:val="20"/>
          <w:color w:val="auto"/>
        </w:rPr>
      </w:pPr>
    </w:p>
    <w:p>
      <w:pPr>
        <w:ind w:left="240" w:right="100" w:firstLine="430"/>
        <w:spacing w:after="0" w:line="250" w:lineRule="auto"/>
        <w:rPr>
          <w:sz w:val="20"/>
          <w:szCs w:val="20"/>
          <w:color w:val="auto"/>
        </w:rPr>
      </w:pPr>
      <w:r>
        <w:rPr>
          <w:rFonts w:ascii="Arial" w:cs="Arial" w:eastAsia="Arial" w:hAnsi="Arial"/>
          <w:sz w:val="18"/>
          <w:szCs w:val="18"/>
          <w:color w:val="auto"/>
        </w:rPr>
        <w:t>The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Secured Borrowing</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of June 30, 2021, secured borrowings at fair value totaled $13,500 and the fair value of the associated loans included in investments was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$13,500. As of December 31, 2020, there were no secured borrowings outstanding. These secured borrowings were created as a result of our completion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 partial loan sales of certain unitranche loan assets that did not meet the definition of a “participating interest.” As a result, sale treatment was not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permitted and these partial loan sales were treated as secured borrowings. The weighted average interest rate on our secured borrowings was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approximately 4.5% as of June 30, 2021.</w:t>
      </w:r>
    </w:p>
    <w:p>
      <w:pPr>
        <w:spacing w:after="0" w:line="203" w:lineRule="exact"/>
        <w:rPr>
          <w:sz w:val="20"/>
          <w:szCs w:val="20"/>
          <w:color w:val="auto"/>
        </w:rPr>
      </w:pPr>
    </w:p>
    <w:p>
      <w:pPr>
        <w:ind w:left="240" w:right="80" w:firstLine="430"/>
        <w:spacing w:after="0" w:line="287" w:lineRule="auto"/>
        <w:rPr>
          <w:sz w:val="20"/>
          <w:szCs w:val="20"/>
          <w:color w:val="auto"/>
        </w:rPr>
      </w:pPr>
      <w:r>
        <w:rPr>
          <w:rFonts w:ascii="Arial" w:cs="Arial" w:eastAsia="Arial" w:hAnsi="Arial"/>
          <w:sz w:val="16"/>
          <w:szCs w:val="16"/>
          <w:color w:val="auto"/>
        </w:rPr>
        <w:t>As of June 30, 2021, and December 31, 2020, the aggregate amount outstanding of the senior securities (including secured borrowings) issued by the Company was $220,750 and $307,250, respectively, for which our asset coverage was 294.5% and 233.7%, respectively. The SBA-guaranteed debentures are not subject to the asset coverage requirements of the 1940 Act as a result of exemptive relief granted to us by the SEC effective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320" w:top="451" w:right="5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Financing Expenses</w:t>
      </w:r>
    </w:p>
    <w:p>
      <w:pPr>
        <w:spacing w:after="0" w:line="109" w:lineRule="exact"/>
        <w:rPr>
          <w:sz w:val="20"/>
          <w:szCs w:val="20"/>
          <w:color w:val="auto"/>
        </w:rPr>
      </w:pPr>
    </w:p>
    <w:p>
      <w:pPr>
        <w:ind w:left="240" w:right="420" w:firstLine="430"/>
        <w:spacing w:after="0" w:line="262" w:lineRule="auto"/>
        <w:rPr>
          <w:sz w:val="20"/>
          <w:szCs w:val="20"/>
          <w:color w:val="auto"/>
        </w:rPr>
      </w:pPr>
      <w:r>
        <w:rPr>
          <w:rFonts w:ascii="Arial" w:cs="Arial" w:eastAsia="Arial" w:hAnsi="Arial"/>
          <w:sz w:val="18"/>
          <w:szCs w:val="18"/>
          <w:color w:val="auto"/>
        </w:rPr>
        <w:t>Interest and fees related to the Company’s debt for the three and six months ended June 30, 2021 and 2020 which are included in interest and financing expenses on the consolidated statements of operations, were as follows: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78"/>
              <w:spacing w:after="0"/>
              <w:rPr>
                <w:sz w:val="20"/>
                <w:szCs w:val="20"/>
                <w:color w:val="auto"/>
              </w:rPr>
            </w:pPr>
            <w:r>
              <w:rPr>
                <w:rFonts w:ascii="Arial" w:cs="Arial" w:eastAsia="Arial" w:hAnsi="Arial"/>
                <w:sz w:val="14"/>
                <w:szCs w:val="14"/>
                <w:b w:val="1"/>
                <w:bCs w:val="1"/>
                <w:color w:val="auto"/>
                <w:w w:val="98"/>
              </w:rPr>
              <w:t>Three Months Ended June 30, 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78"/>
              <w:spacing w:after="0"/>
              <w:rPr>
                <w:sz w:val="20"/>
                <w:szCs w:val="20"/>
                <w:color w:val="auto"/>
              </w:rPr>
            </w:pPr>
            <w:r>
              <w:rPr>
                <w:rFonts w:ascii="Arial" w:cs="Arial" w:eastAsia="Arial" w:hAnsi="Arial"/>
                <w:sz w:val="14"/>
                <w:szCs w:val="14"/>
                <w:b w:val="1"/>
                <w:bCs w:val="1"/>
                <w:color w:val="auto"/>
                <w:w w:val="98"/>
              </w:rPr>
              <w:t>Three Months Ended June 30, 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20"/>
              <w:spacing w:after="0" w:line="116" w:lineRule="exact"/>
              <w:rPr>
                <w:sz w:val="20"/>
                <w:szCs w:val="20"/>
                <w:color w:val="auto"/>
              </w:rPr>
            </w:pPr>
            <w:r>
              <w:rPr>
                <w:rFonts w:ascii="Arial" w:cs="Arial" w:eastAsia="Arial" w:hAnsi="Arial"/>
                <w:sz w:val="13"/>
                <w:szCs w:val="13"/>
                <w:b w:val="1"/>
                <w:bCs w:val="1"/>
                <w:color w:val="auto"/>
              </w:rPr>
              <w:t>SBA</w:t>
            </w:r>
          </w:p>
        </w:tc>
        <w:tc>
          <w:tcPr>
            <w:tcW w:w="240" w:type="dxa"/>
            <w:vAlign w:val="bottom"/>
          </w:tcPr>
          <w:p>
            <w:pPr>
              <w:spacing w:after="0"/>
              <w:rPr>
                <w:sz w:val="10"/>
                <w:szCs w:val="10"/>
                <w:color w:val="auto"/>
              </w:rPr>
            </w:pPr>
          </w:p>
        </w:tc>
        <w:tc>
          <w:tcPr>
            <w:tcW w:w="4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Credit</w:t>
            </w:r>
          </w:p>
        </w:tc>
        <w:tc>
          <w:tcPr>
            <w:tcW w:w="240" w:type="dxa"/>
            <w:vAlign w:val="bottom"/>
          </w:tcPr>
          <w:p>
            <w:pPr>
              <w:spacing w:after="0"/>
              <w:rPr>
                <w:sz w:val="10"/>
                <w:szCs w:val="10"/>
                <w:color w:val="auto"/>
              </w:rPr>
            </w:pPr>
          </w:p>
        </w:tc>
        <w:tc>
          <w:tcPr>
            <w:tcW w:w="5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7"/>
              </w:rPr>
              <w:t>Notes</w:t>
            </w:r>
          </w:p>
        </w:tc>
        <w:tc>
          <w:tcPr>
            <w:tcW w:w="220" w:type="dxa"/>
            <w:vAlign w:val="bottom"/>
          </w:tcPr>
          <w:p>
            <w:pPr>
              <w:spacing w:after="0"/>
              <w:rPr>
                <w:sz w:val="10"/>
                <w:szCs w:val="10"/>
                <w:color w:val="auto"/>
              </w:rPr>
            </w:pPr>
          </w:p>
        </w:tc>
        <w:tc>
          <w:tcPr>
            <w:tcW w:w="5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20"/>
              <w:spacing w:after="0" w:line="116" w:lineRule="exact"/>
              <w:rPr>
                <w:sz w:val="20"/>
                <w:szCs w:val="20"/>
                <w:color w:val="auto"/>
              </w:rPr>
            </w:pPr>
            <w:r>
              <w:rPr>
                <w:rFonts w:ascii="Arial" w:cs="Arial" w:eastAsia="Arial" w:hAnsi="Arial"/>
                <w:sz w:val="13"/>
                <w:szCs w:val="13"/>
                <w:b w:val="1"/>
                <w:bCs w:val="1"/>
                <w:color w:val="auto"/>
              </w:rPr>
              <w:t>SBA</w:t>
            </w:r>
          </w:p>
        </w:tc>
        <w:tc>
          <w:tcPr>
            <w:tcW w:w="240" w:type="dxa"/>
            <w:vAlign w:val="bottom"/>
          </w:tcPr>
          <w:p>
            <w:pPr>
              <w:spacing w:after="0"/>
              <w:rPr>
                <w:sz w:val="10"/>
                <w:szCs w:val="10"/>
                <w:color w:val="auto"/>
              </w:rPr>
            </w:pPr>
          </w:p>
        </w:tc>
        <w:tc>
          <w:tcPr>
            <w:tcW w:w="4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Credit</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Notes</w:t>
            </w:r>
          </w:p>
        </w:tc>
        <w:tc>
          <w:tcPr>
            <w:tcW w:w="240" w:type="dxa"/>
            <w:vAlign w:val="bottom"/>
          </w:tcPr>
          <w:p>
            <w:pPr>
              <w:spacing w:after="0"/>
              <w:rPr>
                <w:sz w:val="10"/>
                <w:szCs w:val="10"/>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debentures</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Facility</w:t>
            </w: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debentures</w:t>
            </w:r>
          </w:p>
        </w:tc>
        <w:tc>
          <w:tcPr>
            <w:tcW w:w="70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Facility</w:t>
            </w: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1,038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9"/>
              </w:rPr>
              <w:t>371</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$2,619</w:t>
            </w: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$4,028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1,301</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9"/>
              </w:rPr>
              <w:t>395</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$2,619</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$4,315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Six Months Ended June 30, 2021</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Six Months Ended June 30, 2020</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460"/>
              <w:spacing w:after="0" w:line="116"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20" w:type="dxa"/>
            <w:vAlign w:val="bottom"/>
            <w:gridSpan w:val="3"/>
          </w:tcPr>
          <w:p>
            <w:pPr>
              <w:jc w:val="right"/>
              <w:ind w:right="300"/>
              <w:spacing w:after="0" w:line="116"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Notes</w:t>
            </w:r>
          </w:p>
        </w:tc>
        <w:tc>
          <w:tcPr>
            <w:tcW w:w="60" w:type="dxa"/>
            <w:vAlign w:val="bottom"/>
          </w:tcPr>
          <w:p>
            <w:pPr>
              <w:spacing w:after="0"/>
              <w:rPr>
                <w:sz w:val="10"/>
                <w:szCs w:val="10"/>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440"/>
              <w:spacing w:after="0" w:line="116"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40" w:type="dxa"/>
            <w:vAlign w:val="bottom"/>
            <w:gridSpan w:val="3"/>
          </w:tcPr>
          <w:p>
            <w:pPr>
              <w:ind w:left="60"/>
              <w:spacing w:after="0" w:line="116"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Notes</w:t>
            </w:r>
          </w:p>
        </w:tc>
        <w:tc>
          <w:tcPr>
            <w:tcW w:w="60" w:type="dxa"/>
            <w:vAlign w:val="bottom"/>
          </w:tcPr>
          <w:p>
            <w:pPr>
              <w:spacing w:after="0"/>
              <w:rPr>
                <w:sz w:val="10"/>
                <w:szCs w:val="10"/>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Facility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debentures</w:t>
            </w:r>
          </w:p>
        </w:tc>
        <w:tc>
          <w:tcPr>
            <w:tcW w:w="1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2,171</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733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$5,735</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$8,639</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2,633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854</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$5,238</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$8,725</w:t>
            </w: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6,357</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9,756</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1,020</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9,823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 average stated interest rate, period</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 xml:space="preserve">4.230% </w:t>
            </w: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 xml:space="preserve">4.484%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0.000%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5.055%</w:t>
            </w:r>
          </w:p>
        </w:tc>
        <w:tc>
          <w:tcPr>
            <w:tcW w:w="10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3.315%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5.749%</w:t>
            </w:r>
          </w:p>
        </w:tc>
        <w:tc>
          <w:tcPr>
            <w:tcW w:w="9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9"/>
              </w:rPr>
              <w:t>Unused commitment fee rate, period end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Weighted average stated interest rate at period end excludes Secured Borrowings</w:t>
      </w:r>
    </w:p>
    <w:p>
      <w:pPr>
        <w:spacing w:after="0" w:line="3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09" w:lineRule="exact"/>
        <w:rPr>
          <w:sz w:val="20"/>
          <w:szCs w:val="20"/>
          <w:color w:val="auto"/>
        </w:rPr>
      </w:pPr>
    </w:p>
    <w:p>
      <w:pPr>
        <w:ind w:left="240" w:right="340" w:firstLine="430"/>
        <w:spacing w:after="0" w:line="250" w:lineRule="auto"/>
        <w:rPr>
          <w:sz w:val="20"/>
          <w:szCs w:val="20"/>
          <w:color w:val="auto"/>
        </w:rPr>
      </w:pPr>
      <w:r>
        <w:rPr>
          <w:rFonts w:ascii="Arial" w:cs="Arial" w:eastAsia="Arial" w:hAnsi="Arial"/>
          <w:sz w:val="18"/>
          <w:szCs w:val="18"/>
          <w:color w:val="auto"/>
        </w:rPr>
        <w:t>During the six months ended June 30, 2021 and 2020, the Company prepaid $19,200 and $7,000 of SBA debentures, respectively, which were scheduled to mature on dates ranging from 2025 to 2028 and 2024 to 2028, respectively. As a result of the prepayments, the Company recognized realized losses on extinguishment of debt of $305 and $125, respectively, equal to the write-off of the related unamortized deferred financing costs, during the six months ended June 30, 2021 and 2020.</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109" w:lineRule="exact"/>
        <w:rPr>
          <w:sz w:val="20"/>
          <w:szCs w:val="20"/>
          <w:color w:val="auto"/>
        </w:rPr>
      </w:pPr>
    </w:p>
    <w:p>
      <w:pPr>
        <w:ind w:left="240" w:right="80" w:firstLine="430"/>
        <w:spacing w:after="0" w:line="253"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Notes as of June 30, 2021 and December 31, 2020 were as follows:</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360"/>
              <w:spacing w:after="0" w:line="116"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jc w:val="right"/>
              <w:ind w:right="260"/>
              <w:spacing w:after="0" w:line="116"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360"/>
              <w:spacing w:after="0" w:line="116"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jc w:val="right"/>
              <w:ind w:right="260"/>
              <w:spacing w:after="0" w:line="116"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Facility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Facility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line="204"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1,750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Notes underwriting discounts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Notes debt issue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(8,859)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(7,501)</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gridSpan w:val="2"/>
            <w:vMerge w:val="continue"/>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3,452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824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4,393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8,669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2,996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1,048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6,956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140" w:firstLine="430"/>
        <w:spacing w:after="0" w:line="253"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June 30, 2021 and December 31, 2020:</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7"/>
              </w:rPr>
              <w:t>June 30, 2021</w:t>
            </w:r>
            <w:r>
              <w:rPr>
                <w:rFonts w:ascii="Arial" w:cs="Arial" w:eastAsia="Arial" w:hAnsi="Arial"/>
                <w:sz w:val="11"/>
                <w:szCs w:val="11"/>
                <w:b w:val="1"/>
                <w:bCs w:val="1"/>
                <w:color w:val="auto"/>
                <w:w w:val="97"/>
              </w:rPr>
              <w:t>(1)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jc w:val="right"/>
              <w:ind w:right="320"/>
              <w:spacing w:after="0" w:line="116"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580" w:type="dxa"/>
            <w:vAlign w:val="bottom"/>
            <w:gridSpan w:val="3"/>
          </w:tcPr>
          <w:p>
            <w:pPr>
              <w:jc w:val="right"/>
              <w:ind w:right="160"/>
              <w:spacing w:after="0" w:line="116"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780" w:type="dxa"/>
            <w:vAlign w:val="bottom"/>
            <w:gridSpan w:val="2"/>
          </w:tcPr>
          <w:p>
            <w:pPr>
              <w:jc w:val="right"/>
              <w:ind w:right="320"/>
              <w:spacing w:after="0" w:line="116"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00" w:type="dxa"/>
            <w:vAlign w:val="bottom"/>
            <w:gridSpan w:val="3"/>
          </w:tcPr>
          <w:p>
            <w:pPr>
              <w:ind w:left="80"/>
              <w:spacing w:after="0" w:line="116"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debentures</w:t>
            </w:r>
          </w:p>
        </w:tc>
        <w:tc>
          <w:tcPr>
            <w:tcW w:w="6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debentures</w:t>
            </w:r>
          </w:p>
        </w:tc>
        <w:tc>
          <w:tcPr>
            <w:tcW w:w="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debt</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$139,300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ind w:right="17"/>
              <w:spacing w:after="0" w:line="204"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$207,250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$346,550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5"/>
              </w:rPr>
              <w:t>$147,000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4"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$307,250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$454,250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5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(824)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(4,393)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(8,669)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(1,048)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(6,956)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135,848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(824)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202,857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337,881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144,004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300,294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Total excludes $13,500 of Secured Borrowings</w:t>
      </w:r>
    </w:p>
    <w:p>
      <w:pPr>
        <w:spacing w:after="0" w:line="200" w:lineRule="exact"/>
        <w:rPr>
          <w:sz w:val="20"/>
          <w:szCs w:val="20"/>
          <w:color w:val="auto"/>
        </w:rPr>
      </w:pP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As of June 30, 2021, the Company’s debt liabilities are scheduled to mature as follows </w:t>
      </w:r>
      <w:r>
        <w:rPr>
          <w:rFonts w:ascii="Arial" w:cs="Arial" w:eastAsia="Arial" w:hAnsi="Arial"/>
          <w:sz w:val="14"/>
          <w:szCs w:val="14"/>
          <w:color w:val="auto"/>
        </w:rPr>
        <w:t>(1)</w:t>
      </w:r>
      <w:r>
        <w:rPr>
          <w:rFonts w:ascii="Arial" w:cs="Arial" w:eastAsia="Arial" w:hAnsi="Arial"/>
          <w:sz w:val="18"/>
          <w:szCs w:val="18"/>
          <w:color w:val="auto"/>
        </w:rPr>
        <w:t>:</w:t>
      </w: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320" w:top="451" w:right="579" w:bottom="10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SBA</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Credit</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Notes</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1980" w:type="dxa"/>
            <w:vAlign w:val="bottom"/>
            <w:gridSpan w:val="3"/>
          </w:tcPr>
          <w:p>
            <w:pPr>
              <w:ind w:left="1300"/>
              <w:spacing w:after="0"/>
              <w:rPr>
                <w:sz w:val="20"/>
                <w:szCs w:val="20"/>
                <w:color w:val="auto"/>
              </w:rPr>
            </w:pPr>
            <w:r>
              <w:rPr>
                <w:rFonts w:ascii="Arial" w:cs="Arial" w:eastAsia="Arial" w:hAnsi="Arial"/>
                <w:sz w:val="14"/>
                <w:szCs w:val="14"/>
                <w:b w:val="1"/>
                <w:bCs w:val="1"/>
                <w:color w:val="auto"/>
                <w:w w:val="87"/>
              </w:rPr>
              <w:t>debentures</w:t>
            </w:r>
          </w:p>
        </w:tc>
        <w:tc>
          <w:tcPr>
            <w:tcW w:w="1960" w:type="dxa"/>
            <w:vAlign w:val="bottom"/>
            <w:gridSpan w:val="3"/>
          </w:tcPr>
          <w:p>
            <w:pPr>
              <w:ind w:left="1340"/>
              <w:spacing w:after="0"/>
              <w:rPr>
                <w:sz w:val="20"/>
                <w:szCs w:val="20"/>
                <w:color w:val="auto"/>
              </w:rPr>
            </w:pPr>
            <w:r>
              <w:rPr>
                <w:rFonts w:ascii="Arial" w:cs="Arial" w:eastAsia="Arial" w:hAnsi="Arial"/>
                <w:sz w:val="14"/>
                <w:szCs w:val="14"/>
                <w:b w:val="1"/>
                <w:bCs w:val="1"/>
                <w:color w:val="auto"/>
                <w:w w:val="91"/>
              </w:rPr>
              <w:t xml:space="preserve">Facility </w:t>
            </w:r>
            <w:r>
              <w:rPr>
                <w:rFonts w:ascii="Arial" w:cs="Arial" w:eastAsia="Arial" w:hAnsi="Arial"/>
                <w:sz w:val="11"/>
                <w:szCs w:val="11"/>
                <w:b w:val="1"/>
                <w:bCs w:val="1"/>
                <w:color w:val="auto"/>
                <w:w w:val="91"/>
              </w:rPr>
              <w:t>(2)</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4"/>
              </w:rPr>
              <w:t>2021</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60"/>
              <w:spacing w:after="0" w:line="204"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0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2023</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700" w:type="dxa"/>
            <w:vAlign w:val="bottom"/>
          </w:tcPr>
          <w:p>
            <w:pPr>
              <w:jc w:val="center"/>
              <w:spacing w:after="0"/>
              <w:rPr>
                <w:sz w:val="20"/>
                <w:szCs w:val="20"/>
                <w:color w:val="auto"/>
              </w:rPr>
            </w:pPr>
            <w:r>
              <w:rPr>
                <w:rFonts w:ascii="Arial" w:cs="Arial" w:eastAsia="Arial" w:hAnsi="Arial"/>
                <w:sz w:val="18"/>
                <w:szCs w:val="18"/>
                <w:color w:val="auto"/>
                <w:w w:val="84"/>
              </w:rPr>
              <w:t>2024</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82,250</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2025</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0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101,800</w:t>
            </w:r>
          </w:p>
        </w:tc>
        <w:tc>
          <w:tcPr>
            <w:tcW w:w="1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125,000</w:t>
            </w:r>
          </w:p>
        </w:tc>
        <w:tc>
          <w:tcPr>
            <w:tcW w:w="1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226,800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380" w:type="dxa"/>
            <w:vAlign w:val="bottom"/>
            <w:gridSpan w:val="2"/>
            <w:shd w:val="clear" w:color="auto" w:fill="CCEEFF"/>
          </w:tcPr>
          <w:p>
            <w:pPr>
              <w:ind w:left="130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139,300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207,250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346,550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320" w:hanging="431"/>
        <w:spacing w:after="0" w:line="280"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680" w:hanging="431"/>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Credit Facility matures on April 24, 2023. As of June 30, 2021, there were no outstanding borrowings under the Credit Facility.</w:t>
      </w:r>
    </w:p>
    <w:p>
      <w:pPr>
        <w:spacing w:after="0" w:line="26" w:lineRule="exact"/>
        <w:rPr>
          <w:rFonts w:ascii="Arial" w:cs="Arial" w:eastAsia="Arial" w:hAnsi="Arial"/>
          <w:sz w:val="16"/>
          <w:szCs w:val="16"/>
          <w:color w:val="auto"/>
        </w:rPr>
      </w:pPr>
    </w:p>
    <w:p>
      <w:pPr>
        <w:ind w:left="680" w:hanging="43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excludes $13,500 of secured borrowings.</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5" w:lineRule="exact"/>
        <w:rPr>
          <w:sz w:val="20"/>
          <w:szCs w:val="20"/>
          <w:color w:val="auto"/>
        </w:rPr>
      </w:pPr>
    </w:p>
    <w:p>
      <w:pPr>
        <w:jc w:val="both"/>
        <w:ind w:left="240" w:right="740" w:firstLine="430"/>
        <w:spacing w:after="0" w:line="25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$45,388 and $5,645 as of June 30, 2021 and December 31, 2020, respectively. Such outstanding commitments are summarized in the following table:</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614"/>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16"/>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Company—Investment</w:t>
            </w: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94"/>
              <w:spacing w:after="0" w:line="116" w:lineRule="exact"/>
              <w:rPr>
                <w:sz w:val="20"/>
                <w:szCs w:val="20"/>
                <w:color w:val="auto"/>
              </w:rPr>
            </w:pPr>
            <w:r>
              <w:rPr>
                <w:rFonts w:ascii="Arial" w:cs="Arial" w:eastAsia="Arial" w:hAnsi="Arial"/>
                <w:sz w:val="13"/>
                <w:szCs w:val="13"/>
                <w:b w:val="1"/>
                <w:bCs w:val="1"/>
                <w:color w:val="auto"/>
              </w:rPr>
              <w:t>Total</w:t>
            </w: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4"/>
              <w:spacing w:after="0" w:line="116" w:lineRule="exact"/>
              <w:rPr>
                <w:sz w:val="20"/>
                <w:szCs w:val="20"/>
                <w:color w:val="auto"/>
              </w:rPr>
            </w:pPr>
            <w:r>
              <w:rPr>
                <w:rFonts w:ascii="Arial" w:cs="Arial" w:eastAsia="Arial" w:hAnsi="Arial"/>
                <w:sz w:val="13"/>
                <w:szCs w:val="13"/>
                <w:b w:val="1"/>
                <w:bCs w:val="1"/>
                <w:color w:val="auto"/>
                <w:w w:val="98"/>
              </w:rPr>
              <w:t>Unfunded</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100"/>
              <w:spacing w:after="0" w:line="116" w:lineRule="exact"/>
              <w:rPr>
                <w:sz w:val="20"/>
                <w:szCs w:val="20"/>
                <w:color w:val="auto"/>
              </w:rPr>
            </w:pPr>
            <w:r>
              <w:rPr>
                <w:rFonts w:ascii="Arial" w:cs="Arial" w:eastAsia="Arial" w:hAnsi="Arial"/>
                <w:sz w:val="13"/>
                <w:szCs w:val="13"/>
                <w:b w:val="1"/>
                <w:bCs w:val="1"/>
                <w:color w:val="auto"/>
              </w:rPr>
              <w:t>Total</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20"/>
              <w:spacing w:after="0" w:line="116" w:lineRule="exact"/>
              <w:rPr>
                <w:sz w:val="20"/>
                <w:szCs w:val="20"/>
                <w:color w:val="auto"/>
              </w:rPr>
            </w:pPr>
            <w:r>
              <w:rPr>
                <w:rFonts w:ascii="Arial" w:cs="Arial" w:eastAsia="Arial" w:hAnsi="Arial"/>
                <w:sz w:val="13"/>
                <w:szCs w:val="13"/>
                <w:b w:val="1"/>
                <w:bCs w:val="1"/>
                <w:color w:val="auto"/>
              </w:rPr>
              <w:t>Unfunded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Commitment</w:t>
            </w:r>
          </w:p>
        </w:tc>
        <w:tc>
          <w:tcPr>
            <w:tcW w:w="360" w:type="dxa"/>
            <w:vAlign w:val="bottom"/>
          </w:tcPr>
          <w:p>
            <w:pPr>
              <w:spacing w:after="0"/>
              <w:rPr>
                <w:sz w:val="14"/>
                <w:szCs w:val="14"/>
                <w:color w:val="auto"/>
              </w:rPr>
            </w:pPr>
          </w:p>
        </w:tc>
        <w:tc>
          <w:tcPr>
            <w:tcW w:w="1000" w:type="dxa"/>
            <w:vAlign w:val="bottom"/>
            <w:gridSpan w:val="3"/>
          </w:tcPr>
          <w:p>
            <w:pPr>
              <w:ind w:left="200"/>
              <w:spacing w:after="0"/>
              <w:rPr>
                <w:sz w:val="20"/>
                <w:szCs w:val="20"/>
                <w:color w:val="auto"/>
              </w:rPr>
            </w:pPr>
            <w:r>
              <w:rPr>
                <w:rFonts w:ascii="Arial" w:cs="Arial" w:eastAsia="Arial" w:hAnsi="Arial"/>
                <w:sz w:val="14"/>
                <w:szCs w:val="14"/>
                <w:b w:val="1"/>
                <w:bCs w:val="1"/>
                <w:color w:val="auto"/>
                <w:w w:val="91"/>
              </w:rPr>
              <w:t>Commitment</w:t>
            </w:r>
          </w:p>
        </w:tc>
        <w:tc>
          <w:tcPr>
            <w:tcW w:w="360" w:type="dxa"/>
            <w:vAlign w:val="bottom"/>
          </w:tcPr>
          <w:p>
            <w:pPr>
              <w:spacing w:after="0"/>
              <w:rPr>
                <w:sz w:val="14"/>
                <w:szCs w:val="14"/>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Commitment</w:t>
            </w: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6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w w:val="98"/>
              </w:rPr>
              <w:t>American AllWaste LLC (dba WasteWater Transport Services)—Delayed Draw Commitment</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3,900</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3,900</w:t>
            </w:r>
          </w:p>
        </w:tc>
        <w:tc>
          <w:tcPr>
            <w:tcW w:w="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tcPr>
          <w:p>
            <w:pPr>
              <w:spacing w:after="0" w:line="145" w:lineRule="exact"/>
              <w:rPr>
                <w:sz w:val="20"/>
                <w:szCs w:val="20"/>
                <w:color w:val="auto"/>
              </w:rPr>
            </w:pPr>
            <w:r>
              <w:rPr>
                <w:rFonts w:ascii="Arial" w:cs="Arial" w:eastAsia="Arial" w:hAnsi="Arial"/>
                <w:sz w:val="13"/>
                <w:szCs w:val="13"/>
                <w:color w:val="auto"/>
              </w:rPr>
              <w:t>Combined Systems, Inc.—Revolving Loan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4,000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550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4,000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1,050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CRS Solutions Holdings, LLC (dba CRS Texas)—Common Equity (Units)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246</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tcPr>
          <w:p>
            <w:pPr>
              <w:spacing w:after="0" w:line="145" w:lineRule="exact"/>
              <w:rPr>
                <w:sz w:val="20"/>
                <w:szCs w:val="20"/>
                <w:color w:val="auto"/>
              </w:rPr>
            </w:pPr>
            <w:r>
              <w:rPr>
                <w:rFonts w:ascii="Arial" w:cs="Arial" w:eastAsia="Arial" w:hAnsi="Arial"/>
                <w:sz w:val="13"/>
                <w:szCs w:val="13"/>
                <w:color w:val="auto"/>
              </w:rPr>
              <w:t>Elements Brands, LLC—Revolving Loan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3,000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838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3,000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5" w:lineRule="exact"/>
              <w:rPr>
                <w:sz w:val="20"/>
                <w:szCs w:val="20"/>
                <w:color w:val="auto"/>
              </w:rPr>
            </w:pPr>
            <w:r>
              <w:rPr>
                <w:rFonts w:ascii="Arial" w:cs="Arial" w:eastAsia="Arial" w:hAnsi="Arial"/>
                <w:sz w:val="13"/>
                <w:szCs w:val="13"/>
                <w:color w:val="auto"/>
                <w:w w:val="82"/>
              </w:rPr>
              <w:t>838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Ipro Tech, LLC—First Lien Debt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14,373</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14,373</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tcPr>
          <w:p>
            <w:pPr>
              <w:spacing w:after="0" w:line="145" w:lineRule="exact"/>
              <w:rPr>
                <w:sz w:val="20"/>
                <w:szCs w:val="20"/>
                <w:color w:val="auto"/>
              </w:rPr>
            </w:pPr>
            <w:r>
              <w:rPr>
                <w:rFonts w:ascii="Arial" w:cs="Arial" w:eastAsia="Arial" w:hAnsi="Arial"/>
                <w:sz w:val="13"/>
                <w:szCs w:val="13"/>
                <w:color w:val="auto"/>
              </w:rPr>
              <w:t>Rhino Assembly Company, LLC—Delayed Draw Commitment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875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875</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Arial" w:cs="Arial" w:eastAsia="Arial" w:hAnsi="Arial"/>
                <w:sz w:val="13"/>
                <w:szCs w:val="13"/>
                <w:color w:val="auto"/>
                <w:w w:val="82"/>
              </w:rPr>
              <w:t>875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5" w:lineRule="exact"/>
              <w:rPr>
                <w:sz w:val="20"/>
                <w:szCs w:val="20"/>
                <w:color w:val="auto"/>
              </w:rPr>
            </w:pPr>
            <w:r>
              <w:rPr>
                <w:rFonts w:ascii="Arial" w:cs="Arial" w:eastAsia="Arial" w:hAnsi="Arial"/>
                <w:sz w:val="13"/>
                <w:szCs w:val="13"/>
                <w:color w:val="auto"/>
                <w:w w:val="82"/>
              </w:rPr>
              <w:t>875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Safety Products Group, LLC—Common Equity (Units)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2,852</w:t>
            </w:r>
          </w:p>
        </w:tc>
        <w:tc>
          <w:tcPr>
            <w:tcW w:w="3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2,852</w:t>
            </w:r>
          </w:p>
        </w:tc>
        <w:tc>
          <w:tcPr>
            <w:tcW w:w="3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 xml:space="preserve">2,852 </w:t>
            </w:r>
            <w:r>
              <w:rPr>
                <w:rFonts w:ascii="Arial" w:cs="Arial" w:eastAsia="Arial" w:hAnsi="Arial"/>
                <w:sz w:val="11"/>
                <w:szCs w:val="11"/>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 xml:space="preserve">2,852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tcPr>
          <w:p>
            <w:pPr>
              <w:spacing w:after="0" w:line="145" w:lineRule="exact"/>
              <w:rPr>
                <w:sz w:val="20"/>
                <w:szCs w:val="20"/>
                <w:color w:val="auto"/>
              </w:rPr>
            </w:pPr>
            <w:r>
              <w:rPr>
                <w:rFonts w:ascii="Arial" w:cs="Arial" w:eastAsia="Arial" w:hAnsi="Arial"/>
                <w:sz w:val="13"/>
                <w:szCs w:val="13"/>
                <w:color w:val="auto"/>
              </w:rPr>
              <w:t>Spectra A&amp;D Acquisition, Inc. (fka FDS Avionics Corp.)—Revolving Loan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4"/>
              <w:spacing w:after="0" w:line="14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Arial" w:cs="Arial" w:eastAsia="Arial" w:hAnsi="Arial"/>
                <w:sz w:val="13"/>
                <w:szCs w:val="13"/>
                <w:color w:val="auto"/>
                <w:w w:val="82"/>
              </w:rPr>
              <w:t>250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w w:val="98"/>
              </w:rPr>
              <w:t>Wonderware Holdings, LLC (dba CORE Business Technologies)—Delayed Draw Term Loan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2,000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2,000</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tcPr>
          <w:p>
            <w:pPr>
              <w:spacing w:after="0" w:line="145" w:lineRule="exact"/>
              <w:rPr>
                <w:sz w:val="20"/>
                <w:szCs w:val="20"/>
                <w:color w:val="auto"/>
              </w:rPr>
            </w:pPr>
            <w:r>
              <w:rPr>
                <w:rFonts w:ascii="Arial" w:cs="Arial" w:eastAsia="Arial" w:hAnsi="Arial"/>
                <w:sz w:val="13"/>
                <w:szCs w:val="13"/>
                <w:color w:val="auto"/>
              </w:rPr>
              <w:t>Worldwide Express Operations, LLC—Senior Subordinated Note</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20,000</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20,000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60"/>
              <w:spacing w:after="0" w:line="14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Total</w:t>
            </w:r>
          </w:p>
        </w:tc>
        <w:tc>
          <w:tcPr>
            <w:tcW w:w="520" w:type="dxa"/>
            <w:vAlign w:val="bottom"/>
            <w:gridSpan w:val="2"/>
            <w:shd w:val="clear" w:color="auto" w:fill="CCEEFF"/>
          </w:tcPr>
          <w:p>
            <w:pPr>
              <w:jc w:val="right"/>
              <w:ind w:right="31"/>
              <w:spacing w:after="0" w:line="14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51,246</w:t>
            </w: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45,388</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1"/>
              <w:spacing w:after="0" w:line="14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10,977</w:t>
            </w: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5,645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300" w:hanging="431"/>
        <w:spacing w:after="0" w:line="262"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8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Since commitments may expire without being drawn upon, the total commitment amount does not necessarily represent future cash requirements.</w:t>
      </w:r>
    </w:p>
    <w:p>
      <w:pPr>
        <w:spacing w:after="0" w:line="226" w:lineRule="exact"/>
        <w:rPr>
          <w:sz w:val="20"/>
          <w:szCs w:val="20"/>
          <w:color w:val="auto"/>
        </w:rPr>
      </w:pPr>
    </w:p>
    <w:p>
      <w:pPr>
        <w:ind w:left="240" w:firstLine="430"/>
        <w:spacing w:after="0" w:line="247"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95" w:lineRule="exact"/>
        <w:rPr>
          <w:sz w:val="20"/>
          <w:szCs w:val="20"/>
          <w:color w:val="auto"/>
        </w:rPr>
      </w:pPr>
    </w:p>
    <w:p>
      <w:pPr>
        <w:ind w:left="240" w:right="80" w:firstLine="430"/>
        <w:spacing w:after="0" w:line="300"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the normal course of business, the Company may be subject to legal and regulatory proceedings that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320" w:top="451" w:right="5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8. Common Stock</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Public Offerings of Common Stock</w:t>
      </w:r>
    </w:p>
    <w:p>
      <w:pPr>
        <w:spacing w:after="0" w:line="215" w:lineRule="exact"/>
        <w:rPr>
          <w:sz w:val="20"/>
          <w:szCs w:val="20"/>
          <w:color w:val="auto"/>
        </w:rPr>
      </w:pPr>
    </w:p>
    <w:p>
      <w:pPr>
        <w:ind w:left="240" w:right="80" w:firstLine="430"/>
        <w:spacing w:after="0" w:line="262"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Cumulative</w:t>
            </w:r>
          </w:p>
        </w:tc>
        <w:tc>
          <w:tcPr>
            <w:tcW w:w="17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0"/>
              </w:rPr>
              <w:t>Cumulative Gross</w:t>
            </w:r>
          </w:p>
        </w:tc>
        <w:tc>
          <w:tcPr>
            <w:tcW w:w="2720" w:type="dxa"/>
            <w:vAlign w:val="bottom"/>
            <w:gridSpan w:val="3"/>
          </w:tcPr>
          <w:p>
            <w:pPr>
              <w:jc w:val="center"/>
              <w:ind w:left="530"/>
              <w:spacing w:after="0"/>
              <w:rPr>
                <w:sz w:val="20"/>
                <w:szCs w:val="20"/>
                <w:color w:val="auto"/>
              </w:rPr>
            </w:pPr>
            <w:r>
              <w:rPr>
                <w:rFonts w:ascii="Arial" w:cs="Arial" w:eastAsia="Arial" w:hAnsi="Arial"/>
                <w:sz w:val="14"/>
                <w:szCs w:val="14"/>
                <w:b w:val="1"/>
                <w:bCs w:val="1"/>
                <w:color w:val="auto"/>
                <w:w w:val="92"/>
              </w:rPr>
              <w:t>Cumulative Underwriting Fees and</w:t>
            </w:r>
          </w:p>
        </w:tc>
        <w:tc>
          <w:tcPr>
            <w:tcW w:w="178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1"/>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1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8"/>
              </w:rPr>
              <w:t>Commissions and Offering Costs</w:t>
            </w: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80" w:type="dxa"/>
            <w:vAlign w:val="bottom"/>
            <w:gridSpan w:val="3"/>
            <w:vMerge w:val="continue"/>
          </w:tcPr>
          <w:p>
            <w:pPr>
              <w:spacing w:after="0"/>
              <w:rPr>
                <w:sz w:val="12"/>
                <w:szCs w:val="12"/>
                <w:color w:val="auto"/>
              </w:rPr>
            </w:pPr>
          </w:p>
        </w:tc>
        <w:tc>
          <w:tcPr>
            <w:tcW w:w="16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Number of Shares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01"/>
              <w:spacing w:after="0" w:line="145" w:lineRule="exact"/>
              <w:rPr>
                <w:sz w:val="20"/>
                <w:szCs w:val="20"/>
                <w:color w:val="auto"/>
              </w:rPr>
            </w:pPr>
            <w:r>
              <w:rPr>
                <w:rFonts w:ascii="Arial" w:cs="Arial" w:eastAsia="Arial" w:hAnsi="Arial"/>
                <w:sz w:val="14"/>
                <w:szCs w:val="14"/>
                <w:b w:val="1"/>
                <w:bCs w:val="1"/>
                <w:color w:val="auto"/>
                <w:w w:val="98"/>
              </w:rPr>
              <w:t>Proceeds</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jc w:val="center"/>
              <w:ind w:right="486"/>
              <w:spacing w:after="0"/>
              <w:rPr>
                <w:sz w:val="20"/>
                <w:szCs w:val="20"/>
                <w:color w:val="auto"/>
              </w:rPr>
            </w:pPr>
            <w:r>
              <w:rPr>
                <w:rFonts w:ascii="Arial" w:cs="Arial" w:eastAsia="Arial" w:hAnsi="Arial"/>
                <w:sz w:val="12"/>
                <w:szCs w:val="12"/>
                <w:b w:val="1"/>
                <w:bCs w:val="1"/>
                <w:color w:val="auto"/>
                <w:w w:val="95"/>
              </w:rPr>
              <w:t>(1)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6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Cumulative since IPO</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14,388,414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236,597</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8,989</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16.44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80" w:right="180" w:hanging="431"/>
        <w:spacing w:after="0" w:line="25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88"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No shares have been issued for the three and six months ended June 30, 2021 and 2020.</w:t>
      </w:r>
    </w:p>
    <w:p>
      <w:pPr>
        <w:spacing w:after="0" w:line="3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ATM Program</w:t>
      </w:r>
    </w:p>
    <w:p>
      <w:pPr>
        <w:spacing w:after="0" w:line="109" w:lineRule="exact"/>
        <w:rPr>
          <w:sz w:val="20"/>
          <w:szCs w:val="20"/>
          <w:color w:val="auto"/>
        </w:rPr>
      </w:pPr>
    </w:p>
    <w:p>
      <w:pPr>
        <w:ind w:left="240" w:right="20" w:firstLine="430"/>
        <w:spacing w:after="0" w:line="250"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six months ended June 30, 2021.</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Repurchase Program</w:t>
      </w:r>
    </w:p>
    <w:p>
      <w:pPr>
        <w:spacing w:after="0" w:line="109" w:lineRule="exact"/>
        <w:rPr>
          <w:sz w:val="20"/>
          <w:szCs w:val="20"/>
          <w:color w:val="auto"/>
        </w:rPr>
      </w:pPr>
    </w:p>
    <w:p>
      <w:pPr>
        <w:ind w:left="240" w:right="260" w:firstLine="430"/>
        <w:spacing w:after="0" w:line="284" w:lineRule="auto"/>
        <w:rPr>
          <w:sz w:val="20"/>
          <w:szCs w:val="20"/>
          <w:color w:val="auto"/>
        </w:rPr>
      </w:pPr>
      <w:r>
        <w:rPr>
          <w:rFonts w:ascii="Arial" w:cs="Arial" w:eastAsia="Arial" w:hAnsi="Arial"/>
          <w:sz w:val="16"/>
          <w:szCs w:val="16"/>
          <w:color w:val="auto"/>
        </w:rPr>
        <w:t>As described in Note 2, the Company has a Stock Repurchase Program under which the Company may acquire up to $5,000 of its outstanding common stock. The Company did not make any repurchases of common stock during the three and six months ended June 30, 2021. During the three and six months ended June 30, 2020, the Company repurchased 0 and 25,719 shares of common stock, respectively, on the open market for zero and $268, respectively. The Company’s NAV per share increased by approximately zero and $0.01 for the three and six months ended June 30, 2020, respectively, as a result of the share repurchases. The following table summarizes the Company’s share repurchases under the Stock Repurchase Program for the three and six months ended June 30, 2021 and 2020:</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Repurchases of 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w w:val="94"/>
              </w:rPr>
              <w:t>Three Months Ended 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5"/>
        </w:trPr>
        <w:tc>
          <w:tcPr>
            <w:tcW w:w="54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140"/>
              <w:spacing w:after="0" w:line="12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80"/>
              <w:spacing w:after="0" w:line="12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60"/>
              <w:spacing w:after="0" w:line="12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16"/>
              <w:spacing w:after="0" w:line="12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Number of shares repurchased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197"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line="197"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20"/>
              <w:spacing w:after="0" w:line="197"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25,719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Cost of shares repurchased, including commissions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Weighted average discount to net asset value prior to repurchases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99"/>
              </w:rPr>
              <w:t>N/A</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w w:val="93"/>
              </w:rPr>
              <w:t>N/A</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had 24,437,400 shares of common stock outstanding as of June 30, 2021 and December 31, 2020.</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9. Dividends and Distributions</w:t>
      </w:r>
    </w:p>
    <w:p>
      <w:pPr>
        <w:spacing w:after="0" w:line="115" w:lineRule="exact"/>
        <w:rPr>
          <w:sz w:val="20"/>
          <w:szCs w:val="20"/>
          <w:color w:val="auto"/>
        </w:rPr>
      </w:pPr>
    </w:p>
    <w:p>
      <w:pPr>
        <w:ind w:left="240" w:right="300" w:firstLine="430"/>
        <w:spacing w:after="0" w:line="262"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six months ended June 30, 2021.</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320" w:top="451" w:right="5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1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Record</w:t>
            </w: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Payment</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Drip</w:t>
            </w:r>
          </w:p>
        </w:tc>
        <w:tc>
          <w:tcPr>
            <w:tcW w:w="12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DRIP</w:t>
            </w:r>
          </w:p>
        </w:tc>
        <w:tc>
          <w:tcPr>
            <w:tcW w:w="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5"/>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0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83"/>
              </w:rPr>
              <w:t>Issue</w:t>
            </w:r>
          </w:p>
        </w:tc>
        <w:tc>
          <w:tcPr>
            <w:tcW w:w="0" w:type="dxa"/>
            <w:vAlign w:val="bottom"/>
          </w:tcPr>
          <w:p>
            <w:pPr>
              <w:spacing w:after="0"/>
              <w:rPr>
                <w:sz w:val="1"/>
                <w:szCs w:val="1"/>
                <w:color w:val="auto"/>
              </w:rPr>
            </w:pPr>
          </w:p>
        </w:tc>
      </w:tr>
      <w:tr>
        <w:trPr>
          <w:trHeight w:val="167"/>
        </w:trPr>
        <w:tc>
          <w:tcPr>
            <w:tcW w:w="3940" w:type="dxa"/>
            <w:vAlign w:val="bottom"/>
            <w:gridSpan w:val="3"/>
            <w:vMerge w:val="continue"/>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8"/>
              </w:rPr>
              <w:t>Per Share</w:t>
            </w: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Distribution</w:t>
            </w: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Distribution</w:t>
            </w:r>
          </w:p>
        </w:tc>
        <w:tc>
          <w:tcPr>
            <w:tcW w:w="2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1/31/2019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3/8/2019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3/22/2019</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4/29/2019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7/29/2019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9/6/2019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10/29/2019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12/6/2019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12/20/2019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10/29/2019 (1)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12/6/2019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12/20/2019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39,141</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December 31, 2020:</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2/14/2020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3/13/2020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4/29/2020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6/12/2020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8/03/2020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9/11/2020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10/26/2020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12/4/2020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12/18/2020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10/26/2020 (2)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12/4/2020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12/18/2020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32,508</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Six Months Ended June 30, 2021:</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2/09/2021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3/12/2021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3/26/2021</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7,575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7,575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2/09/2021 (2)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3/12/2021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3/26/2021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5/03/2021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6/14/2021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5/03/2021 (2)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6/14/2021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6/28/2021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18,817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18,817</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Supplemental dividend</w:t>
      </w:r>
    </w:p>
    <w:p>
      <w:pPr>
        <w:spacing w:after="0" w:line="3" w:lineRule="exact"/>
        <w:rPr>
          <w:rFonts w:ascii="Arial" w:cs="Arial" w:eastAsia="Arial" w:hAnsi="Arial"/>
          <w:sz w:val="18"/>
          <w:szCs w:val="18"/>
          <w:color w:val="auto"/>
        </w:rPr>
      </w:pPr>
    </w:p>
    <w:p>
      <w:pPr>
        <w:ind w:left="680" w:right="120" w:hanging="431"/>
        <w:spacing w:after="0" w:line="29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six months ended June 30, 2021 and the years ended December 31, 2020 and 2019,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Fiscal Year Ended December 31, 2019:</w:t>
            </w:r>
          </w:p>
        </w:tc>
        <w:tc>
          <w:tcPr>
            <w:tcW w:w="3500" w:type="dxa"/>
            <w:vAlign w:val="bottom"/>
            <w:vMerge w:val="restart"/>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Purchased</w:t>
            </w:r>
          </w:p>
        </w:tc>
        <w:tc>
          <w:tcPr>
            <w:tcW w:w="220" w:type="dxa"/>
            <w:vAlign w:val="bottom"/>
          </w:tcPr>
          <w:p>
            <w:pPr>
              <w:spacing w:after="0"/>
              <w:rPr>
                <w:sz w:val="12"/>
                <w:szCs w:val="12"/>
                <w:color w:val="auto"/>
              </w:rPr>
            </w:pPr>
          </w:p>
        </w:tc>
        <w:tc>
          <w:tcPr>
            <w:tcW w:w="10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20" w:type="dxa"/>
            <w:vAlign w:val="bottom"/>
            <w:tcBorders>
              <w:bottom w:val="single" w:sz="8" w:color="auto"/>
            </w:tcBorders>
            <w:gridSpan w:val="2"/>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5"/>
              </w:rPr>
              <w:t>and Reissued</w:t>
            </w:r>
          </w:p>
        </w:tc>
        <w:tc>
          <w:tcPr>
            <w:tcW w:w="220" w:type="dxa"/>
            <w:vAlign w:val="bottom"/>
          </w:tcPr>
          <w:p>
            <w:pPr>
              <w:spacing w:after="0"/>
              <w:rPr>
                <w:sz w:val="15"/>
                <w:szCs w:val="15"/>
                <w:color w:val="auto"/>
              </w:rPr>
            </w:pPr>
          </w:p>
        </w:tc>
        <w:tc>
          <w:tcPr>
            <w:tcW w:w="10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Per Share</w:t>
            </w: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Amount Paid</w:t>
            </w: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tcBorders>
            <w:gridSpan w:val="3"/>
            <w:shd w:val="clear" w:color="auto" w:fill="CCEEFF"/>
          </w:tcPr>
          <w:p>
            <w:pPr>
              <w:spacing w:after="0" w:line="197" w:lineRule="exact"/>
              <w:rPr>
                <w:sz w:val="20"/>
                <w:szCs w:val="20"/>
                <w:color w:val="auto"/>
              </w:rPr>
            </w:pPr>
            <w:r>
              <w:rPr>
                <w:rFonts w:ascii="Arial" w:cs="Arial" w:eastAsia="Arial" w:hAnsi="Arial"/>
                <w:sz w:val="18"/>
                <w:szCs w:val="18"/>
                <w:color w:val="auto"/>
              </w:rPr>
              <w:t>January 1, 2019 through March 31, 2019</w:t>
            </w:r>
          </w:p>
        </w:tc>
        <w:tc>
          <w:tcPr>
            <w:tcW w:w="8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21,855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15.25</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333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gridSpan w:val="3"/>
          </w:tcPr>
          <w:p>
            <w:pPr>
              <w:spacing w:after="0"/>
              <w:rPr>
                <w:sz w:val="20"/>
                <w:szCs w:val="20"/>
                <w:color w:val="auto"/>
              </w:rPr>
            </w:pPr>
            <w:r>
              <w:rPr>
                <w:rFonts w:ascii="Arial" w:cs="Arial" w:eastAsia="Arial" w:hAnsi="Arial"/>
                <w:sz w:val="18"/>
                <w:szCs w:val="18"/>
                <w:color w:val="auto"/>
              </w:rPr>
              <w:t>April 1, 2019 through June 30, 2019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1"/>
        </w:trPr>
        <w:tc>
          <w:tcPr>
            <w:tcW w:w="5820" w:type="dxa"/>
            <w:vAlign w:val="bottom"/>
            <w:gridSpan w:val="3"/>
          </w:tcPr>
          <w:p>
            <w:pPr>
              <w:spacing w:after="0"/>
              <w:rPr>
                <w:sz w:val="20"/>
                <w:szCs w:val="20"/>
                <w:color w:val="auto"/>
              </w:rPr>
            </w:pPr>
            <w:r>
              <w:rPr>
                <w:rFonts w:ascii="Arial" w:cs="Arial" w:eastAsia="Arial" w:hAnsi="Arial"/>
                <w:sz w:val="18"/>
                <w:szCs w:val="18"/>
                <w:color w:val="auto"/>
              </w:rPr>
              <w:t>October 1, 2019 through December 31, 2019</w:t>
            </w:r>
          </w:p>
        </w:tc>
        <w:tc>
          <w:tcPr>
            <w:tcW w:w="820" w:type="dxa"/>
            <w:vAlign w:val="bottom"/>
          </w:tcPr>
          <w:p>
            <w:pPr>
              <w:jc w:val="right"/>
              <w:spacing w:after="0"/>
              <w:rPr>
                <w:sz w:val="20"/>
                <w:szCs w:val="20"/>
                <w:color w:val="auto"/>
              </w:rPr>
            </w:pPr>
            <w:r>
              <w:rPr>
                <w:rFonts w:ascii="Arial" w:cs="Arial" w:eastAsia="Arial" w:hAnsi="Arial"/>
                <w:sz w:val="18"/>
                <w:szCs w:val="18"/>
                <w:color w:val="auto"/>
              </w:rPr>
              <w:t>17,525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24"/>
                <w:szCs w:val="2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Fiscal Year Ended December 31, 2020:</w:t>
            </w:r>
          </w:p>
        </w:tc>
        <w:tc>
          <w:tcPr>
            <w:tcW w:w="3500" w:type="dxa"/>
            <w:vAlign w:val="bottom"/>
            <w:vMerge w:val="restart"/>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Purchased</w:t>
            </w:r>
          </w:p>
        </w:tc>
        <w:tc>
          <w:tcPr>
            <w:tcW w:w="220" w:type="dxa"/>
            <w:vAlign w:val="bottom"/>
          </w:tcPr>
          <w:p>
            <w:pPr>
              <w:spacing w:after="0"/>
              <w:rPr>
                <w:sz w:val="12"/>
                <w:szCs w:val="12"/>
                <w:color w:val="auto"/>
              </w:rPr>
            </w:pPr>
          </w:p>
        </w:tc>
        <w:tc>
          <w:tcPr>
            <w:tcW w:w="10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20" w:type="dxa"/>
            <w:vAlign w:val="bottom"/>
            <w:tcBorders>
              <w:bottom w:val="single" w:sz="8" w:color="auto"/>
            </w:tcBorders>
            <w:gridSpan w:val="2"/>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5"/>
              </w:rPr>
              <w:t>and Reissued</w:t>
            </w:r>
          </w:p>
        </w:tc>
        <w:tc>
          <w:tcPr>
            <w:tcW w:w="220" w:type="dxa"/>
            <w:vAlign w:val="bottom"/>
          </w:tcPr>
          <w:p>
            <w:pPr>
              <w:spacing w:after="0"/>
              <w:rPr>
                <w:sz w:val="15"/>
                <w:szCs w:val="15"/>
                <w:color w:val="auto"/>
              </w:rPr>
            </w:pPr>
          </w:p>
        </w:tc>
        <w:tc>
          <w:tcPr>
            <w:tcW w:w="10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Per Share</w:t>
            </w: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Amount Paid</w:t>
            </w: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tcBorders>
            <w:gridSpan w:val="3"/>
            <w:shd w:val="clear" w:color="auto" w:fill="CCEEFF"/>
          </w:tcPr>
          <w:p>
            <w:pPr>
              <w:spacing w:after="0" w:line="197" w:lineRule="exact"/>
              <w:rPr>
                <w:sz w:val="20"/>
                <w:szCs w:val="20"/>
                <w:color w:val="auto"/>
              </w:rPr>
            </w:pPr>
            <w:r>
              <w:rPr>
                <w:rFonts w:ascii="Arial" w:cs="Arial" w:eastAsia="Arial" w:hAnsi="Arial"/>
                <w:sz w:val="18"/>
                <w:szCs w:val="18"/>
                <w:color w:val="auto"/>
              </w:rPr>
              <w:t>January 1, 2020 through March 31, 2020</w:t>
            </w:r>
          </w:p>
        </w:tc>
        <w:tc>
          <w:tcPr>
            <w:tcW w:w="8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31,586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7.58</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gridSpan w:val="3"/>
          </w:tcPr>
          <w:p>
            <w:pPr>
              <w:spacing w:after="0"/>
              <w:rPr>
                <w:sz w:val="20"/>
                <w:szCs w:val="20"/>
                <w:color w:val="auto"/>
              </w:rPr>
            </w:pPr>
            <w:r>
              <w:rPr>
                <w:rFonts w:ascii="Arial" w:cs="Arial" w:eastAsia="Arial" w:hAnsi="Arial"/>
                <w:sz w:val="18"/>
                <w:szCs w:val="18"/>
                <w:color w:val="auto"/>
              </w:rPr>
              <w:t>April 1, 2020 through June 30, 2020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21,904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2020 through September 30, 2020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1"/>
        </w:trPr>
        <w:tc>
          <w:tcPr>
            <w:tcW w:w="5820" w:type="dxa"/>
            <w:vAlign w:val="bottom"/>
            <w:gridSpan w:val="3"/>
          </w:tcPr>
          <w:p>
            <w:pPr>
              <w:spacing w:after="0"/>
              <w:rPr>
                <w:sz w:val="20"/>
                <w:szCs w:val="20"/>
                <w:color w:val="auto"/>
              </w:rPr>
            </w:pPr>
            <w:r>
              <w:rPr>
                <w:rFonts w:ascii="Arial" w:cs="Arial" w:eastAsia="Arial" w:hAnsi="Arial"/>
                <w:sz w:val="18"/>
                <w:szCs w:val="18"/>
                <w:color w:val="auto"/>
              </w:rPr>
              <w:t>October 1, 2020 through December 31, 2020</w:t>
            </w:r>
          </w:p>
        </w:tc>
        <w:tc>
          <w:tcPr>
            <w:tcW w:w="820" w:type="dxa"/>
            <w:vAlign w:val="bottom"/>
          </w:tcPr>
          <w:p>
            <w:pPr>
              <w:jc w:val="right"/>
              <w:spacing w:after="0"/>
              <w:rPr>
                <w:sz w:val="20"/>
                <w:szCs w:val="20"/>
                <w:color w:val="auto"/>
              </w:rPr>
            </w:pPr>
            <w:r>
              <w:rPr>
                <w:rFonts w:ascii="Arial" w:cs="Arial" w:eastAsia="Arial" w:hAnsi="Arial"/>
                <w:sz w:val="18"/>
                <w:szCs w:val="18"/>
                <w:color w:val="auto"/>
              </w:rPr>
              <w:t>20,222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102,583</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24"/>
                <w:szCs w:val="2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89"/>
              </w:rPr>
              <w:t>Six Months Ended June 30, 2021:</w:t>
            </w:r>
          </w:p>
        </w:tc>
        <w:tc>
          <w:tcPr>
            <w:tcW w:w="3820" w:type="dxa"/>
            <w:vAlign w:val="bottom"/>
            <w:gridSpan w:val="2"/>
            <w:vMerge w:val="restart"/>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Purchased</w:t>
            </w:r>
          </w:p>
        </w:tc>
        <w:tc>
          <w:tcPr>
            <w:tcW w:w="220" w:type="dxa"/>
            <w:vAlign w:val="bottom"/>
          </w:tcPr>
          <w:p>
            <w:pPr>
              <w:spacing w:after="0"/>
              <w:rPr>
                <w:sz w:val="12"/>
                <w:szCs w:val="12"/>
                <w:color w:val="auto"/>
              </w:rPr>
            </w:pPr>
          </w:p>
        </w:tc>
        <w:tc>
          <w:tcPr>
            <w:tcW w:w="10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00" w:type="dxa"/>
            <w:vAlign w:val="bottom"/>
            <w:tcBorders>
              <w:bottom w:val="single" w:sz="8" w:color="auto"/>
            </w:tcBorders>
            <w:vMerge w:val="continue"/>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5"/>
              </w:rPr>
              <w:t>and Reissued</w:t>
            </w:r>
          </w:p>
        </w:tc>
        <w:tc>
          <w:tcPr>
            <w:tcW w:w="220" w:type="dxa"/>
            <w:vAlign w:val="bottom"/>
          </w:tcPr>
          <w:p>
            <w:pPr>
              <w:spacing w:after="0"/>
              <w:rPr>
                <w:sz w:val="15"/>
                <w:szCs w:val="15"/>
                <w:color w:val="auto"/>
              </w:rPr>
            </w:pPr>
          </w:p>
        </w:tc>
        <w:tc>
          <w:tcPr>
            <w:tcW w:w="10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Per Share</w:t>
            </w: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Amount Paid</w:t>
            </w: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tcBorders>
            <w:gridSpan w:val="3"/>
            <w:shd w:val="clear" w:color="auto" w:fill="CCEEFF"/>
          </w:tcPr>
          <w:p>
            <w:pPr>
              <w:spacing w:after="0" w:line="197" w:lineRule="exact"/>
              <w:rPr>
                <w:sz w:val="20"/>
                <w:szCs w:val="20"/>
                <w:color w:val="auto"/>
              </w:rPr>
            </w:pPr>
            <w:r>
              <w:rPr>
                <w:rFonts w:ascii="Arial" w:cs="Arial" w:eastAsia="Arial" w:hAnsi="Arial"/>
                <w:sz w:val="18"/>
                <w:szCs w:val="18"/>
                <w:color w:val="auto"/>
              </w:rPr>
              <w:t>January 1, 2021 through March 31, 2021</w:t>
            </w:r>
          </w:p>
        </w:tc>
        <w:tc>
          <w:tcPr>
            <w:tcW w:w="8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15,562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15.62</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gridSpan w:val="3"/>
          </w:tcPr>
          <w:p>
            <w:pPr>
              <w:spacing w:after="0"/>
              <w:rPr>
                <w:sz w:val="20"/>
                <w:szCs w:val="20"/>
                <w:color w:val="auto"/>
              </w:rPr>
            </w:pPr>
            <w:r>
              <w:rPr>
                <w:rFonts w:ascii="Arial" w:cs="Arial" w:eastAsia="Arial" w:hAnsi="Arial"/>
                <w:sz w:val="18"/>
                <w:szCs w:val="18"/>
                <w:color w:val="auto"/>
              </w:rPr>
              <w:t>April 1, 2021 through June 30, 2021</w:t>
            </w:r>
          </w:p>
        </w:tc>
        <w:tc>
          <w:tcPr>
            <w:tcW w:w="820" w:type="dxa"/>
            <w:vAlign w:val="bottom"/>
          </w:tcPr>
          <w:p>
            <w:pPr>
              <w:jc w:val="right"/>
              <w:spacing w:after="0"/>
              <w:rPr>
                <w:sz w:val="20"/>
                <w:szCs w:val="20"/>
                <w:color w:val="auto"/>
              </w:rPr>
            </w:pPr>
            <w:r>
              <w:rPr>
                <w:rFonts w:ascii="Arial" w:cs="Arial" w:eastAsia="Arial" w:hAnsi="Arial"/>
                <w:sz w:val="18"/>
                <w:szCs w:val="18"/>
                <w:color w:val="auto"/>
              </w:rPr>
              <w:t>17,042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32,604</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1">
            <w:col w:w="11000"/>
          </w:cols>
          <w:pgMar w:left="320" w:top="451" w:right="579" w:bottom="1440" w:gutter="0" w:footer="0" w:header="0"/>
        </w:sectPr>
      </w:pPr>
    </w:p>
    <w:p>
      <w:pPr>
        <w:jc w:val="center"/>
        <w:ind w:right="-2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00"/>
          </w:cols>
          <w:pgMar w:left="320" w:top="451" w:right="579" w:bottom="1440" w:gutter="0" w:footer="0" w:header="0"/>
          <w:type w:val="continuous"/>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10. Financial Highlights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is a schedule of financial highlights for the six months ended June 30, 2021 and 2020:</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38"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Per share data:</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16.81</w:t>
            </w: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4"/>
                <w:szCs w:val="14"/>
                <w:color w:val="auto"/>
              </w:rPr>
              <w:t>(1)</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 xml:space="preserve">Net realized gain (loss) on investments, net of tax (provision) </w:t>
            </w:r>
            <w:r>
              <w:rPr>
                <w:rFonts w:ascii="Arial" w:cs="Arial" w:eastAsia="Arial" w:hAnsi="Arial"/>
                <w:sz w:val="14"/>
                <w:szCs w:val="14"/>
                <w:color w:val="auto"/>
              </w:rPr>
              <w:t>(1)</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4"/>
                <w:szCs w:val="14"/>
                <w:color w:val="auto"/>
              </w:rPr>
              <w:t>(1)</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4"/>
                <w:szCs w:val="14"/>
                <w:color w:val="auto"/>
              </w:rPr>
              <w:t>(1)</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4"/>
                <w:szCs w:val="14"/>
                <w:color w:val="auto"/>
              </w:rPr>
              <w:t>(1)</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Net asset value at end of period</w:t>
            </w: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gridSpan w:val="2"/>
            <w:vMerge w:val="continue"/>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17.57</w:t>
            </w: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3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Market value at end of period</w:t>
            </w:r>
          </w:p>
        </w:tc>
        <w:tc>
          <w:tcPr>
            <w:tcW w:w="19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17.00</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9.07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 at end of period</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4"/>
              </w:rPr>
              <w:t>24,437,400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4"/>
              </w:rPr>
              <w:t>24,437,400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24,437,400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24,447,517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429,367</w:t>
            </w: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376,176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4"/>
                <w:szCs w:val="14"/>
                <w:color w:val="auto"/>
              </w:rPr>
              <w:t>(6)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417,713</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Ratios to average net assets: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4"/>
                <w:szCs w:val="14"/>
                <w:color w:val="auto"/>
              </w:rPr>
              <w:t>(2)(4)(11)</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4"/>
                <w:szCs w:val="14"/>
                <w:color w:val="auto"/>
              </w:rPr>
              <w:t>(2)(5)</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4"/>
                <w:szCs w:val="14"/>
                <w:color w:val="auto"/>
              </w:rPr>
              <w:t>(3)</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4"/>
                <w:szCs w:val="14"/>
                <w:color w:val="auto"/>
              </w:rPr>
              <w:t>(8)</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4"/>
                <w:szCs w:val="14"/>
                <w:color w:val="auto"/>
              </w:rPr>
              <w:t>(9)</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Supplemental Data:</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4"/>
                <w:szCs w:val="14"/>
                <w:color w:val="auto"/>
              </w:rPr>
              <w:t>(7)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390,117</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4"/>
                <w:szCs w:val="14"/>
                <w:color w:val="auto"/>
              </w:rPr>
              <w:t>(1)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15.96</w:t>
            </w:r>
          </w:p>
        </w:tc>
        <w:tc>
          <w:tcPr>
            <w:tcW w:w="3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80" w:hanging="43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Annualized with the exception of the Income Incentive Fee Waiver.</w:t>
      </w:r>
    </w:p>
    <w:p>
      <w:pPr>
        <w:spacing w:after="0" w:line="3" w:lineRule="exact"/>
        <w:rPr>
          <w:rFonts w:ascii="Arial" w:cs="Arial" w:eastAsia="Arial" w:hAnsi="Arial"/>
          <w:sz w:val="18"/>
          <w:szCs w:val="18"/>
          <w:color w:val="auto"/>
        </w:rPr>
      </w:pPr>
    </w:p>
    <w:p>
      <w:pPr>
        <w:jc w:val="both"/>
        <w:ind w:left="680" w:right="120" w:hanging="431"/>
        <w:spacing w:after="0" w:line="274"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2" w:lineRule="exact"/>
        <w:rPr>
          <w:rFonts w:ascii="Arial" w:cs="Arial" w:eastAsia="Arial" w:hAnsi="Arial"/>
          <w:sz w:val="16"/>
          <w:szCs w:val="16"/>
          <w:color w:val="auto"/>
        </w:rPr>
      </w:pPr>
    </w:p>
    <w:p>
      <w:pPr>
        <w:ind w:left="680" w:right="640" w:hanging="431"/>
        <w:spacing w:after="0" w:line="24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before income incentive fee waiver and the income tax provision (benefit) captions as presented on the consolidated statements of operations.</w:t>
      </w:r>
    </w:p>
    <w:p>
      <w:pPr>
        <w:ind w:left="680" w:right="460" w:hanging="431"/>
        <w:spacing w:after="0" w:line="24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680" w:hanging="431"/>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26" w:lineRule="exact"/>
        <w:rPr>
          <w:rFonts w:ascii="Arial" w:cs="Arial" w:eastAsia="Arial" w:hAnsi="Arial"/>
          <w:sz w:val="16"/>
          <w:szCs w:val="16"/>
          <w:color w:val="auto"/>
        </w:rPr>
      </w:pPr>
    </w:p>
    <w:p>
      <w:pPr>
        <w:ind w:left="680" w:right="480" w:hanging="431"/>
        <w:spacing w:after="0" w:line="24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including secured borrowings, as of each quarter end during the fiscal year and the prior year end.</w:t>
      </w:r>
    </w:p>
    <w:p>
      <w:pPr>
        <w:ind w:left="680" w:right="20" w:hanging="431"/>
        <w:spacing w:after="0" w:line="24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680" w:hanging="43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ratio of waived incentive fees to average net assets was zero and (0.11%) for the six months ended June 30, 2021 and 2020, respectively.</w:t>
      </w:r>
    </w:p>
    <w:p>
      <w:pPr>
        <w:spacing w:after="0" w:line="26" w:lineRule="exact"/>
        <w:rPr>
          <w:rFonts w:ascii="Arial" w:cs="Arial" w:eastAsia="Arial" w:hAnsi="Arial"/>
          <w:sz w:val="16"/>
          <w:szCs w:val="16"/>
          <w:color w:val="auto"/>
        </w:rPr>
      </w:pPr>
    </w:p>
    <w:p>
      <w:pPr>
        <w:ind w:left="680" w:hanging="43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320" w:top="451" w:right="5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67"/>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23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5"/>
        </w:trPr>
        <w:tc>
          <w:tcPr>
            <w:tcW w:w="5840" w:type="dxa"/>
            <w:vAlign w:val="bottom"/>
            <w:gridSpan w:val="3"/>
            <w:vMerge w:val="continue"/>
          </w:tcPr>
          <w:p>
            <w:pPr>
              <w:spacing w:after="0"/>
              <w:rPr>
                <w:sz w:val="10"/>
                <w:szCs w:val="10"/>
                <w:color w:val="auto"/>
              </w:rPr>
            </w:pPr>
          </w:p>
        </w:tc>
        <w:tc>
          <w:tcPr>
            <w:tcW w:w="620" w:type="dxa"/>
            <w:vAlign w:val="bottom"/>
            <w:tcBorders>
              <w:top w:val="single" w:sz="8" w:color="auto"/>
            </w:tcBorders>
          </w:tcPr>
          <w:p>
            <w:pPr>
              <w:jc w:val="right"/>
              <w:ind w:right="99"/>
              <w:spacing w:after="0" w:line="12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7"/>
              <w:spacing w:after="0" w:line="12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4"/>
                <w:szCs w:val="14"/>
                <w:color w:val="auto"/>
              </w:rPr>
              <w:t>(2)</w:t>
            </w:r>
          </w:p>
        </w:tc>
        <w:tc>
          <w:tcPr>
            <w:tcW w:w="1480" w:type="dxa"/>
            <w:vAlign w:val="bottom"/>
            <w:gridSpan w:val="2"/>
            <w:shd w:val="clear" w:color="auto" w:fill="CCEEFF"/>
          </w:tcPr>
          <w:p>
            <w:pPr>
              <w:jc w:val="right"/>
              <w:ind w:right="720"/>
              <w:spacing w:after="0" w:line="197" w:lineRule="exact"/>
              <w:rPr>
                <w:sz w:val="20"/>
                <w:szCs w:val="20"/>
                <w:color w:val="auto"/>
              </w:rPr>
            </w:pPr>
            <w:r>
              <w:rPr>
                <w:rFonts w:ascii="Arial" w:cs="Arial" w:eastAsia="Arial" w:hAnsi="Arial"/>
                <w:sz w:val="18"/>
                <w:szCs w:val="18"/>
                <w:color w:val="auto"/>
              </w:rPr>
              <w:t>8.8%</w:t>
            </w:r>
          </w:p>
        </w:tc>
        <w:tc>
          <w:tcPr>
            <w:tcW w:w="860" w:type="dxa"/>
            <w:vAlign w:val="bottom"/>
            <w:gridSpan w:val="2"/>
            <w:shd w:val="clear" w:color="auto" w:fill="CCEEFF"/>
          </w:tcPr>
          <w:p>
            <w:pPr>
              <w:jc w:val="right"/>
              <w:ind w:right="120"/>
              <w:spacing w:after="0" w:line="197"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 xml:space="preserve">Incentive fee, net of incentive fee waiver </w:t>
            </w:r>
            <w:r>
              <w:rPr>
                <w:rFonts w:ascii="Arial" w:cs="Arial" w:eastAsia="Arial" w:hAnsi="Arial"/>
                <w:sz w:val="14"/>
                <w:szCs w:val="14"/>
                <w:color w:val="auto"/>
              </w:rPr>
              <w:t>(2)(10)</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4"/>
                <w:szCs w:val="14"/>
                <w:color w:val="auto"/>
              </w:rPr>
              <w:t>(2)(4)</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11. Subsequent Events</w:t>
      </w:r>
    </w:p>
    <w:p>
      <w:pPr>
        <w:spacing w:after="0" w:line="115" w:lineRule="exact"/>
        <w:rPr>
          <w:sz w:val="20"/>
          <w:szCs w:val="20"/>
          <w:color w:val="auto"/>
        </w:rPr>
      </w:pPr>
    </w:p>
    <w:p>
      <w:pPr>
        <w:ind w:left="240" w:right="160" w:firstLine="430"/>
        <w:spacing w:after="0" w:line="325" w:lineRule="auto"/>
        <w:rPr>
          <w:sz w:val="20"/>
          <w:szCs w:val="20"/>
          <w:color w:val="auto"/>
        </w:rPr>
      </w:pPr>
      <w:r>
        <w:rPr>
          <w:rFonts w:ascii="Arial" w:cs="Arial" w:eastAsia="Arial" w:hAnsi="Arial"/>
          <w:sz w:val="16"/>
          <w:szCs w:val="16"/>
          <w:color w:val="auto"/>
        </w:rPr>
        <w:t>On July 16, 2021, the Company exited its debt and equity investments in Hilco Technologies. The Company received payment in full of $10,286 on its first lien debt and revolving loan. The Company received a distribution on its equity investments for a realized loss of approximately ($990).</w:t>
      </w:r>
    </w:p>
    <w:p>
      <w:pPr>
        <w:spacing w:after="0" w:line="134" w:lineRule="exact"/>
        <w:rPr>
          <w:sz w:val="20"/>
          <w:szCs w:val="20"/>
          <w:color w:val="auto"/>
        </w:rPr>
      </w:pPr>
    </w:p>
    <w:p>
      <w:pPr>
        <w:ind w:left="240" w:firstLine="430"/>
        <w:spacing w:after="0" w:line="262" w:lineRule="auto"/>
        <w:rPr>
          <w:sz w:val="20"/>
          <w:szCs w:val="20"/>
          <w:color w:val="auto"/>
        </w:rPr>
      </w:pPr>
      <w:r>
        <w:rPr>
          <w:rFonts w:ascii="Arial" w:cs="Arial" w:eastAsia="Arial" w:hAnsi="Arial"/>
          <w:sz w:val="18"/>
          <w:szCs w:val="18"/>
          <w:color w:val="auto"/>
        </w:rPr>
        <w:t>On July 23, 2021, the Company exited its debt investment in CRS Solutions Holdings, LLC. The Company received payment in full of $11,390 on its second lien debt.</w:t>
      </w:r>
    </w:p>
    <w:p>
      <w:pPr>
        <w:spacing w:after="0" w:line="180" w:lineRule="exact"/>
        <w:rPr>
          <w:sz w:val="20"/>
          <w:szCs w:val="20"/>
          <w:color w:val="auto"/>
        </w:rPr>
      </w:pPr>
    </w:p>
    <w:p>
      <w:pPr>
        <w:ind w:left="240" w:right="40" w:firstLine="430"/>
        <w:spacing w:after="0" w:line="248" w:lineRule="auto"/>
        <w:rPr>
          <w:sz w:val="20"/>
          <w:szCs w:val="20"/>
          <w:color w:val="auto"/>
        </w:rPr>
      </w:pPr>
      <w:r>
        <w:rPr>
          <w:rFonts w:ascii="Arial" w:cs="Arial" w:eastAsia="Arial" w:hAnsi="Arial"/>
          <w:sz w:val="18"/>
          <w:szCs w:val="18"/>
          <w:color w:val="auto"/>
        </w:rPr>
        <w:t>On July 26, 2021, the Company exited its debt and equity investments in Worldwide Express Operations, LLC, which was acquired under a new holding company, Accord Topco, LP (dba Worldwide Express). The Company received payment in full of $20,000 on its second lien debt. The Company sold a portion of its common equity investment for a realized gain of approximately $2,960. In conjunction with the transaction, the Company invested $1,547 in common equity, of which $752 was rolled over from its original common equity investment and funded its $20,000 second lien loan commitment.</w:t>
      </w:r>
    </w:p>
    <w:p>
      <w:pPr>
        <w:spacing w:after="0" w:line="195" w:lineRule="exact"/>
        <w:rPr>
          <w:sz w:val="20"/>
          <w:szCs w:val="20"/>
          <w:color w:val="auto"/>
        </w:rPr>
      </w:pPr>
    </w:p>
    <w:p>
      <w:pPr>
        <w:ind w:left="240" w:right="160" w:firstLine="430"/>
        <w:spacing w:after="0" w:line="262" w:lineRule="auto"/>
        <w:rPr>
          <w:sz w:val="20"/>
          <w:szCs w:val="20"/>
          <w:color w:val="auto"/>
        </w:rPr>
      </w:pPr>
      <w:r>
        <w:rPr>
          <w:rFonts w:ascii="Arial" w:cs="Arial" w:eastAsia="Arial" w:hAnsi="Arial"/>
          <w:sz w:val="18"/>
          <w:szCs w:val="18"/>
          <w:color w:val="auto"/>
        </w:rPr>
        <w:t>On August 2, 2021, the Board declared a regular quarterly dividend of $0.32 per share, a supplemental dividend of $0.06 per share, and a special dividend of $0.04 per share payable September 28, 2021 to stockholders of record as of September 14, 2021.</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320" w:top="451" w:right="5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5" w:lineRule="exact"/>
        <w:rPr>
          <w:sz w:val="20"/>
          <w:szCs w:val="20"/>
          <w:color w:val="auto"/>
        </w:rPr>
      </w:pPr>
    </w:p>
    <w:p>
      <w:pPr>
        <w:ind w:left="240" w:firstLine="430"/>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2020, filed with the SEC on February 25, 2021. The information contained in this section should also be read in conjunction with our unaudited consolidated financial statements and related notes thereto appearing elsewhere in this quarterly report on Form 10-Q.</w:t>
      </w:r>
    </w:p>
    <w:p>
      <w:pPr>
        <w:spacing w:after="0" w:line="162" w:lineRule="exact"/>
        <w:rPr>
          <w:sz w:val="20"/>
          <w:szCs w:val="20"/>
          <w:color w:val="auto"/>
        </w:rPr>
      </w:pPr>
    </w:p>
    <w:p>
      <w:pPr>
        <w:ind w:left="240" w:right="140" w:firstLine="430"/>
        <w:spacing w:after="0" w:line="262"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Forward Looking Statements</w:t>
      </w:r>
    </w:p>
    <w:p>
      <w:pPr>
        <w:spacing w:after="0" w:line="115" w:lineRule="exact"/>
        <w:rPr>
          <w:sz w:val="20"/>
          <w:szCs w:val="20"/>
          <w:color w:val="auto"/>
        </w:rPr>
      </w:pPr>
    </w:p>
    <w:p>
      <w:pPr>
        <w:ind w:left="240" w:firstLine="430"/>
        <w:spacing w:after="0" w:line="284"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77" w:lineRule="exact"/>
        <w:rPr>
          <w:sz w:val="20"/>
          <w:szCs w:val="20"/>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122" w:lineRule="exact"/>
        <w:rPr>
          <w:rFonts w:ascii="Arial" w:cs="Arial" w:eastAsia="Arial" w:hAnsi="Arial"/>
          <w:sz w:val="18"/>
          <w:szCs w:val="18"/>
          <w:color w:val="auto"/>
        </w:rPr>
      </w:pPr>
    </w:p>
    <w:p>
      <w:pPr>
        <w:ind w:left="1200" w:right="80" w:hanging="529"/>
        <w:spacing w:after="0" w:line="262"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88"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pandemics or other serious public health events, such as the recent global outbreak of COVID-19;</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22" w:lineRule="exact"/>
        <w:rPr>
          <w:rFonts w:ascii="Arial" w:cs="Arial" w:eastAsia="Arial" w:hAnsi="Arial"/>
          <w:sz w:val="18"/>
          <w:szCs w:val="18"/>
          <w:color w:val="auto"/>
        </w:rPr>
      </w:pPr>
    </w:p>
    <w:p>
      <w:pPr>
        <w:ind w:left="1200" w:right="320" w:hanging="529"/>
        <w:spacing w:after="0" w:line="262"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88"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of cash flows, if any, from the operations of our portfolio companies and the impact of the COVID-19 pandemic thereon;</w:t>
      </w:r>
    </w:p>
    <w:p>
      <w:pPr>
        <w:spacing w:after="0" w:line="145" w:lineRule="exact"/>
        <w:rPr>
          <w:rFonts w:ascii="Arial" w:cs="Arial" w:eastAsia="Arial" w:hAnsi="Arial"/>
          <w:sz w:val="16"/>
          <w:szCs w:val="16"/>
          <w:color w:val="auto"/>
        </w:rPr>
      </w:pPr>
    </w:p>
    <w:p>
      <w:pPr>
        <w:ind w:left="1200" w:right="140" w:hanging="529"/>
        <w:spacing w:after="0" w:line="262"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the Investment Advisor to locate suitable investments for us and to monitor and administer our investments and the impacts of the COVID-19 pandemic thereon;</w:t>
      </w:r>
    </w:p>
    <w:p>
      <w:pPr>
        <w:spacing w:after="0" w:line="88"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investment advisor to attract and retain highly talented professionals;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operate as a BDC, a SBIC and a RIC;</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any investments in portfolio companies, particularly those having no liquid trading market; and</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15" w:lineRule="exact"/>
        <w:rPr>
          <w:sz w:val="20"/>
          <w:szCs w:val="20"/>
          <w:color w:val="auto"/>
        </w:rPr>
      </w:pPr>
    </w:p>
    <w:p>
      <w:pPr>
        <w:jc w:val="both"/>
        <w:ind w:left="240" w:right="100" w:firstLine="430"/>
        <w:spacing w:after="0" w:line="25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96" w:lineRule="exact"/>
        <w:rPr>
          <w:sz w:val="20"/>
          <w:szCs w:val="20"/>
          <w:color w:val="auto"/>
        </w:rPr>
      </w:pPr>
    </w:p>
    <w:p>
      <w:pPr>
        <w:ind w:left="1200" w:right="20" w:hanging="529"/>
        <w:spacing w:after="0" w:line="262"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88" w:lineRule="exact"/>
        <w:rPr>
          <w:rFonts w:ascii="Arial" w:cs="Arial" w:eastAsia="Arial" w:hAnsi="Arial"/>
          <w:sz w:val="18"/>
          <w:szCs w:val="18"/>
          <w:color w:val="auto"/>
        </w:rPr>
      </w:pPr>
    </w:p>
    <w:p>
      <w:pPr>
        <w:ind w:left="1200" w:right="220" w:hanging="529"/>
        <w:spacing w:after="0" w:line="262"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88" w:lineRule="exact"/>
        <w:rPr>
          <w:rFonts w:ascii="Arial" w:cs="Arial" w:eastAsia="Arial" w:hAnsi="Arial"/>
          <w:sz w:val="18"/>
          <w:szCs w:val="18"/>
          <w:color w:val="auto"/>
        </w:rPr>
      </w:pPr>
    </w:p>
    <w:p>
      <w:pPr>
        <w:ind w:left="1200" w:hanging="529"/>
        <w:spacing w:after="0"/>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rate volatility could adversely affect our results, particularly because we use leverage as part of our investment strategy;</w:t>
      </w:r>
    </w:p>
    <w:p>
      <w:pPr>
        <w:spacing w:after="0" w:line="145" w:lineRule="exact"/>
        <w:rPr>
          <w:rFonts w:ascii="Arial" w:cs="Arial" w:eastAsia="Arial" w:hAnsi="Arial"/>
          <w:sz w:val="16"/>
          <w:szCs w:val="16"/>
          <w:color w:val="auto"/>
        </w:rPr>
      </w:pPr>
    </w:p>
    <w:p>
      <w:pPr>
        <w:ind w:left="1200" w:right="140" w:hanging="529"/>
        <w:spacing w:after="0" w:line="262"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88" w:lineRule="exact"/>
        <w:rPr>
          <w:rFonts w:ascii="Arial" w:cs="Arial" w:eastAsia="Arial" w:hAnsi="Arial"/>
          <w:sz w:val="18"/>
          <w:szCs w:val="18"/>
          <w:color w:val="auto"/>
        </w:rPr>
      </w:pPr>
    </w:p>
    <w:p>
      <w:pPr>
        <w:ind w:left="1200" w:right="80" w:hanging="529"/>
        <w:spacing w:after="0" w:line="325" w:lineRule="auto"/>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risks, uncertainties and other factors we identify in </w:t>
      </w:r>
      <w:r>
        <w:rPr>
          <w:rFonts w:ascii="Arial" w:cs="Arial" w:eastAsia="Arial" w:hAnsi="Arial"/>
          <w:sz w:val="16"/>
          <w:szCs w:val="16"/>
          <w:i w:val="1"/>
          <w:iCs w:val="1"/>
          <w:color w:val="auto"/>
        </w:rPr>
        <w:t>Item 1A. – Risk Factors</w:t>
      </w:r>
      <w:r>
        <w:rPr>
          <w:rFonts w:ascii="Arial" w:cs="Arial" w:eastAsia="Arial" w:hAnsi="Arial"/>
          <w:sz w:val="16"/>
          <w:szCs w:val="16"/>
          <w:color w:val="auto"/>
        </w:rPr>
        <w:t xml:space="preserve"> contained in our Annual Report on Form 10-K for the year ended December 31, 2020, elsewhere in this Quarterly Report on Form 10-Q and in our other filings with the SEC.</w:t>
      </w:r>
    </w:p>
    <w:p>
      <w:pPr>
        <w:sectPr>
          <w:pgSz w:w="11900" w:h="16838" w:orient="portrait"/>
          <w:cols w:equalWidth="0" w:num="1">
            <w:col w:w="10960"/>
          </w:cols>
          <w:pgMar w:left="320" w:top="451" w:right="619" w:bottom="628" w:gutter="0" w:footer="0" w:header="0"/>
        </w:sectPr>
      </w:pPr>
    </w:p>
    <w:p>
      <w:pPr>
        <w:spacing w:after="0" w:line="6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960"/>
          </w:cols>
          <w:pgMar w:left="320" w:top="451" w:right="619" w:bottom="628" w:gutter="0" w:footer="0" w:header="0"/>
          <w:type w:val="continuous"/>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firstLine="430"/>
        <w:spacing w:after="0" w:line="283"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contained in our Annual Report on Form 10-K for the year ended December 31, 2020, filed with the SEC on February 25, 2021. You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place undue reliance on these forward-looking statements, which apply only as of the date of this Quarterly Report on Form 10-Q.</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320" w:top="451" w:right="5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General and Corporate Structure</w:t>
      </w:r>
    </w:p>
    <w:p>
      <w:pPr>
        <w:spacing w:after="0" w:line="109" w:lineRule="exact"/>
        <w:rPr>
          <w:sz w:val="20"/>
          <w:szCs w:val="20"/>
          <w:color w:val="auto"/>
        </w:rPr>
      </w:pPr>
    </w:p>
    <w:p>
      <w:pPr>
        <w:ind w:left="240" w:firstLine="430"/>
        <w:spacing w:after="0" w:line="282" w:lineRule="auto"/>
        <w:rPr>
          <w:sz w:val="20"/>
          <w:szCs w:val="20"/>
          <w:color w:val="auto"/>
        </w:rPr>
      </w:pPr>
      <w:r>
        <w:rPr>
          <w:rFonts w:ascii="Arial" w:cs="Arial" w:eastAsia="Arial" w:hAnsi="Arial"/>
          <w:sz w:val="16"/>
          <w:szCs w:val="16"/>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68" w:lineRule="exact"/>
        <w:rPr>
          <w:sz w:val="20"/>
          <w:szCs w:val="20"/>
          <w:color w:val="auto"/>
        </w:rPr>
      </w:pPr>
    </w:p>
    <w:p>
      <w:pPr>
        <w:ind w:left="240" w:firstLine="430"/>
        <w:spacing w:after="0" w:line="248" w:lineRule="auto"/>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 FIC has elected to be treated as business development company, or BDC, under the 1940 Act and our investment activities are managed by Fidus Investment Advisors, our investment advisor, and supervised by the Board, a majority of whom are independent of us. On March 29, 2013, we commenced operations of a wholly-owned subsidiary, Fund II. On April 18, 2018, we commenced operations of another wholly-owned subsidiary, Fund III. Fund II and Fund III are collectively referred to as the “Funds.”</w:t>
      </w:r>
    </w:p>
    <w:p>
      <w:pPr>
        <w:spacing w:after="0" w:line="195" w:lineRule="exact"/>
        <w:rPr>
          <w:sz w:val="20"/>
          <w:szCs w:val="20"/>
          <w:color w:val="auto"/>
        </w:rPr>
      </w:pPr>
    </w:p>
    <w:p>
      <w:pPr>
        <w:ind w:left="240" w:right="20" w:firstLine="430"/>
        <w:spacing w:after="0" w:line="250"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91" w:lineRule="exact"/>
        <w:rPr>
          <w:sz w:val="20"/>
          <w:szCs w:val="20"/>
          <w:color w:val="auto"/>
        </w:rPr>
      </w:pPr>
    </w:p>
    <w:p>
      <w:pPr>
        <w:ind w:left="240" w:right="140" w:firstLine="430"/>
        <w:spacing w:after="0" w:line="282" w:lineRule="auto"/>
        <w:rPr>
          <w:sz w:val="20"/>
          <w:szCs w:val="20"/>
          <w:color w:val="auto"/>
        </w:rPr>
      </w:pPr>
      <w:r>
        <w:rPr>
          <w:rFonts w:ascii="Arial" w:cs="Arial" w:eastAsia="Arial" w:hAnsi="Arial"/>
          <w:sz w:val="16"/>
          <w:szCs w:val="16"/>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COVID-19 Update</w:t>
      </w:r>
    </w:p>
    <w:p>
      <w:pPr>
        <w:spacing w:after="0" w:line="109" w:lineRule="exact"/>
        <w:rPr>
          <w:sz w:val="20"/>
          <w:szCs w:val="20"/>
          <w:color w:val="auto"/>
        </w:rPr>
      </w:pPr>
    </w:p>
    <w:p>
      <w:pPr>
        <w:ind w:left="240" w:firstLine="430"/>
        <w:spacing w:after="0" w:line="279" w:lineRule="auto"/>
        <w:rPr>
          <w:sz w:val="20"/>
          <w:szCs w:val="20"/>
          <w:color w:val="auto"/>
        </w:rPr>
      </w:pPr>
      <w:r>
        <w:rPr>
          <w:rFonts w:ascii="Arial" w:cs="Arial" w:eastAsia="Arial" w:hAnsi="Arial"/>
          <w:sz w:val="16"/>
          <w:szCs w:val="16"/>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restricting travel and hospitality, and temporarily closing or limiting operations at many corporate offices, retail stores, restaurants, fitness clubs and manufacturing facilities and factories in affected jurisdictions.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COVID-19. Nevertheless, COVID-19 presents material uncertainty and risks with respect to the underlying value of the Company’s portfolio companies, the Company’s business, financial condition, results of operations and cash flows, such as the potential negative impact to financing arrangements, company decisions to delay, defer and/or modify the character of dividends in order to preserve liquidity, increased costs of operations, changes in law and/or regulation, and uncertainty regarding government and regulatory policy.</w:t>
      </w:r>
    </w:p>
    <w:p>
      <w:pPr>
        <w:spacing w:after="0" w:line="177" w:lineRule="exact"/>
        <w:rPr>
          <w:sz w:val="20"/>
          <w:szCs w:val="20"/>
          <w:color w:val="auto"/>
        </w:rPr>
      </w:pPr>
    </w:p>
    <w:p>
      <w:pPr>
        <w:ind w:left="240" w:right="80" w:firstLine="430"/>
        <w:spacing w:after="0" w:line="301" w:lineRule="auto"/>
        <w:rPr>
          <w:sz w:val="20"/>
          <w:szCs w:val="20"/>
          <w:color w:val="auto"/>
        </w:rPr>
      </w:pPr>
      <w:r>
        <w:rPr>
          <w:rFonts w:ascii="Arial" w:cs="Arial" w:eastAsia="Arial" w:hAnsi="Arial"/>
          <w:sz w:val="15"/>
          <w:szCs w:val="15"/>
          <w:color w:val="auto"/>
        </w:rPr>
        <w:t>We have evaluated subsequent events from July 1, 2021 to August 5, 2021. However, as the discussion in this Item 2. Management’s Discussion and Analysis of Financial Condition and Results of Operations relates to the Company’s financial statements for the year ended December 31, 2020, the analysis contained herein may not fully account for impacts relating to the COVID-19 pandemic. In that regard, for example, as of June 30, 2021, the Company valued its portfolio investments in conformity with GAAP based on the facts and circumstances known by the Company at that time, or reasonably expected to be known at that time. Due to the overall volatility that the COVID-19 pandemic has caused during the months that followed June 30, 2021, any valuations conducted now or in the future in conformity with GAAP could result in a lower fair value of our portfolio. The potential impact to our results going forward will depend to a large extent on future developments and new information that may emerge regarding the duration and severity of COVID-19 and the actions taken by authorities and other entities to contain the coronavirus or treat its impact, all of which are beyond our control. Accordingly, the Company cannot predict the extent to which its financial condition and results of operations will be affected at this time.</w:t>
      </w:r>
    </w:p>
    <w:p>
      <w:pPr>
        <w:sectPr>
          <w:pgSz w:w="11900" w:h="16838" w:orient="portrait"/>
          <w:cols w:equalWidth="0" w:num="1">
            <w:col w:w="11000"/>
          </w:cols>
          <w:pgMar w:left="320" w:top="451" w:right="579" w:bottom="1440" w:gutter="0" w:footer="0" w:header="0"/>
        </w:sectPr>
      </w:pPr>
    </w:p>
    <w:p>
      <w:pPr>
        <w:spacing w:after="0" w:line="9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000"/>
          </w:cols>
          <w:pgMar w:left="320" w:top="451" w:right="579" w:bottom="1440" w:gutter="0" w:footer="0" w:header="0"/>
          <w:type w:val="continuous"/>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Investments</w:t>
      </w:r>
    </w:p>
    <w:p>
      <w:pPr>
        <w:spacing w:after="0" w:line="109" w:lineRule="exact"/>
        <w:rPr>
          <w:sz w:val="20"/>
          <w:szCs w:val="20"/>
          <w:color w:val="auto"/>
        </w:rPr>
      </w:pPr>
    </w:p>
    <w:p>
      <w:pPr>
        <w:ind w:left="240" w:right="180" w:firstLine="430"/>
        <w:spacing w:after="0" w:line="287"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65" w:lineRule="exact"/>
        <w:rPr>
          <w:sz w:val="20"/>
          <w:szCs w:val="20"/>
          <w:color w:val="auto"/>
        </w:rPr>
      </w:pPr>
    </w:p>
    <w:p>
      <w:pPr>
        <w:ind w:left="240" w:firstLine="430"/>
        <w:spacing w:after="0" w:line="279" w:lineRule="auto"/>
        <w:rPr>
          <w:sz w:val="20"/>
          <w:szCs w:val="20"/>
          <w:color w:val="auto"/>
        </w:rPr>
      </w:pPr>
      <w:r>
        <w:rPr>
          <w:rFonts w:ascii="Arial" w:cs="Arial" w:eastAsia="Arial" w:hAnsi="Arial"/>
          <w:sz w:val="16"/>
          <w:szCs w:val="16"/>
          <w:i w:val="1"/>
          <w:iCs w:val="1"/>
          <w:color w:val="auto"/>
        </w:rPr>
        <w:t>First Lien Debt</w:t>
      </w:r>
      <w:r>
        <w:rPr>
          <w:rFonts w:ascii="Arial" w:cs="Arial" w:eastAsia="Arial" w:hAnsi="Arial"/>
          <w:sz w:val="16"/>
          <w:szCs w:val="16"/>
          <w:color w:val="auto"/>
        </w:rPr>
        <w:t>. To a lesser extent, we also structure some of our debt investments as senior secured or first lien debt investments. First lien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70" w:lineRule="exact"/>
        <w:rPr>
          <w:sz w:val="20"/>
          <w:szCs w:val="20"/>
          <w:color w:val="auto"/>
        </w:rPr>
      </w:pPr>
    </w:p>
    <w:p>
      <w:pPr>
        <w:ind w:left="240" w:right="140" w:firstLine="430"/>
        <w:spacing w:after="0" w:line="300" w:lineRule="auto"/>
        <w:rPr>
          <w:sz w:val="20"/>
          <w:szCs w:val="20"/>
          <w:color w:val="auto"/>
        </w:rPr>
      </w:pPr>
      <w:r>
        <w:rPr>
          <w:rFonts w:ascii="Arial" w:cs="Arial" w:eastAsia="Arial" w:hAnsi="Arial"/>
          <w:sz w:val="16"/>
          <w:szCs w:val="16"/>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53" w:lineRule="exact"/>
        <w:rPr>
          <w:sz w:val="20"/>
          <w:szCs w:val="20"/>
          <w:color w:val="auto"/>
        </w:rPr>
      </w:pPr>
    </w:p>
    <w:p>
      <w:pPr>
        <w:ind w:left="240" w:right="40" w:firstLine="430"/>
        <w:spacing w:after="0" w:line="282" w:lineRule="auto"/>
        <w:rPr>
          <w:sz w:val="20"/>
          <w:szCs w:val="20"/>
          <w:color w:val="auto"/>
        </w:rPr>
      </w:pPr>
      <w:r>
        <w:rPr>
          <w:rFonts w:ascii="Arial" w:cs="Arial" w:eastAsia="Arial" w:hAnsi="Arial"/>
          <w:sz w:val="16"/>
          <w:szCs w:val="16"/>
          <w:i w:val="1"/>
          <w:iCs w:val="1"/>
          <w:color w:val="auto"/>
        </w:rPr>
        <w:t xml:space="preserve">Second Lien Debt. </w:t>
      </w:r>
      <w:r>
        <w:rPr>
          <w:rFonts w:ascii="Arial" w:cs="Arial" w:eastAsia="Arial" w:hAnsi="Arial"/>
          <w:sz w:val="16"/>
          <w:szCs w:val="16"/>
          <w:color w:val="auto"/>
        </w:rPr>
        <w:t>The majority of our debt investments take the form of second lien debt, which includes senior subordinated notes. Second lien</w:t>
      </w:r>
      <w:r>
        <w:rPr>
          <w:rFonts w:ascii="Arial" w:cs="Arial" w:eastAsia="Arial" w:hAnsi="Arial"/>
          <w:sz w:val="16"/>
          <w:szCs w:val="16"/>
          <w:i w:val="1"/>
          <w:iCs w:val="1"/>
          <w:color w:val="auto"/>
        </w:rPr>
        <w:t xml:space="preserve"> </w:t>
      </w:r>
      <w:r>
        <w:rPr>
          <w:rFonts w:ascii="Arial" w:cs="Arial" w:eastAsia="Arial" w:hAnsi="Arial"/>
          <w:sz w:val="16"/>
          <w:szCs w:val="16"/>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68" w:lineRule="exact"/>
        <w:rPr>
          <w:sz w:val="20"/>
          <w:szCs w:val="20"/>
          <w:color w:val="auto"/>
        </w:rPr>
      </w:pPr>
    </w:p>
    <w:p>
      <w:pPr>
        <w:ind w:left="240" w:right="60" w:firstLine="430"/>
        <w:spacing w:after="0" w:line="282"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8" w:lineRule="exact"/>
        <w:rPr>
          <w:sz w:val="20"/>
          <w:szCs w:val="20"/>
          <w:color w:val="auto"/>
        </w:rPr>
      </w:pPr>
    </w:p>
    <w:p>
      <w:pPr>
        <w:ind w:left="240" w:firstLine="430"/>
        <w:spacing w:after="0" w:line="283" w:lineRule="auto"/>
        <w:rPr>
          <w:sz w:val="20"/>
          <w:szCs w:val="20"/>
          <w:color w:val="auto"/>
        </w:rPr>
      </w:pPr>
      <w:r>
        <w:rPr>
          <w:rFonts w:ascii="Arial" w:cs="Arial" w:eastAsia="Arial" w:hAnsi="Arial"/>
          <w:sz w:val="16"/>
          <w:szCs w:val="16"/>
          <w:i w:val="1"/>
          <w:iCs w:val="1"/>
          <w:color w:val="auto"/>
        </w:rPr>
        <w:t>Equity Securities</w:t>
      </w:r>
      <w:r>
        <w:rPr>
          <w:rFonts w:ascii="Arial" w:cs="Arial" w:eastAsia="Arial" w:hAnsi="Arial"/>
          <w:sz w:val="16"/>
          <w:szCs w:val="16"/>
          <w:color w:val="auto"/>
        </w:rPr>
        <w:t>. Our equity securities typically consist of either a direct minority equity investment in common or preferred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320" w:top="451" w:right="5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320"/>
        <w:spacing w:after="0" w:line="262" w:lineRule="auto"/>
        <w:rPr>
          <w:sz w:val="20"/>
          <w:szCs w:val="20"/>
          <w:color w:val="auto"/>
        </w:rPr>
      </w:pPr>
      <w:r>
        <w:rPr>
          <w:rFonts w:ascii="Arial" w:cs="Arial" w:eastAsia="Arial" w:hAnsi="Arial"/>
          <w:sz w:val="18"/>
          <w:szCs w:val="18"/>
          <w:color w:val="auto"/>
        </w:rPr>
        <w:t>connection with these equity interests, which may include demand and “piggyback” registration rights. Our equity investments typically are made in connection with debt investments to the same portfolio companies.</w:t>
      </w:r>
    </w:p>
    <w:p>
      <w:pPr>
        <w:spacing w:after="0" w:line="180" w:lineRule="exact"/>
        <w:rPr>
          <w:sz w:val="20"/>
          <w:szCs w:val="20"/>
          <w:color w:val="auto"/>
        </w:rPr>
      </w:pPr>
    </w:p>
    <w:p>
      <w:pPr>
        <w:ind w:left="240" w:right="20" w:firstLine="430"/>
        <w:spacing w:after="0" w:line="297" w:lineRule="auto"/>
        <w:rPr>
          <w:sz w:val="20"/>
          <w:szCs w:val="20"/>
          <w:color w:val="auto"/>
        </w:rPr>
      </w:pPr>
      <w:r>
        <w:rPr>
          <w:rFonts w:ascii="Arial" w:cs="Arial" w:eastAsia="Arial" w:hAnsi="Arial"/>
          <w:sz w:val="15"/>
          <w:szCs w:val="15"/>
          <w:i w:val="1"/>
          <w:iCs w:val="1"/>
          <w:color w:val="auto"/>
        </w:rPr>
        <w:t>Revenues</w:t>
      </w:r>
      <w:r>
        <w:rPr>
          <w:rFonts w:ascii="Arial" w:cs="Arial" w:eastAsia="Arial" w:hAnsi="Arial"/>
          <w:sz w:val="15"/>
          <w:szCs w:val="15"/>
          <w:color w:val="auto"/>
        </w:rPr>
        <w:t>: We generate revenue in the form of interest and fee income on debt investments and dividends, if any, on equity investments. Our debt</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371" w:lineRule="exact"/>
        <w:rPr>
          <w:sz w:val="20"/>
          <w:szCs w:val="20"/>
          <w:color w:val="auto"/>
        </w:rPr>
      </w:pPr>
    </w:p>
    <w:p>
      <w:pPr>
        <w:jc w:val="both"/>
        <w:ind w:left="240" w:right="180" w:firstLine="430"/>
        <w:spacing w:after="0" w:line="250"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91" w:lineRule="exact"/>
        <w:rPr>
          <w:sz w:val="20"/>
          <w:szCs w:val="20"/>
          <w:color w:val="auto"/>
        </w:rPr>
      </w:pPr>
    </w:p>
    <w:p>
      <w:pPr>
        <w:ind w:left="240" w:right="140" w:firstLine="430"/>
        <w:spacing w:after="0" w:line="250"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the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99" w:lineRule="exact"/>
        <w:rPr>
          <w:sz w:val="20"/>
          <w:szCs w:val="20"/>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22" w:lineRule="exact"/>
        <w:rPr>
          <w:rFonts w:ascii="Arial" w:cs="Arial" w:eastAsia="Arial" w:hAnsi="Arial"/>
          <w:sz w:val="18"/>
          <w:szCs w:val="18"/>
          <w:color w:val="auto"/>
        </w:rPr>
      </w:pPr>
    </w:p>
    <w:p>
      <w:pPr>
        <w:ind w:left="1200" w:hanging="529"/>
        <w:spacing w:after="0" w:line="250"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9"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22" w:lineRule="exact"/>
        <w:rPr>
          <w:rFonts w:ascii="Arial" w:cs="Arial" w:eastAsia="Arial" w:hAnsi="Arial"/>
          <w:sz w:val="18"/>
          <w:szCs w:val="18"/>
          <w:color w:val="auto"/>
        </w:rPr>
      </w:pPr>
    </w:p>
    <w:p>
      <w:pPr>
        <w:ind w:left="1200" w:right="80" w:hanging="529"/>
        <w:spacing w:after="0" w:line="291"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69" w:lineRule="exact"/>
        <w:rPr>
          <w:rFonts w:ascii="Arial" w:cs="Arial" w:eastAsia="Arial" w:hAnsi="Arial"/>
          <w:sz w:val="16"/>
          <w:szCs w:val="16"/>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22" w:lineRule="exact"/>
        <w:rPr>
          <w:rFonts w:ascii="Arial" w:cs="Arial" w:eastAsia="Arial" w:hAnsi="Arial"/>
          <w:sz w:val="18"/>
          <w:szCs w:val="18"/>
          <w:color w:val="auto"/>
        </w:rPr>
      </w:pPr>
    </w:p>
    <w:p>
      <w:pPr>
        <w:ind w:left="1200" w:right="760" w:hanging="529"/>
        <w:spacing w:after="0" w:line="262"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ectPr>
          <w:pgSz w:w="11900" w:h="16838" w:orient="portrait"/>
          <w:cols w:equalWidth="0" w:num="1">
            <w:col w:w="11000"/>
          </w:cols>
          <w:pgMar w:left="320" w:top="451" w:right="579" w:bottom="839" w:gutter="0" w:footer="0" w:header="0"/>
        </w:sectPr>
      </w:pP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000"/>
          </w:cols>
          <w:pgMar w:left="320" w:top="451" w:right="579" w:bottom="839" w:gutter="0" w:footer="0" w:header="0"/>
          <w:type w:val="continuous"/>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1200" w:right="500" w:hanging="529"/>
        <w:spacing w:after="0" w:line="262"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88" w:lineRule="exact"/>
        <w:rPr>
          <w:rFonts w:ascii="Arial" w:cs="Arial" w:eastAsia="Arial" w:hAnsi="Arial"/>
          <w:sz w:val="18"/>
          <w:szCs w:val="18"/>
          <w:color w:val="auto"/>
        </w:rPr>
      </w:pPr>
    </w:p>
    <w:p>
      <w:pPr>
        <w:ind w:left="1200" w:hanging="52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22" w:lineRule="exact"/>
        <w:rPr>
          <w:rFonts w:ascii="Arial" w:cs="Arial" w:eastAsia="Arial" w:hAnsi="Arial"/>
          <w:sz w:val="18"/>
          <w:szCs w:val="18"/>
          <w:color w:val="auto"/>
        </w:rPr>
      </w:pPr>
    </w:p>
    <w:p>
      <w:pPr>
        <w:ind w:left="1200" w:hanging="529"/>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reasonably incurred by us or the Investment Advisor in connection with administering our business.</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15" w:lineRule="exact"/>
        <w:rPr>
          <w:sz w:val="20"/>
          <w:szCs w:val="20"/>
          <w:color w:val="auto"/>
        </w:rPr>
      </w:pPr>
    </w:p>
    <w:p>
      <w:pPr>
        <w:jc w:val="both"/>
        <w:ind w:left="240" w:right="100" w:firstLine="430"/>
        <w:spacing w:after="0" w:line="287" w:lineRule="auto"/>
        <w:rPr>
          <w:sz w:val="20"/>
          <w:szCs w:val="20"/>
          <w:color w:val="auto"/>
        </w:rPr>
      </w:pPr>
      <w:r>
        <w:rPr>
          <w:rFonts w:ascii="Arial" w:cs="Arial" w:eastAsia="Arial" w:hAnsi="Arial"/>
          <w:sz w:val="16"/>
          <w:szCs w:val="16"/>
          <w:color w:val="auto"/>
        </w:rPr>
        <w:t>During the six months ended June 30, 2021 and 2020, we invested $167.3 million and $85.1 million, respectively, in debt and equity investments including ten and five new portfolio companies, respectively. During the six months ended June 30, 2021 and 2020, we received proceeds from sales or repayments, including principal, return of capital dividends and net realized gains (losses), of $191.6 million and $76.3 million, respectively, including exits of four and one portfolio companies, respectively. The following table summarizes investment purchases and sales and repayments of investments by type for the six months ended June 30, 2021 and 2020 (dollars in millions).</w: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8"/>
          </w:tcPr>
          <w:p>
            <w:pPr>
              <w:ind w:left="460"/>
              <w:spacing w:after="0"/>
              <w:rPr>
                <w:sz w:val="20"/>
                <w:szCs w:val="20"/>
                <w:color w:val="auto"/>
              </w:rPr>
            </w:pPr>
            <w:r>
              <w:rPr>
                <w:rFonts w:ascii="Arial" w:cs="Arial" w:eastAsia="Arial" w:hAnsi="Arial"/>
                <w:sz w:val="14"/>
                <w:szCs w:val="14"/>
                <w:b w:val="1"/>
                <w:bCs w:val="1"/>
                <w:color w:val="auto"/>
                <w:w w:val="89"/>
              </w:rPr>
              <w:t>Purchases of Investments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10"/>
          </w:tcPr>
          <w:p>
            <w:pPr>
              <w:ind w:left="20"/>
              <w:spacing w:after="0"/>
              <w:rPr>
                <w:sz w:val="20"/>
                <w:szCs w:val="20"/>
                <w:color w:val="auto"/>
              </w:rPr>
            </w:pPr>
            <w:r>
              <w:rPr>
                <w:rFonts w:ascii="Arial" w:cs="Arial" w:eastAsia="Arial" w:hAnsi="Arial"/>
                <w:sz w:val="14"/>
                <w:szCs w:val="14"/>
                <w:b w:val="1"/>
                <w:bCs w:val="1"/>
                <w:color w:val="auto"/>
              </w:rPr>
              <w:t>Sales and Repayments of Investments</w:t>
            </w:r>
          </w:p>
        </w:tc>
      </w:tr>
      <w:tr>
        <w:trPr>
          <w:trHeight w:val="13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9"/>
          </w:tcPr>
          <w:p>
            <w:pPr>
              <w:ind w:left="380"/>
              <w:spacing w:after="0" w:line="138" w:lineRule="exact"/>
              <w:rPr>
                <w:sz w:val="20"/>
                <w:szCs w:val="20"/>
                <w:color w:val="auto"/>
              </w:rPr>
            </w:pPr>
            <w:r>
              <w:rPr>
                <w:rFonts w:ascii="Arial" w:cs="Arial" w:eastAsia="Arial" w:hAnsi="Arial"/>
                <w:sz w:val="14"/>
                <w:szCs w:val="14"/>
                <w:b w:val="1"/>
                <w:bCs w:val="1"/>
                <w:color w:val="auto"/>
                <w:w w:val="93"/>
              </w:rPr>
              <w:t>Six Months Ended June 30,</w:t>
            </w: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8"/>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20"/>
              <w:spacing w:after="0" w:line="138"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3"/>
          </w:tcPr>
          <w:p>
            <w:pPr>
              <w:ind w:left="380"/>
              <w:spacing w:after="0" w:line="138"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line="138"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2"/>
              <w:spacing w:after="0" w:line="138"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 Debt</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$ 132.9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$ 49.2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$ 15.3</w:t>
            </w:r>
          </w:p>
        </w:tc>
        <w:tc>
          <w:tcPr>
            <w:tcW w:w="800" w:type="dxa"/>
            <w:vAlign w:val="bottom"/>
            <w:gridSpan w:val="3"/>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20.1%</w:t>
            </w:r>
          </w:p>
        </w:tc>
      </w:tr>
      <w:tr>
        <w:trPr>
          <w:trHeight w:val="211"/>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Second Lien Debt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Equity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$ 167.3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$ 85.1</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$ 76.3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80" w:right="20" w:hanging="431"/>
        <w:spacing w:after="0" w:line="362" w:lineRule="auto"/>
        <w:tabs>
          <w:tab w:leader="none" w:pos="6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the Six Months Ended June 30, 2021 and 2020, includes unitranche securities, which account for 73.8% and 43.4% of purchases, respectively. For the Six Months Ended June 30, 2021 and 2020, includes unitranche securities, which account for 11.7% and 0.8% of repayments, respectively.</w:t>
      </w:r>
    </w:p>
    <w:p>
      <w:pPr>
        <w:spacing w:after="0" w:line="112" w:lineRule="exact"/>
        <w:rPr>
          <w:sz w:val="20"/>
          <w:szCs w:val="20"/>
          <w:color w:val="auto"/>
        </w:rPr>
      </w:pPr>
    </w:p>
    <w:p>
      <w:pPr>
        <w:ind w:left="240" w:right="60" w:firstLine="430"/>
        <w:spacing w:after="0" w:line="247" w:lineRule="auto"/>
        <w:rPr>
          <w:sz w:val="20"/>
          <w:szCs w:val="20"/>
          <w:color w:val="auto"/>
        </w:rPr>
      </w:pPr>
      <w:r>
        <w:rPr>
          <w:rFonts w:ascii="Arial" w:cs="Arial" w:eastAsia="Arial" w:hAnsi="Arial"/>
          <w:sz w:val="18"/>
          <w:szCs w:val="18"/>
          <w:color w:val="auto"/>
        </w:rPr>
        <w:t>As of June 30, 2021, the fair value of our investment portfolio totaled $743.5 million and consisted of 72 active portfolio companies and four portfolio companies that have sold their underlying operations. As of June 30, 2021, 28 portfolio companies’ debt investments bore interest at a variable rate, which represented $296.2 million, or 50.0%, of our debt investment portfolio on a fair value basis, and the remainder of our debt investment portfolio was comprised of fixed rate investments. Overall, the portfolio had net unrealized appreciation of $72.6 million as of June 30, 2021. As of June 30, 2021, our average active portfolio company investment at amortized cost was $9.3 million, which excludes investments in the four portfolio companies that have sold their underlying operations.</w:t>
      </w:r>
    </w:p>
    <w:p>
      <w:pPr>
        <w:spacing w:after="0" w:line="197" w:lineRule="exact"/>
        <w:rPr>
          <w:sz w:val="20"/>
          <w:szCs w:val="20"/>
          <w:color w:val="auto"/>
        </w:rPr>
      </w:pPr>
    </w:p>
    <w:p>
      <w:pPr>
        <w:ind w:left="240" w:right="40" w:firstLine="430"/>
        <w:spacing w:after="0" w:line="284" w:lineRule="auto"/>
        <w:rPr>
          <w:sz w:val="20"/>
          <w:szCs w:val="20"/>
          <w:color w:val="auto"/>
        </w:rPr>
      </w:pPr>
      <w:r>
        <w:rPr>
          <w:rFonts w:ascii="Arial" w:cs="Arial" w:eastAsia="Arial" w:hAnsi="Arial"/>
          <w:sz w:val="16"/>
          <w:szCs w:val="16"/>
          <w:color w:val="auto"/>
        </w:rPr>
        <w:t>As of December 31, 2020, the fair value of our investment portfolio totaled $742.9 million and consisted of 66 active portfolio companies and three portfolio companies that have sold their underlying operations. As of December 31, 2020, 22 portfolio companies’ debt investments bore interest at a variable rate, which represented $230.9 million, or 36.8%, of our debt investment portfolio on a fair value basis, and the remainder of our debt investment portfolio was comprised of fixed rate investments. Overall, the portfolio had net unrealized appreciation of $55.8 million as of December 31, 2020. As of December 31, 2020, our average active portfolio company investment at amortized cost was $10.4 million, which excludes investments in the three portfolio companies that have sold their underlying operations.</w:t>
      </w:r>
    </w:p>
    <w:p>
      <w:pPr>
        <w:spacing w:after="0" w:line="169" w:lineRule="exact"/>
        <w:rPr>
          <w:sz w:val="20"/>
          <w:szCs w:val="20"/>
          <w:color w:val="auto"/>
        </w:rPr>
      </w:pPr>
    </w:p>
    <w:p>
      <w:pPr>
        <w:ind w:left="240" w:right="20" w:firstLine="430"/>
        <w:spacing w:after="0" w:line="287" w:lineRule="auto"/>
        <w:rPr>
          <w:sz w:val="20"/>
          <w:szCs w:val="20"/>
          <w:color w:val="auto"/>
        </w:rPr>
      </w:pPr>
      <w:r>
        <w:rPr>
          <w:rFonts w:ascii="Arial" w:cs="Arial" w:eastAsia="Arial" w:hAnsi="Arial"/>
          <w:sz w:val="16"/>
          <w:szCs w:val="16"/>
          <w:color w:val="auto"/>
        </w:rPr>
        <w:t>The weighted average yield on debt investments as of June 30, 2021 and December 31, 2020 was 12.2% and 12.2%,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and investments recorded as a secured borrowing, if any.</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320" w:top="451" w:right="5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140" w:firstLine="430"/>
        <w:spacing w:after="0" w:line="262"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101"/>
              <w:spacing w:after="0" w:line="138" w:lineRule="exact"/>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92"/>
              <w:spacing w:after="0" w:line="138" w:lineRule="exact"/>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4"/>
                <w:szCs w:val="14"/>
                <w:b w:val="1"/>
                <w:bCs w:val="1"/>
                <w:color w:val="auto"/>
                <w:w w:val="88"/>
              </w:rPr>
              <w:t>December 31, 2020</w:t>
            </w:r>
          </w:p>
        </w:tc>
        <w:tc>
          <w:tcPr>
            <w:tcW w:w="200" w:type="dxa"/>
            <w:vAlign w:val="bottom"/>
            <w:tcBorders>
              <w:bottom w:val="single" w:sz="8" w:color="CCEEFF"/>
            </w:tcBorders>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 Debt</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$ 285.0</w:t>
            </w:r>
          </w:p>
        </w:tc>
        <w:tc>
          <w:tcPr>
            <w:tcW w:w="820" w:type="dxa"/>
            <w:vAlign w:val="bottom"/>
            <w:gridSpan w:val="3"/>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$ 187.4</w:t>
            </w:r>
          </w:p>
        </w:tc>
        <w:tc>
          <w:tcPr>
            <w:tcW w:w="820" w:type="dxa"/>
            <w:vAlign w:val="bottom"/>
            <w:gridSpan w:val="3"/>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$ 284.6</w:t>
            </w:r>
          </w:p>
        </w:tc>
        <w:tc>
          <w:tcPr>
            <w:tcW w:w="880" w:type="dxa"/>
            <w:vAlign w:val="bottom"/>
            <w:gridSpan w:val="3"/>
            <w:shd w:val="clear" w:color="auto" w:fill="CCEEFF"/>
          </w:tcPr>
          <w:p>
            <w:pPr>
              <w:jc w:val="right"/>
              <w:ind w:right="70"/>
              <w:spacing w:after="0" w:line="204" w:lineRule="exact"/>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$ 184.6</w:t>
            </w:r>
          </w:p>
        </w:tc>
        <w:tc>
          <w:tcPr>
            <w:tcW w:w="800" w:type="dxa"/>
            <w:vAlign w:val="bottom"/>
            <w:gridSpan w:val="3"/>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26.9%</w:t>
            </w:r>
          </w:p>
        </w:tc>
      </w:tr>
      <w:tr>
        <w:trPr>
          <w:trHeight w:val="211"/>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Second Lien Debt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208.0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Equity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147.2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$ 743.5</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$ 742.9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9"/>
              </w:rPr>
              <w:t>$ 670.9</w:t>
            </w:r>
          </w:p>
        </w:tc>
        <w:tc>
          <w:tcPr>
            <w:tcW w:w="880" w:type="dxa"/>
            <w:vAlign w:val="bottom"/>
            <w:gridSpan w:val="3"/>
          </w:tcPr>
          <w:p>
            <w:pPr>
              <w:jc w:val="right"/>
              <w:ind w:right="7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$ 687.0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780" w:hanging="431"/>
        <w:spacing w:after="0" w:line="253"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unitranche investments, which account for 30.6% and 33.8% of our portfolio on a fair value and cost basis as of June 30, 2021, respectively. Includes unitranche investments, which account for 17.3% and 18.4% of our portfolio on a fair value and cost basis as of December 31, 2020, respectively.</w:t>
      </w:r>
    </w:p>
    <w:p>
      <w:pPr>
        <w:spacing w:after="0" w:line="189" w:lineRule="exact"/>
        <w:rPr>
          <w:sz w:val="20"/>
          <w:szCs w:val="20"/>
          <w:color w:val="auto"/>
        </w:rPr>
      </w:pPr>
    </w:p>
    <w:p>
      <w:pPr>
        <w:ind w:left="240" w:right="260" w:firstLine="430"/>
        <w:spacing w:after="0" w:line="250" w:lineRule="auto"/>
        <w:rPr>
          <w:sz w:val="20"/>
          <w:szCs w:val="20"/>
          <w:color w:val="auto"/>
        </w:rPr>
      </w:pPr>
      <w:r>
        <w:rPr>
          <w:rFonts w:ascii="Arial" w:cs="Arial" w:eastAsia="Arial" w:hAnsi="Arial"/>
          <w:sz w:val="18"/>
          <w:szCs w:val="18"/>
          <w:color w:val="auto"/>
        </w:rPr>
        <w:t>All investments made by us as of June 30, 2021 and December 31, 2020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101"/>
              <w:spacing w:after="0" w:line="138" w:lineRule="exact"/>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92"/>
              <w:spacing w:after="0" w:line="138" w:lineRule="exact"/>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4"/>
                <w:szCs w:val="14"/>
                <w:b w:val="1"/>
                <w:bCs w:val="1"/>
                <w:color w:val="auto"/>
                <w:w w:val="88"/>
              </w:rPr>
              <w:t>December 31, 2020</w:t>
            </w:r>
          </w:p>
        </w:tc>
        <w:tc>
          <w:tcPr>
            <w:tcW w:w="200" w:type="dxa"/>
            <w:vAlign w:val="bottom"/>
            <w:tcBorders>
              <w:bottom w:val="single" w:sz="8" w:color="CCEEFF"/>
            </w:tcBorders>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Midwest</w:t>
            </w:r>
          </w:p>
        </w:tc>
        <w:tc>
          <w:tcPr>
            <w:tcW w:w="2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$ 195.4</w:t>
            </w:r>
          </w:p>
        </w:tc>
        <w:tc>
          <w:tcPr>
            <w:tcW w:w="820" w:type="dxa"/>
            <w:vAlign w:val="bottom"/>
            <w:gridSpan w:val="3"/>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$ 225.7</w:t>
            </w:r>
          </w:p>
        </w:tc>
        <w:tc>
          <w:tcPr>
            <w:tcW w:w="820" w:type="dxa"/>
            <w:vAlign w:val="bottom"/>
            <w:gridSpan w:val="3"/>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$ 147.2</w:t>
            </w:r>
          </w:p>
        </w:tc>
        <w:tc>
          <w:tcPr>
            <w:tcW w:w="880" w:type="dxa"/>
            <w:vAlign w:val="bottom"/>
            <w:gridSpan w:val="3"/>
            <w:shd w:val="clear" w:color="auto" w:fill="CCEEFF"/>
          </w:tcPr>
          <w:p>
            <w:pPr>
              <w:jc w:val="right"/>
              <w:ind w:right="70"/>
              <w:spacing w:after="0" w:line="204" w:lineRule="exact"/>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$ 189.6</w:t>
            </w:r>
          </w:p>
        </w:tc>
        <w:tc>
          <w:tcPr>
            <w:tcW w:w="800" w:type="dxa"/>
            <w:vAlign w:val="bottom"/>
            <w:gridSpan w:val="3"/>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27.6%</w:t>
            </w:r>
          </w:p>
        </w:tc>
      </w:tr>
      <w:tr>
        <w:trPr>
          <w:trHeight w:val="211"/>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Southeast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170.3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153.3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West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$ 743.5</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$ 742.9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9"/>
              </w:rPr>
              <w:t>$ 670.9</w:t>
            </w:r>
          </w:p>
        </w:tc>
        <w:tc>
          <w:tcPr>
            <w:tcW w:w="880" w:type="dxa"/>
            <w:vAlign w:val="bottom"/>
            <w:gridSpan w:val="3"/>
          </w:tcPr>
          <w:p>
            <w:pPr>
              <w:jc w:val="right"/>
              <w:ind w:right="7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$ 687.0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gridSpan w:val="2"/>
          </w:tcPr>
          <w:p>
            <w:pPr>
              <w:jc w:val="right"/>
              <w:ind w:right="58"/>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shows the detailed industry composition of our portfolio at fair value and cost as a percentage of total investments:</w:t>
      </w:r>
    </w:p>
    <w:p>
      <w:pPr>
        <w:spacing w:after="0" w:line="254"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952"/>
              <w:spacing w:after="0"/>
              <w:rPr>
                <w:sz w:val="20"/>
                <w:szCs w:val="20"/>
                <w:color w:val="auto"/>
              </w:rPr>
            </w:pPr>
            <w:r>
              <w:rPr>
                <w:rFonts w:ascii="Arial" w:cs="Arial" w:eastAsia="Arial" w:hAnsi="Arial"/>
                <w:sz w:val="14"/>
                <w:szCs w:val="14"/>
                <w:b w:val="1"/>
                <w:bCs w:val="1"/>
                <w:color w:val="auto"/>
                <w:w w:val="89"/>
              </w:rPr>
              <w:t>Fair Value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13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2"/>
                <w:szCs w:val="12"/>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b w:val="1"/>
                <w:bCs w:val="1"/>
                <w:color w:val="auto"/>
              </w:rPr>
              <w:t>December 31, 2020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Arial" w:cs="Arial" w:eastAsia="Arial" w:hAnsi="Arial"/>
                <w:sz w:val="14"/>
                <w:szCs w:val="14"/>
                <w:b w:val="1"/>
                <w:bCs w:val="1"/>
                <w:color w:val="auto"/>
                <w:w w:val="87"/>
              </w:rPr>
              <w:t>June 30, 2021</w:t>
            </w:r>
          </w:p>
        </w:tc>
        <w:tc>
          <w:tcPr>
            <w:tcW w:w="300" w:type="dxa"/>
            <w:vAlign w:val="bottom"/>
          </w:tcPr>
          <w:p>
            <w:pPr>
              <w:spacing w:after="0"/>
              <w:rPr>
                <w:sz w:val="12"/>
                <w:szCs w:val="12"/>
                <w:color w:val="auto"/>
              </w:rPr>
            </w:pPr>
          </w:p>
        </w:tc>
        <w:tc>
          <w:tcPr>
            <w:tcW w:w="1600" w:type="dxa"/>
            <w:vAlign w:val="bottom"/>
            <w:gridSpan w:val="2"/>
          </w:tcPr>
          <w:p>
            <w:pPr>
              <w:jc w:val="right"/>
              <w:spacing w:after="0" w:line="138" w:lineRule="exact"/>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4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5"/>
              <w:spacing w:after="0" w:line="204" w:lineRule="exact"/>
              <w:rPr>
                <w:sz w:val="20"/>
                <w:szCs w:val="20"/>
                <w:color w:val="auto"/>
              </w:rPr>
            </w:pPr>
            <w:r>
              <w:rPr>
                <w:rFonts w:ascii="Arial" w:cs="Arial" w:eastAsia="Arial" w:hAnsi="Arial"/>
                <w:sz w:val="18"/>
                <w:szCs w:val="18"/>
                <w:color w:val="auto"/>
              </w:rPr>
              <w:t>16.6%</w:t>
            </w:r>
          </w:p>
        </w:tc>
        <w:tc>
          <w:tcPr>
            <w:tcW w:w="54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265"/>
              <w:spacing w:after="0" w:line="204" w:lineRule="exact"/>
              <w:rPr>
                <w:sz w:val="20"/>
                <w:szCs w:val="20"/>
                <w:color w:val="auto"/>
              </w:rPr>
            </w:pPr>
            <w:r>
              <w:rPr>
                <w:rFonts w:ascii="Arial" w:cs="Arial" w:eastAsia="Arial" w:hAnsi="Arial"/>
                <w:sz w:val="18"/>
                <w:szCs w:val="18"/>
                <w:color w:val="auto"/>
              </w:rPr>
              <w:t>12.3%</w:t>
            </w:r>
          </w:p>
        </w:tc>
        <w:tc>
          <w:tcPr>
            <w:tcW w:w="28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85"/>
              <w:spacing w:after="0" w:line="204" w:lineRule="exact"/>
              <w:rPr>
                <w:sz w:val="20"/>
                <w:szCs w:val="20"/>
                <w:color w:val="auto"/>
              </w:rPr>
            </w:pPr>
            <w:r>
              <w:rPr>
                <w:rFonts w:ascii="Arial" w:cs="Arial" w:eastAsia="Arial" w:hAnsi="Arial"/>
                <w:sz w:val="18"/>
                <w:szCs w:val="18"/>
                <w:color w:val="auto"/>
              </w:rPr>
              <w:t>18.0%</w:t>
            </w:r>
          </w:p>
        </w:tc>
        <w:tc>
          <w:tcPr>
            <w:tcW w:w="46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45"/>
              <w:spacing w:after="0" w:line="204"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Healthcare Products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Component Manufacturing</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Aerospace &amp; Defense Manufacturing</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Building Products Manufacturing</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Services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Promotional Products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Consumer Products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Utilities: Services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Oil &amp; Gas Distribution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Retail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Utility Equipment Manufacturing</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Vending Equipment Manufacturing</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Restaurants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80" w:type="dxa"/>
            <w:vAlign w:val="bottom"/>
          </w:tcPr>
          <w:p>
            <w:pPr>
              <w:jc w:val="right"/>
              <w:ind w:right="185"/>
              <w:spacing w:after="0"/>
              <w:rPr>
                <w:sz w:val="20"/>
                <w:szCs w:val="20"/>
                <w:color w:val="auto"/>
              </w:rPr>
            </w:pPr>
            <w:r>
              <w:rPr>
                <w:rFonts w:ascii="Arial" w:cs="Arial" w:eastAsia="Arial" w:hAnsi="Arial"/>
                <w:sz w:val="15"/>
                <w:szCs w:val="15"/>
                <w:color w:val="auto"/>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Specialty Chemicals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Packaging</w:t>
            </w:r>
          </w:p>
        </w:tc>
        <w:tc>
          <w:tcPr>
            <w:tcW w:w="840" w:type="dxa"/>
            <w:vAlign w:val="bottom"/>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100.0%</w:t>
            </w:r>
          </w:p>
        </w:tc>
        <w:tc>
          <w:tcPr>
            <w:tcW w:w="2140" w:type="dxa"/>
            <w:vAlign w:val="bottom"/>
            <w:gridSpan w:val="3"/>
            <w:shd w:val="clear" w:color="auto" w:fill="CCEEFF"/>
          </w:tcPr>
          <w:p>
            <w:pPr>
              <w:jc w:val="right"/>
              <w:ind w:right="265"/>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100.0%</w:t>
            </w:r>
          </w:p>
        </w:tc>
        <w:tc>
          <w:tcPr>
            <w:tcW w:w="18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Portfolio Asset Quality</w:t>
      </w:r>
    </w:p>
    <w:p>
      <w:pPr>
        <w:spacing w:after="0" w:line="115" w:lineRule="exact"/>
        <w:rPr>
          <w:sz w:val="20"/>
          <w:szCs w:val="20"/>
          <w:color w:val="auto"/>
        </w:rPr>
      </w:pPr>
    </w:p>
    <w:p>
      <w:pPr>
        <w:ind w:left="240" w:right="300" w:firstLine="430"/>
        <w:spacing w:after="0" w:line="253" w:lineRule="auto"/>
        <w:rPr>
          <w:sz w:val="20"/>
          <w:szCs w:val="20"/>
          <w:color w:val="auto"/>
        </w:rPr>
      </w:pPr>
      <w:r>
        <w:rPr>
          <w:rFonts w:ascii="Arial" w:cs="Arial" w:eastAsia="Arial" w:hAnsi="Arial"/>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96" w:lineRule="exact"/>
        <w:rPr>
          <w:sz w:val="20"/>
          <w:szCs w:val="20"/>
          <w:color w:val="auto"/>
        </w:rPr>
      </w:pPr>
    </w:p>
    <w:p>
      <w:pPr>
        <w:ind w:left="1200" w:right="340" w:hanging="424"/>
        <w:spacing w:after="0" w:line="253"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96" w:lineRule="exact"/>
        <w:rPr>
          <w:rFonts w:ascii="Arial" w:cs="Arial" w:eastAsia="Arial" w:hAnsi="Arial"/>
          <w:sz w:val="18"/>
          <w:szCs w:val="18"/>
          <w:color w:val="auto"/>
        </w:rPr>
      </w:pPr>
    </w:p>
    <w:p>
      <w:pPr>
        <w:ind w:left="1200" w:right="60" w:hanging="424"/>
        <w:spacing w:after="0" w:line="253"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96" w:lineRule="exact"/>
        <w:rPr>
          <w:rFonts w:ascii="Arial" w:cs="Arial" w:eastAsia="Arial" w:hAnsi="Arial"/>
          <w:sz w:val="18"/>
          <w:szCs w:val="18"/>
          <w:color w:val="auto"/>
        </w:rPr>
      </w:pPr>
    </w:p>
    <w:p>
      <w:pPr>
        <w:ind w:left="1200" w:right="220" w:hanging="424"/>
        <w:spacing w:after="0" w:line="253"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96" w:lineRule="exact"/>
        <w:rPr>
          <w:rFonts w:ascii="Arial" w:cs="Arial" w:eastAsia="Arial" w:hAnsi="Arial"/>
          <w:sz w:val="18"/>
          <w:szCs w:val="18"/>
          <w:color w:val="auto"/>
        </w:rPr>
      </w:pPr>
    </w:p>
    <w:p>
      <w:pPr>
        <w:ind w:left="1200" w:right="720" w:hanging="424"/>
        <w:spacing w:after="0" w:line="325" w:lineRule="auto"/>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41" w:lineRule="exact"/>
        <w:rPr>
          <w:rFonts w:ascii="Arial" w:cs="Arial" w:eastAsia="Arial" w:hAnsi="Arial"/>
          <w:sz w:val="16"/>
          <w:szCs w:val="16"/>
          <w:color w:val="auto"/>
        </w:rPr>
      </w:pPr>
    </w:p>
    <w:p>
      <w:pPr>
        <w:ind w:left="1200" w:right="340" w:hanging="424"/>
        <w:spacing w:after="0" w:line="262"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320" w:top="451" w:right="5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June 30, 2021 and</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December 31, 2020 (dollars in millions):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80" w:type="dxa"/>
            <w:vAlign w:val="bottom"/>
            <w:gridSpan w:val="3"/>
            <w:vMerge w:val="continue"/>
          </w:tcPr>
          <w:p>
            <w:pPr>
              <w:spacing w:after="0"/>
              <w:rPr>
                <w:sz w:val="12"/>
                <w:szCs w:val="12"/>
                <w:color w:val="auto"/>
              </w:rPr>
            </w:pPr>
          </w:p>
        </w:tc>
        <w:tc>
          <w:tcPr>
            <w:tcW w:w="1360" w:type="dxa"/>
            <w:vAlign w:val="bottom"/>
            <w:gridSpan w:val="4"/>
          </w:tcPr>
          <w:p>
            <w:pPr>
              <w:jc w:val="right"/>
              <w:ind w:right="400"/>
              <w:spacing w:after="0" w:line="138" w:lineRule="exact"/>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2"/>
                <w:szCs w:val="12"/>
                <w:color w:val="auto"/>
              </w:rPr>
            </w:pPr>
          </w:p>
        </w:tc>
        <w:tc>
          <w:tcPr>
            <w:tcW w:w="1140" w:type="dxa"/>
            <w:vAlign w:val="bottom"/>
            <w:gridSpan w:val="3"/>
          </w:tcPr>
          <w:p>
            <w:pPr>
              <w:jc w:val="right"/>
              <w:spacing w:after="0" w:line="138" w:lineRule="exact"/>
              <w:rPr>
                <w:sz w:val="20"/>
                <w:szCs w:val="20"/>
                <w:color w:val="auto"/>
              </w:rPr>
            </w:pPr>
            <w:r>
              <w:rPr>
                <w:rFonts w:ascii="Arial" w:cs="Arial" w:eastAsia="Arial" w:hAnsi="Arial"/>
                <w:sz w:val="14"/>
                <w:szCs w:val="14"/>
                <w:b w:val="1"/>
                <w:bCs w:val="1"/>
                <w:color w:val="auto"/>
                <w:w w:val="88"/>
              </w:rPr>
              <w:t>December 31, 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410"/>
              <w:spacing w:after="0" w:line="138" w:lineRule="exact"/>
              <w:rPr>
                <w:sz w:val="20"/>
                <w:szCs w:val="20"/>
                <w:color w:val="auto"/>
              </w:rPr>
            </w:pPr>
            <w:r>
              <w:rPr>
                <w:rFonts w:ascii="Arial" w:cs="Arial" w:eastAsia="Arial" w:hAnsi="Arial"/>
                <w:sz w:val="14"/>
                <w:szCs w:val="14"/>
                <w:b w:val="1"/>
                <w:bCs w:val="1"/>
                <w:color w:val="auto"/>
                <w:w w:val="92"/>
              </w:rPr>
              <w:t>June 30, 2021</w:t>
            </w:r>
          </w:p>
        </w:tc>
        <w:tc>
          <w:tcPr>
            <w:tcW w:w="1140" w:type="dxa"/>
            <w:vAlign w:val="bottom"/>
            <w:gridSpan w:val="4"/>
          </w:tcPr>
          <w:p>
            <w:pPr>
              <w:spacing w:after="0" w:line="138" w:lineRule="exact"/>
              <w:rPr>
                <w:sz w:val="20"/>
                <w:szCs w:val="20"/>
                <w:color w:val="auto"/>
              </w:rPr>
            </w:pPr>
            <w:r>
              <w:rPr>
                <w:rFonts w:ascii="Arial" w:cs="Arial" w:eastAsia="Arial" w:hAnsi="Arial"/>
                <w:sz w:val="14"/>
                <w:szCs w:val="14"/>
                <w:b w:val="1"/>
                <w:bCs w:val="1"/>
                <w:color w:val="auto"/>
                <w:w w:val="88"/>
              </w:rPr>
              <w:t>December 31, 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$ 131.2</w:t>
            </w:r>
          </w:p>
        </w:tc>
        <w:tc>
          <w:tcPr>
            <w:tcW w:w="820" w:type="dxa"/>
            <w:vAlign w:val="bottom"/>
            <w:gridSpan w:val="3"/>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17.6%</w:t>
            </w:r>
          </w:p>
        </w:tc>
        <w:tc>
          <w:tcPr>
            <w:tcW w:w="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$ 109.3</w:t>
            </w:r>
          </w:p>
        </w:tc>
        <w:tc>
          <w:tcPr>
            <w:tcW w:w="820" w:type="dxa"/>
            <w:vAlign w:val="bottom"/>
            <w:gridSpan w:val="3"/>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14.7%</w:t>
            </w:r>
          </w:p>
        </w:tc>
        <w:tc>
          <w:tcPr>
            <w:tcW w:w="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45.6</w:t>
            </w:r>
          </w:p>
        </w:tc>
        <w:tc>
          <w:tcPr>
            <w:tcW w:w="900" w:type="dxa"/>
            <w:vAlign w:val="bottom"/>
            <w:tcBorders>
              <w:right w:val="single" w:sz="8" w:color="CCEEFF"/>
            </w:tcBorders>
            <w:gridSpan w:val="3"/>
            <w:shd w:val="clear" w:color="auto" w:fill="CCEEFF"/>
          </w:tcPr>
          <w:p>
            <w:pPr>
              <w:jc w:val="right"/>
              <w:ind w:right="90"/>
              <w:spacing w:after="0" w:line="204"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38.7</w:t>
            </w:r>
          </w:p>
        </w:tc>
        <w:tc>
          <w:tcPr>
            <w:tcW w:w="800" w:type="dxa"/>
            <w:vAlign w:val="bottom"/>
            <w:gridSpan w:val="3"/>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527.2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520.3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$ 743.5</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$ 742.9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670.9</w:t>
            </w:r>
          </w:p>
        </w:tc>
        <w:tc>
          <w:tcPr>
            <w:tcW w:w="900" w:type="dxa"/>
            <w:vAlign w:val="bottom"/>
            <w:gridSpan w:val="3"/>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687.0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120" w:firstLine="430"/>
        <w:spacing w:after="0" w:line="262" w:lineRule="auto"/>
        <w:rPr>
          <w:sz w:val="20"/>
          <w:szCs w:val="20"/>
          <w:color w:val="auto"/>
        </w:rPr>
      </w:pPr>
      <w:r>
        <w:rPr>
          <w:rFonts w:ascii="Arial" w:cs="Arial" w:eastAsia="Arial" w:hAnsi="Arial"/>
          <w:sz w:val="18"/>
          <w:szCs w:val="18"/>
          <w:color w:val="auto"/>
        </w:rPr>
        <w:t>Based on our investment rating system, the weighted average rating of our portfolio as of June 30, 2021 and December 31, 2020 was 2.0 and 2.0, respectively, on a fair value basis and 2.1 and 2.2, respectively, on a cost basis.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Non-Accrual</w:t>
      </w:r>
    </w:p>
    <w:p>
      <w:pPr>
        <w:spacing w:after="0" w:line="109" w:lineRule="exact"/>
        <w:rPr>
          <w:sz w:val="20"/>
          <w:szCs w:val="20"/>
          <w:color w:val="auto"/>
        </w:rPr>
      </w:pPr>
    </w:p>
    <w:p>
      <w:pPr>
        <w:ind w:left="240" w:right="480" w:firstLine="430"/>
        <w:spacing w:after="0" w:line="262" w:lineRule="auto"/>
        <w:rPr>
          <w:sz w:val="20"/>
          <w:szCs w:val="20"/>
          <w:color w:val="auto"/>
        </w:rPr>
      </w:pPr>
      <w:r>
        <w:rPr>
          <w:rFonts w:ascii="Arial" w:cs="Arial" w:eastAsia="Arial" w:hAnsi="Arial"/>
          <w:sz w:val="18"/>
          <w:szCs w:val="18"/>
          <w:color w:val="auto"/>
        </w:rPr>
        <w:t>As of June 30, 2021, we had no debt investments on non-accrual status. As of December 31, 2020, we had debt investments in one portfolio company on non-accrual status, (dollars in millions).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325"/>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138"/>
        </w:trPr>
        <w:tc>
          <w:tcPr>
            <w:tcW w:w="6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245"/>
              <w:spacing w:after="0" w:line="138" w:lineRule="exact"/>
              <w:rPr>
                <w:sz w:val="20"/>
                <w:szCs w:val="20"/>
                <w:color w:val="auto"/>
              </w:rPr>
            </w:pPr>
            <w:r>
              <w:rPr>
                <w:rFonts w:ascii="Arial" w:cs="Arial" w:eastAsia="Arial" w:hAnsi="Arial"/>
                <w:sz w:val="14"/>
                <w:szCs w:val="14"/>
                <w:b w:val="1"/>
                <w:bCs w:val="1"/>
                <w:color w:val="auto"/>
                <w:w w:val="89"/>
              </w:rPr>
              <w:t>Fair Value</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
              <w:spacing w:after="0" w:line="138" w:lineRule="exact"/>
              <w:rPr>
                <w:sz w:val="20"/>
                <w:szCs w:val="20"/>
                <w:color w:val="auto"/>
              </w:rPr>
            </w:pPr>
            <w:r>
              <w:rPr>
                <w:rFonts w:ascii="Arial" w:cs="Arial" w:eastAsia="Arial" w:hAnsi="Arial"/>
                <w:sz w:val="14"/>
                <w:szCs w:val="14"/>
                <w:b w:val="1"/>
                <w:bCs w:val="1"/>
                <w:color w:val="auto"/>
                <w:w w:val="96"/>
              </w:rPr>
              <w:t>Cost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EBL, LLC (EbLens)</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ind w:left="160"/>
              <w:spacing w:after="0" w:line="204"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87"/>
              </w:rPr>
              <w:t>(2)</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
              <w:spacing w:after="0" w:line="204" w:lineRule="exact"/>
              <w:rPr>
                <w:sz w:val="20"/>
                <w:szCs w:val="20"/>
                <w:color w:val="auto"/>
              </w:rPr>
            </w:pPr>
            <w:r>
              <w:rPr>
                <w:rFonts w:ascii="Arial" w:cs="Arial" w:eastAsia="Arial" w:hAnsi="Arial"/>
                <w:sz w:val="18"/>
                <w:szCs w:val="18"/>
                <w:color w:val="auto"/>
                <w:w w:val="84"/>
              </w:rPr>
              <w:t>$ —</w:t>
            </w:r>
          </w:p>
        </w:tc>
        <w:tc>
          <w:tcPr>
            <w:tcW w:w="320" w:type="dxa"/>
            <w:vAlign w:val="bottom"/>
            <w:tcBorders>
              <w:top w:val="single" w:sz="8" w:color="CCEEFF"/>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6"/>
              </w:rPr>
              <w:t>(2)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5.5</w:t>
            </w:r>
          </w:p>
        </w:tc>
        <w:tc>
          <w:tcPr>
            <w:tcW w:w="360" w:type="dxa"/>
            <w:vAlign w:val="bottom"/>
            <w:tcBorders>
              <w:top w:val="single" w:sz="8" w:color="CCEEFF"/>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9"/>
              </w:rPr>
              <w:t>$ 9.2</w:t>
            </w:r>
          </w:p>
        </w:tc>
        <w:tc>
          <w:tcPr>
            <w:tcW w:w="26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7"/>
        </w:trPr>
        <w:tc>
          <w:tcPr>
            <w:tcW w:w="69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4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45"/>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5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$ 9.2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20" w:hanging="431"/>
        <w:spacing w:after="0" w:line="251"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ind w:left="680" w:hanging="43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Portfolio company debt investment was not on non-accrual status at period end.</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Comparison of three and six months ended June 30, 2021 and 2020</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Investment Income</w:t>
      </w:r>
    </w:p>
    <w:p>
      <w:pPr>
        <w:spacing w:after="0" w:line="109" w:lineRule="exact"/>
        <w:rPr>
          <w:sz w:val="20"/>
          <w:szCs w:val="20"/>
          <w:color w:val="auto"/>
        </w:rPr>
      </w:pPr>
    </w:p>
    <w:p>
      <w:pPr>
        <w:ind w:left="240" w:right="120" w:firstLine="430"/>
        <w:spacing w:after="0" w:line="262" w:lineRule="auto"/>
        <w:rPr>
          <w:sz w:val="20"/>
          <w:szCs w:val="20"/>
          <w:color w:val="auto"/>
        </w:rPr>
      </w:pPr>
      <w:r>
        <w:rPr>
          <w:rFonts w:ascii="Arial" w:cs="Arial" w:eastAsia="Arial" w:hAnsi="Arial"/>
          <w:sz w:val="18"/>
          <w:szCs w:val="18"/>
          <w:color w:val="auto"/>
        </w:rPr>
        <w:t>Below is a summary of the changes in total investment income for the three months ended June 30, 2021 as compared to the same period in 2020 (dollars in millions):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w w:val="90"/>
              </w:rPr>
              <w:t>Three Months Ended June 30,</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 xml:space="preserve">% Change </w:t>
            </w:r>
            <w:r>
              <w:rPr>
                <w:rFonts w:ascii="Arial" w:cs="Arial" w:eastAsia="Arial" w:hAnsi="Arial"/>
                <w:sz w:val="11"/>
                <w:szCs w:val="11"/>
                <w:b w:val="1"/>
                <w:bCs w:val="1"/>
                <w:color w:val="auto"/>
                <w:w w:val="93"/>
              </w:rPr>
              <w:t>(1)(2)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77"/>
              <w:spacing w:after="0" w:line="138"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5"/>
              <w:spacing w:after="0" w:line="138" w:lineRule="exact"/>
              <w:rPr>
                <w:sz w:val="20"/>
                <w:szCs w:val="20"/>
                <w:color w:val="auto"/>
              </w:rPr>
            </w:pPr>
            <w:r>
              <w:rPr>
                <w:rFonts w:ascii="Arial" w:cs="Arial" w:eastAsia="Arial" w:hAnsi="Arial"/>
                <w:sz w:val="14"/>
                <w:szCs w:val="14"/>
                <w:b w:val="1"/>
                <w:bCs w:val="1"/>
                <w:color w:val="auto"/>
              </w:rPr>
              <w:t>2020</w:t>
            </w:r>
          </w:p>
        </w:tc>
        <w:tc>
          <w:tcPr>
            <w:tcW w:w="5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17.8</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18.8</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w:t>
            </w: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Fee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6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Percent change calculated based on underlying dollar amounts in thousands as presented on the consolidated statements of operations.</w:t>
      </w:r>
    </w:p>
    <w:p>
      <w:pPr>
        <w:spacing w:after="0" w:line="226" w:lineRule="exact"/>
        <w:rPr>
          <w:sz w:val="20"/>
          <w:szCs w:val="20"/>
          <w:color w:val="auto"/>
        </w:rPr>
      </w:pPr>
    </w:p>
    <w:p>
      <w:pPr>
        <w:ind w:left="240" w:right="60" w:firstLine="430"/>
        <w:spacing w:after="0" w:line="253" w:lineRule="auto"/>
        <w:rPr>
          <w:sz w:val="20"/>
          <w:szCs w:val="20"/>
          <w:color w:val="auto"/>
        </w:rPr>
      </w:pPr>
      <w:r>
        <w:rPr>
          <w:rFonts w:ascii="Arial" w:cs="Arial" w:eastAsia="Arial" w:hAnsi="Arial"/>
          <w:sz w:val="18"/>
          <w:szCs w:val="18"/>
          <w:color w:val="auto"/>
        </w:rPr>
        <w:t>For the three months ended June 30, 2021, total investment income was $21.8 million, an increase of $1.4 million or 6.8%, from the $20.4 million of total investment income for the three months ended June 30, 2020. As reflected in the table above, the increase is primarily attributable to the following:</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320" w:top="451" w:right="5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1200" w:hanging="424"/>
        <w:spacing w:after="0" w:line="262"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$1.7 million increase in fee income resulting from an increase in origination, prepayment, and amendment fees during 2021 as compared to 2020.</w:t>
      </w:r>
    </w:p>
    <w:p>
      <w:pPr>
        <w:spacing w:after="0" w:line="88" w:lineRule="exact"/>
        <w:rPr>
          <w:rFonts w:ascii="Arial" w:cs="Arial" w:eastAsia="Arial" w:hAnsi="Arial"/>
          <w:sz w:val="18"/>
          <w:szCs w:val="18"/>
          <w:color w:val="auto"/>
        </w:rPr>
      </w:pPr>
    </w:p>
    <w:p>
      <w:pPr>
        <w:ind w:left="1200" w:hanging="424"/>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$0.8 million increase in dividend income due to increased levels of distributions received from equity investments.</w:t>
      </w:r>
    </w:p>
    <w:p>
      <w:pPr>
        <w:spacing w:after="0" w:line="122" w:lineRule="exact"/>
        <w:rPr>
          <w:rFonts w:ascii="Arial" w:cs="Arial" w:eastAsia="Arial" w:hAnsi="Arial"/>
          <w:sz w:val="18"/>
          <w:szCs w:val="18"/>
          <w:color w:val="auto"/>
        </w:rPr>
      </w:pPr>
    </w:p>
    <w:p>
      <w:pPr>
        <w:jc w:val="both"/>
        <w:ind w:left="1200" w:right="60" w:hanging="424"/>
        <w:spacing w:after="0" w:line="253"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 million decrease in total interest income (which includes a $0.1 million decrease in payment-in-kind interest income) resulting from a decrease in average debt investment balances, partially offset by a higher weighted average yield on debt investment balances outstanding, during 2021 as compared to 2020.</w:t>
      </w:r>
    </w:p>
    <w:p>
      <w:pPr>
        <w:spacing w:after="0" w:line="189" w:lineRule="exact"/>
        <w:rPr>
          <w:sz w:val="20"/>
          <w:szCs w:val="20"/>
          <w:color w:val="auto"/>
        </w:rPr>
      </w:pPr>
    </w:p>
    <w:p>
      <w:pPr>
        <w:ind w:left="240" w:right="280" w:firstLine="430"/>
        <w:spacing w:after="0" w:line="262" w:lineRule="auto"/>
        <w:rPr>
          <w:sz w:val="20"/>
          <w:szCs w:val="20"/>
          <w:color w:val="auto"/>
        </w:rPr>
      </w:pPr>
      <w:r>
        <w:rPr>
          <w:rFonts w:ascii="Arial" w:cs="Arial" w:eastAsia="Arial" w:hAnsi="Arial"/>
          <w:sz w:val="18"/>
          <w:szCs w:val="18"/>
          <w:color w:val="auto"/>
        </w:rPr>
        <w:t>Below is a summary of the changes in total investment income for the six months ended June 30, 2021 as compared to the same period in 2020 (dollars in millions):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5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5"/>
              </w:rPr>
              <w:t>Change</w:t>
            </w:r>
          </w:p>
        </w:tc>
        <w:tc>
          <w:tcPr>
            <w:tcW w:w="14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1"/>
                <w:szCs w:val="11"/>
                <w:b w:val="1"/>
                <w:bCs w:val="1"/>
                <w:color w:val="auto"/>
              </w:rPr>
              <w:t>(1)(2)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38"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38" w:lineRule="exact"/>
              <w:rPr>
                <w:sz w:val="20"/>
                <w:szCs w:val="20"/>
                <w:color w:val="auto"/>
              </w:rPr>
            </w:pPr>
            <w:r>
              <w:rPr>
                <w:rFonts w:ascii="Arial" w:cs="Arial" w:eastAsia="Arial" w:hAnsi="Arial"/>
                <w:sz w:val="14"/>
                <w:szCs w:val="14"/>
                <w:b w:val="1"/>
                <w:bCs w:val="1"/>
                <w:color w:val="auto"/>
              </w:rPr>
              <w:t>2020</w:t>
            </w:r>
          </w:p>
        </w:tc>
        <w:tc>
          <w:tcPr>
            <w:tcW w:w="5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36.9</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36.3</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0.6</w:t>
            </w: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Fee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1</w:t>
            </w:r>
          </w:p>
        </w:tc>
        <w:tc>
          <w:tcPr>
            <w:tcW w:w="4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Percent change calculated based on underlying dollar amounts in thousands as presented on the consolidated statements of operations.</w:t>
      </w:r>
    </w:p>
    <w:p>
      <w:pPr>
        <w:spacing w:after="0" w:line="226" w:lineRule="exact"/>
        <w:rPr>
          <w:sz w:val="20"/>
          <w:szCs w:val="20"/>
          <w:color w:val="auto"/>
        </w:rPr>
      </w:pPr>
    </w:p>
    <w:p>
      <w:pPr>
        <w:ind w:left="240" w:firstLine="430"/>
        <w:spacing w:after="0" w:line="325" w:lineRule="auto"/>
        <w:rPr>
          <w:sz w:val="20"/>
          <w:szCs w:val="20"/>
          <w:color w:val="auto"/>
        </w:rPr>
      </w:pPr>
      <w:r>
        <w:rPr>
          <w:rFonts w:ascii="Arial" w:cs="Arial" w:eastAsia="Arial" w:hAnsi="Arial"/>
          <w:sz w:val="16"/>
          <w:szCs w:val="16"/>
          <w:color w:val="auto"/>
        </w:rPr>
        <w:t>For the six months ended June 30, 2021, total investment income was $45.1 million, an increase of $4.7 million or 11.6%, from the $40.4 million of total investment income for the six months ended June 30, 2020. As reflected in the table above, the increase is primarily attributable to the following:</w:t>
      </w:r>
    </w:p>
    <w:p>
      <w:pPr>
        <w:spacing w:after="0" w:line="42" w:lineRule="exact"/>
        <w:rPr>
          <w:sz w:val="20"/>
          <w:szCs w:val="20"/>
          <w:color w:val="auto"/>
        </w:rPr>
      </w:pPr>
    </w:p>
    <w:p>
      <w:pPr>
        <w:ind w:left="1200" w:hanging="424"/>
        <w:spacing w:after="0" w:line="262"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$3.5 million increase in fee income resulting from an increase in origination, prepayment, and amendment fees during 2021 as compared to 2020.</w:t>
      </w:r>
    </w:p>
    <w:p>
      <w:pPr>
        <w:spacing w:after="0" w:line="88" w:lineRule="exact"/>
        <w:rPr>
          <w:rFonts w:ascii="Arial" w:cs="Arial" w:eastAsia="Arial" w:hAnsi="Arial"/>
          <w:sz w:val="18"/>
          <w:szCs w:val="18"/>
          <w:color w:val="auto"/>
        </w:rPr>
      </w:pPr>
    </w:p>
    <w:p>
      <w:pPr>
        <w:ind w:left="1200" w:hanging="424"/>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$0.8 million increase in dividend income due to increased levels of distributions received from equity investments.</w:t>
      </w:r>
    </w:p>
    <w:p>
      <w:pPr>
        <w:spacing w:after="0" w:line="122" w:lineRule="exact"/>
        <w:rPr>
          <w:rFonts w:ascii="Arial" w:cs="Arial" w:eastAsia="Arial" w:hAnsi="Arial"/>
          <w:sz w:val="18"/>
          <w:szCs w:val="18"/>
          <w:color w:val="auto"/>
        </w:rPr>
      </w:pPr>
    </w:p>
    <w:p>
      <w:pPr>
        <w:jc w:val="both"/>
        <w:ind w:left="1200" w:right="100" w:hanging="424"/>
        <w:spacing w:after="0" w:line="253"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$0.4 million increase in total interest income (which includes a $0.2 million decrease in payment-in-kind interest income) resulting from a decrease in average debt investment balances outstanding, partially offset by a higher weighted average yield on debt investment balances outstanding, during 2021 as compared to 2020.</w:t>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Expenses</w:t>
      </w:r>
    </w:p>
    <w:p>
      <w:pPr>
        <w:spacing w:after="0" w:line="109" w:lineRule="exact"/>
        <w:rPr>
          <w:sz w:val="20"/>
          <w:szCs w:val="20"/>
          <w:color w:val="auto"/>
        </w:rPr>
      </w:pPr>
    </w:p>
    <w:p>
      <w:pPr>
        <w:ind w:left="240" w:right="240" w:firstLine="430"/>
        <w:spacing w:after="0" w:line="262"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June 30, 2021 as compared to the same period in 2020 (dollars in millions):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320" w:top="451" w:right="5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4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4"/>
                <w:szCs w:val="14"/>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 xml:space="preserve">% Change </w:t>
            </w:r>
            <w:r>
              <w:rPr>
                <w:rFonts w:ascii="Arial" w:cs="Arial" w:eastAsia="Arial" w:hAnsi="Arial"/>
                <w:sz w:val="11"/>
                <w:szCs w:val="11"/>
                <w:b w:val="1"/>
                <w:bCs w:val="1"/>
                <w:color w:val="auto"/>
                <w:w w:val="93"/>
              </w:rPr>
              <w:t>(1)(2)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4"/>
              <w:spacing w:after="0" w:line="138"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4"/>
              <w:spacing w:after="0" w:line="138" w:lineRule="exact"/>
              <w:rPr>
                <w:sz w:val="20"/>
                <w:szCs w:val="20"/>
                <w:color w:val="auto"/>
              </w:rPr>
            </w:pPr>
            <w:r>
              <w:rPr>
                <w:rFonts w:ascii="Arial" w:cs="Arial" w:eastAsia="Arial" w:hAnsi="Arial"/>
                <w:sz w:val="14"/>
                <w:szCs w:val="14"/>
                <w:b w:val="1"/>
                <w:bCs w:val="1"/>
                <w:color w:val="auto"/>
              </w:rPr>
              <w:t>2020</w:t>
            </w:r>
          </w:p>
        </w:tc>
        <w:tc>
          <w:tcPr>
            <w:tcW w:w="4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and financing expenses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4.6</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4.9</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(0.3)</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Base management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Incentive fee (reversal) - capital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Total expenses, before base management and income incentive fee waivers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and income incentive fee waivers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Total expenses, before income tax provision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gridSpan w:val="2"/>
          </w:tcPr>
          <w:p>
            <w:pPr>
              <w:spacing w:after="0"/>
              <w:rPr>
                <w:sz w:val="20"/>
                <w:szCs w:val="20"/>
                <w:color w:val="auto"/>
              </w:rPr>
            </w:pPr>
            <w:r>
              <w:rPr>
                <w:rFonts w:ascii="Arial" w:cs="Arial" w:eastAsia="Arial" w:hAnsi="Arial"/>
                <w:sz w:val="18"/>
                <w:szCs w:val="18"/>
                <w:color w:val="auto"/>
              </w:rPr>
              <w:t>Total expenses, including income tax provision</w:t>
            </w:r>
          </w:p>
        </w:tc>
        <w:tc>
          <w:tcPr>
            <w:tcW w:w="180" w:type="dxa"/>
            <w:vAlign w:val="bottom"/>
            <w:gridSpan w:val="2"/>
          </w:tcPr>
          <w:p>
            <w:pPr>
              <w:jc w:val="right"/>
              <w:ind w:right="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Percent change calculated based on underlying dollar amounts in thousands as presented on the consolidated statements of operations.</w:t>
      </w:r>
    </w:p>
    <w:p>
      <w:pPr>
        <w:spacing w:after="0" w:line="226" w:lineRule="exact"/>
        <w:rPr>
          <w:sz w:val="20"/>
          <w:szCs w:val="20"/>
          <w:color w:val="auto"/>
        </w:rPr>
      </w:pPr>
    </w:p>
    <w:p>
      <w:pPr>
        <w:ind w:left="240" w:right="140" w:firstLine="430"/>
        <w:spacing w:after="0" w:line="253" w:lineRule="auto"/>
        <w:rPr>
          <w:sz w:val="20"/>
          <w:szCs w:val="20"/>
          <w:color w:val="auto"/>
        </w:rPr>
      </w:pPr>
      <w:r>
        <w:rPr>
          <w:rFonts w:ascii="Arial" w:cs="Arial" w:eastAsia="Arial" w:hAnsi="Arial"/>
          <w:sz w:val="18"/>
          <w:szCs w:val="18"/>
          <w:color w:val="auto"/>
        </w:rPr>
        <w:t>For the three months ended June 30, 2021, total expenses, including income tax provision, were $15.3 million, an increase of $4.2 million or 37.8%, from the $11.1 million of total expenses for the three months ended June 30, 2020. As reflected in the table above, changes across periods were primarily attributable to the following:</w:t>
      </w:r>
    </w:p>
    <w:p>
      <w:pPr>
        <w:spacing w:after="0" w:line="96" w:lineRule="exact"/>
        <w:rPr>
          <w:sz w:val="20"/>
          <w:szCs w:val="20"/>
          <w:color w:val="auto"/>
        </w:rPr>
      </w:pPr>
    </w:p>
    <w:p>
      <w:pPr>
        <w:ind w:left="1200" w:right="280" w:hanging="424"/>
        <w:spacing w:after="0" w:line="253"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$4.1 million increase in the accrued capital gains incentive fee due to a $20.7 million increase in net gain on investments (net realized gains (losses), plus net change in unrealized appreciation (depreciation) on investments), plus realized losses on extinguishment of debt during 2021 as compared to the same period in 2020.</w:t>
      </w:r>
    </w:p>
    <w:p>
      <w:pPr>
        <w:spacing w:after="0" w:line="96" w:lineRule="exact"/>
        <w:rPr>
          <w:rFonts w:ascii="Arial" w:cs="Arial" w:eastAsia="Arial" w:hAnsi="Arial"/>
          <w:sz w:val="18"/>
          <w:szCs w:val="18"/>
          <w:color w:val="auto"/>
        </w:rPr>
      </w:pPr>
    </w:p>
    <w:p>
      <w:pPr>
        <w:ind w:left="1200" w:right="60" w:hanging="424"/>
        <w:spacing w:after="0" w:line="262"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$0.8 million net increase in the income incentive fee due to a $1.8 million increase in pre-incentive fee net investment income during 2021 and a one-time $0.4 income incentive fee waiver in 2020, as compared to the same period in 2020.</w:t>
      </w:r>
    </w:p>
    <w:p>
      <w:pPr>
        <w:spacing w:after="0" w:line="88" w:lineRule="exact"/>
        <w:rPr>
          <w:rFonts w:ascii="Arial" w:cs="Arial" w:eastAsia="Arial" w:hAnsi="Arial"/>
          <w:sz w:val="18"/>
          <w:szCs w:val="18"/>
          <w:color w:val="auto"/>
        </w:rPr>
      </w:pPr>
    </w:p>
    <w:p>
      <w:pPr>
        <w:ind w:left="1200" w:right="320" w:hanging="424"/>
        <w:spacing w:after="0" w:line="262"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$0.3 million decrease in interest and financing expenses due to a decrease in average borrowings outstanding and the weighted average interest rate during 2021 as compared to 2020.</w:t>
      </w:r>
    </w:p>
    <w:p>
      <w:pPr>
        <w:spacing w:after="0" w:line="88" w:lineRule="exact"/>
        <w:rPr>
          <w:rFonts w:ascii="Arial" w:cs="Arial" w:eastAsia="Arial" w:hAnsi="Arial"/>
          <w:sz w:val="18"/>
          <w:szCs w:val="18"/>
          <w:color w:val="auto"/>
        </w:rPr>
      </w:pPr>
    </w:p>
    <w:p>
      <w:pPr>
        <w:ind w:left="1200" w:hanging="424"/>
        <w:spacing w:after="0"/>
        <w:tabs>
          <w:tab w:leader="none" w:pos="1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$0.3 million decrease in professional fees due to decreased legal, audit and tax compliance costs during 2021 as compared to 2020.</w:t>
      </w:r>
    </w:p>
    <w:p>
      <w:pPr>
        <w:spacing w:after="0" w:line="238" w:lineRule="exact"/>
        <w:rPr>
          <w:sz w:val="20"/>
          <w:szCs w:val="20"/>
          <w:color w:val="auto"/>
        </w:rPr>
      </w:pPr>
    </w:p>
    <w:p>
      <w:pPr>
        <w:ind w:left="240" w:right="120" w:firstLine="430"/>
        <w:spacing w:after="0" w:line="262" w:lineRule="auto"/>
        <w:rPr>
          <w:sz w:val="20"/>
          <w:szCs w:val="20"/>
          <w:color w:val="auto"/>
        </w:rPr>
      </w:pPr>
      <w:r>
        <w:rPr>
          <w:rFonts w:ascii="Arial" w:cs="Arial" w:eastAsia="Arial" w:hAnsi="Arial"/>
          <w:sz w:val="18"/>
          <w:szCs w:val="18"/>
          <w:color w:val="auto"/>
        </w:rPr>
        <w:t>Below is a summary of the changes in total expenses, including income tax provision, for the six months ended June 30, 2021 as compared to the same period in 2020 (dollars in millions):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4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4"/>
                <w:szCs w:val="14"/>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 xml:space="preserve">% Change </w:t>
            </w:r>
            <w:r>
              <w:rPr>
                <w:rFonts w:ascii="Arial" w:cs="Arial" w:eastAsia="Arial" w:hAnsi="Arial"/>
                <w:sz w:val="11"/>
                <w:szCs w:val="11"/>
                <w:b w:val="1"/>
                <w:bCs w:val="1"/>
                <w:color w:val="auto"/>
                <w:w w:val="93"/>
              </w:rPr>
              <w:t>(1)(2)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38"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4"/>
              <w:spacing w:after="0" w:line="138" w:lineRule="exact"/>
              <w:rPr>
                <w:sz w:val="20"/>
                <w:szCs w:val="20"/>
                <w:color w:val="auto"/>
              </w:rPr>
            </w:pPr>
            <w:r>
              <w:rPr>
                <w:rFonts w:ascii="Arial" w:cs="Arial" w:eastAsia="Arial" w:hAnsi="Arial"/>
                <w:sz w:val="14"/>
                <w:szCs w:val="14"/>
                <w:b w:val="1"/>
                <w:bCs w:val="1"/>
                <w:color w:val="auto"/>
              </w:rPr>
              <w:t>2020</w:t>
            </w:r>
          </w:p>
        </w:tc>
        <w:tc>
          <w:tcPr>
            <w:tcW w:w="4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and financing expenses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9.7</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9.8</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(0.1)</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Base management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Total expenses, before base management and income incentive fee waivers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and income incentive fee waivers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Total expenses, before income tax provision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gridSpan w:val="2"/>
          </w:tcPr>
          <w:p>
            <w:pPr>
              <w:spacing w:after="0"/>
              <w:rPr>
                <w:sz w:val="20"/>
                <w:szCs w:val="20"/>
                <w:color w:val="auto"/>
              </w:rPr>
            </w:pPr>
            <w:r>
              <w:rPr>
                <w:rFonts w:ascii="Arial" w:cs="Arial" w:eastAsia="Arial" w:hAnsi="Arial"/>
                <w:sz w:val="18"/>
                <w:szCs w:val="18"/>
                <w:color w:val="auto"/>
              </w:rPr>
              <w:t>Total expenses, including income tax provision</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hanging="43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15" w:lineRule="exact"/>
        <w:rPr>
          <w:rFonts w:ascii="Arial" w:cs="Arial" w:eastAsia="Arial" w:hAnsi="Arial"/>
          <w:sz w:val="18"/>
          <w:szCs w:val="18"/>
          <w:color w:val="auto"/>
        </w:rPr>
      </w:pPr>
    </w:p>
    <w:p>
      <w:pPr>
        <w:ind w:left="680" w:hanging="431"/>
        <w:spacing w:after="0"/>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Percent change calculated based on underlying dollar amounts in thousands as presented on the consolidated statements of operations.</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320" w:top="451" w:right="5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200" w:firstLine="430"/>
        <w:spacing w:after="0" w:line="253" w:lineRule="auto"/>
        <w:rPr>
          <w:sz w:val="20"/>
          <w:szCs w:val="20"/>
          <w:color w:val="auto"/>
        </w:rPr>
      </w:pPr>
      <w:r>
        <w:rPr>
          <w:rFonts w:ascii="Arial" w:cs="Arial" w:eastAsia="Arial" w:hAnsi="Arial"/>
          <w:sz w:val="18"/>
          <w:szCs w:val="18"/>
          <w:color w:val="auto"/>
        </w:rPr>
        <w:t>For the six months ended June 30, 2021, total expenses, including income tax provision, were $27.5 million, an increase of $13.8 million or 101.1%, from the $13.7 million of total expenses for the six months ended June 30, 2020. As reflected in the table above, changes across periods were primarily attributable to the following:</w:t>
      </w:r>
    </w:p>
    <w:p>
      <w:pPr>
        <w:spacing w:after="0" w:line="96" w:lineRule="exact"/>
        <w:rPr>
          <w:sz w:val="20"/>
          <w:szCs w:val="20"/>
          <w:color w:val="auto"/>
        </w:rPr>
      </w:pPr>
    </w:p>
    <w:p>
      <w:pPr>
        <w:ind w:left="1200" w:right="320" w:hanging="424"/>
        <w:spacing w:after="0" w:line="248"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$13.1 million increase in the accrued capital gains incentive fee due to a $67.6 million increase in net gain on investments (net realized gains (losses), plus net change in unrealized appreciation (depreciation) on investments, plus realized losses on extinguishment of debt during 2021 as compared to the same period in 2020. The reversal in the capital gains incentive fee accrued for the six months ended June 30, 2020 was primarily driven by COVID related write-downs across the portfolio due to fair value calibration to public company multiples.</w:t>
      </w:r>
    </w:p>
    <w:p>
      <w:pPr>
        <w:spacing w:after="0" w:line="103" w:lineRule="exact"/>
        <w:rPr>
          <w:rFonts w:ascii="Arial" w:cs="Arial" w:eastAsia="Arial" w:hAnsi="Arial"/>
          <w:sz w:val="18"/>
          <w:szCs w:val="18"/>
          <w:color w:val="auto"/>
        </w:rPr>
      </w:pPr>
    </w:p>
    <w:p>
      <w:pPr>
        <w:ind w:left="1200" w:right="60" w:hanging="424"/>
        <w:spacing w:after="0" w:line="262"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$1.7 million net increase in the income incentive fee due to a $5.2 million increase in pre-incentive fee net investment income during 2021 and a one-time $0.4 income incentive fee waiver in 2020, as compared to the same period in 2020.</w:t>
      </w:r>
    </w:p>
    <w:p>
      <w:pPr>
        <w:spacing w:after="0" w:line="88" w:lineRule="exact"/>
        <w:rPr>
          <w:rFonts w:ascii="Arial" w:cs="Arial" w:eastAsia="Arial" w:hAnsi="Arial"/>
          <w:sz w:val="18"/>
          <w:szCs w:val="18"/>
          <w:color w:val="auto"/>
        </w:rPr>
      </w:pPr>
    </w:p>
    <w:p>
      <w:pPr>
        <w:ind w:left="1200" w:right="300" w:hanging="424"/>
        <w:spacing w:after="0" w:line="262"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$0.1 million decrease in interest and financing expenses due to a decrease in weighted average interest rate during 2021 as compared to 2020.</w:t>
      </w:r>
    </w:p>
    <w:p>
      <w:pPr>
        <w:spacing w:after="0" w:line="88" w:lineRule="exact"/>
        <w:rPr>
          <w:rFonts w:ascii="Arial" w:cs="Arial" w:eastAsia="Arial" w:hAnsi="Arial"/>
          <w:sz w:val="18"/>
          <w:szCs w:val="18"/>
          <w:color w:val="auto"/>
        </w:rPr>
      </w:pPr>
    </w:p>
    <w:p>
      <w:pPr>
        <w:ind w:left="1200" w:hanging="424"/>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$0.1 million decrease in base management fee due to lower average total assets during 2021 as compared to 2020.</w:t>
      </w:r>
    </w:p>
    <w:p>
      <w:pPr>
        <w:spacing w:after="0" w:line="122" w:lineRule="exact"/>
        <w:rPr>
          <w:rFonts w:ascii="Arial" w:cs="Arial" w:eastAsia="Arial" w:hAnsi="Arial"/>
          <w:sz w:val="18"/>
          <w:szCs w:val="18"/>
          <w:color w:val="auto"/>
        </w:rPr>
      </w:pPr>
    </w:p>
    <w:p>
      <w:pPr>
        <w:ind w:left="1200" w:hanging="424"/>
        <w:spacing w:after="0"/>
        <w:tabs>
          <w:tab w:leader="none" w:pos="1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$0.6 million decrease in professional fees due to decreased legal, audit and tax compliance costs during 2021 as compared to 2020.</w:t>
      </w:r>
    </w:p>
    <w:p>
      <w:pPr>
        <w:spacing w:after="0" w:line="34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Net Investment Income</w:t>
      </w:r>
    </w:p>
    <w:p>
      <w:pPr>
        <w:spacing w:after="0" w:line="109" w:lineRule="exact"/>
        <w:rPr>
          <w:sz w:val="20"/>
          <w:szCs w:val="20"/>
          <w:color w:val="auto"/>
        </w:rPr>
      </w:pPr>
    </w:p>
    <w:p>
      <w:pPr>
        <w:ind w:left="240" w:right="180" w:firstLine="430"/>
        <w:spacing w:after="0" w:line="253" w:lineRule="auto"/>
        <w:rPr>
          <w:sz w:val="20"/>
          <w:szCs w:val="20"/>
          <w:color w:val="auto"/>
        </w:rPr>
      </w:pPr>
      <w:r>
        <w:rPr>
          <w:rFonts w:ascii="Arial" w:cs="Arial" w:eastAsia="Arial" w:hAnsi="Arial"/>
          <w:sz w:val="18"/>
          <w:szCs w:val="18"/>
          <w:color w:val="auto"/>
        </w:rPr>
        <w:t>Net investment income decreased by $(2.8) million, or (30.3)%, to $6.5 million during the three months ended June 30, 2021 as compared to the same period in 2020, as a result of the $4.2 million increase in total expenses, including base management and incentive fee waivers and income tax provision, partially offset by the $1.4 increase in total investment income.</w:t>
      </w:r>
    </w:p>
    <w:p>
      <w:pPr>
        <w:spacing w:after="0" w:line="189" w:lineRule="exact"/>
        <w:rPr>
          <w:sz w:val="20"/>
          <w:szCs w:val="20"/>
          <w:color w:val="auto"/>
        </w:rPr>
      </w:pPr>
    </w:p>
    <w:p>
      <w:pPr>
        <w:jc w:val="both"/>
        <w:ind w:left="240" w:right="240" w:firstLine="430"/>
        <w:spacing w:after="0" w:line="253" w:lineRule="auto"/>
        <w:rPr>
          <w:sz w:val="20"/>
          <w:szCs w:val="20"/>
          <w:color w:val="auto"/>
        </w:rPr>
      </w:pPr>
      <w:r>
        <w:rPr>
          <w:rFonts w:ascii="Arial" w:cs="Arial" w:eastAsia="Arial" w:hAnsi="Arial"/>
          <w:sz w:val="18"/>
          <w:szCs w:val="18"/>
          <w:color w:val="auto"/>
        </w:rPr>
        <w:t>Net investment income decreased by $(9.1) million, or (34.3)%, to $17.6 million during the six months ended June 30, 2021 as compared to the same period in 2020, as a result of the $13.8 million increase in total expenses, including base management and incentive fee waivers and income tax provision, partially offset by the $4.7 increase in total investment income.</w:t>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Net Gain (Loss) on Investments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For the three and six months ended June 30, 2021, the total net realized gain/(loss) on investments, before income tax (provision)/benefit, was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$2.2 million and $5.4 million, respectively. There was no income tax (provision) benefit from realized gains on investments for the three and six months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ended June 30, 2021, respectively. Significant realized gains (losses) for the three and six months ended June 30, 2021 are summarized below (dollars in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millions):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ind w:left="20"/>
              <w:spacing w:after="0"/>
              <w:rPr>
                <w:sz w:val="20"/>
                <w:szCs w:val="20"/>
                <w:color w:val="auto"/>
              </w:rPr>
            </w:pPr>
            <w:r>
              <w:rPr>
                <w:rFonts w:ascii="Arial" w:cs="Arial" w:eastAsia="Arial" w:hAnsi="Arial"/>
                <w:sz w:val="14"/>
                <w:szCs w:val="14"/>
                <w:b w:val="1"/>
                <w:bCs w:val="1"/>
                <w:color w:val="auto"/>
              </w:rPr>
              <w:t>Period Ended June 30, 2021</w:t>
            </w:r>
          </w:p>
        </w:tc>
        <w:tc>
          <w:tcPr>
            <w:tcW w:w="0" w:type="dxa"/>
            <w:vAlign w:val="bottom"/>
          </w:tcPr>
          <w:p>
            <w:pPr>
              <w:spacing w:after="0"/>
              <w:rPr>
                <w:sz w:val="1"/>
                <w:szCs w:val="1"/>
                <w:color w:val="auto"/>
              </w:rPr>
            </w:pPr>
          </w:p>
        </w:tc>
      </w:tr>
      <w:tr>
        <w:trPr>
          <w:trHeight w:val="116"/>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380" w:type="dxa"/>
            <w:vAlign w:val="bottom"/>
          </w:tcPr>
          <w:p>
            <w:pPr>
              <w:spacing w:after="0"/>
              <w:rPr>
                <w:sz w:val="10"/>
                <w:szCs w:val="10"/>
                <w:color w:val="auto"/>
              </w:rPr>
            </w:pPr>
          </w:p>
        </w:tc>
        <w:tc>
          <w:tcPr>
            <w:tcW w:w="30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1"/>
                <w:szCs w:val="11"/>
                <w:b w:val="1"/>
                <w:bCs w:val="1"/>
                <w:color w:val="auto"/>
              </w:rPr>
              <w:t>(1)</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7"/>
              <w:spacing w:after="0" w:line="116" w:lineRule="exact"/>
              <w:rPr>
                <w:sz w:val="20"/>
                <w:szCs w:val="20"/>
                <w:color w:val="auto"/>
              </w:rPr>
            </w:pPr>
            <w:r>
              <w:rPr>
                <w:rFonts w:ascii="Arial" w:cs="Arial" w:eastAsia="Arial" w:hAnsi="Arial"/>
                <w:sz w:val="13"/>
                <w:szCs w:val="13"/>
                <w:b w:val="1"/>
                <w:bCs w:val="1"/>
                <w:color w:val="auto"/>
              </w:rPr>
              <w:t>Three</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6"/>
              <w:spacing w:after="0" w:line="116" w:lineRule="exact"/>
              <w:rPr>
                <w:sz w:val="20"/>
                <w:szCs w:val="20"/>
                <w:color w:val="auto"/>
              </w:rPr>
            </w:pPr>
            <w:r>
              <w:rPr>
                <w:rFonts w:ascii="Arial" w:cs="Arial" w:eastAsia="Arial" w:hAnsi="Arial"/>
                <w:sz w:val="13"/>
                <w:szCs w:val="13"/>
                <w:b w:val="1"/>
                <w:bCs w:val="1"/>
                <w:color w:val="auto"/>
                <w:w w:val="91"/>
              </w:rPr>
              <w:t>Six</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Wheel Pros, Inc.</w:t>
            </w:r>
          </w:p>
        </w:tc>
        <w:tc>
          <w:tcPr>
            <w:tcW w:w="38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Exit of portfolio company</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Software Technology, LLC</w:t>
            </w:r>
          </w:p>
        </w:tc>
        <w:tc>
          <w:tcPr>
            <w:tcW w:w="3420" w:type="dxa"/>
            <w:vAlign w:val="bottom"/>
            <w:gridSpan w:val="3"/>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Spectra A&amp;D Acquisition, Inc. (fka FDS Avionics Corp.)</w:t>
            </w:r>
          </w:p>
        </w:tc>
        <w:tc>
          <w:tcPr>
            <w:tcW w:w="34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Sale of portfolio 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Rohrer Corporation</w:t>
            </w:r>
          </w:p>
        </w:tc>
        <w:tc>
          <w:tcPr>
            <w:tcW w:w="3420" w:type="dxa"/>
            <w:vAlign w:val="bottom"/>
            <w:gridSpan w:val="3"/>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from realized gains on investments</w:t>
            </w:r>
          </w:p>
        </w:tc>
        <w:tc>
          <w:tcPr>
            <w:tcW w:w="3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color w:val="auto"/>
                <w:w w:val="97"/>
              </w:rPr>
              <w:t>Net realized gain (loss), net of income tax provision, on investments</w:t>
            </w:r>
          </w:p>
        </w:tc>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600" w:right="240" w:hanging="351"/>
        <w:spacing w:after="0" w:line="248" w:lineRule="auto"/>
        <w:tabs>
          <w:tab w:leader="none" w:pos="5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For the three and six months ended June 30, 2020, the total net realized gain/(loss) on investments, before income tax (provision)/benefit, was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$0.2 million and $31.6 million, respectively. Income tax (provision) benefit from realized gains on investments was $(0) and $(1.1) for the three and six</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months ended June 30, 2020, respectively. Significant realized gains (losses) for the three and six months ended June 30, 2020 are summarized below</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(dollars in millions):</w:t>
      </w:r>
    </w:p>
    <w:p>
      <w:pPr>
        <w:sectPr>
          <w:pgSz w:w="11900" w:h="16838" w:orient="portrait"/>
          <w:cols w:equalWidth="0" w:num="1">
            <w:col w:w="11000"/>
          </w:cols>
          <w:pgMar w:left="320" w:top="451" w:right="579" w:bottom="1440" w:gutter="0" w:footer="0" w:header="0"/>
        </w:sectPr>
      </w:pP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00"/>
          </w:cols>
          <w:pgMar w:left="320" w:top="451" w:right="579" w:bottom="1440" w:gutter="0" w:footer="0" w:header="0"/>
          <w:type w:val="continuous"/>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left="2860"/>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left="2860"/>
        <w:spacing w:after="0"/>
        <w:rPr>
          <w:sz w:val="20"/>
          <w:szCs w:val="20"/>
          <w:color w:val="auto"/>
        </w:rPr>
      </w:pPr>
      <w:r>
        <w:rPr>
          <w:rFonts w:ascii="Arial" w:cs="Arial" w:eastAsia="Arial" w:hAnsi="Arial"/>
          <w:sz w:val="15"/>
          <w:szCs w:val="15"/>
          <w:b w:val="1"/>
          <w:bCs w:val="1"/>
          <w:color w:val="auto"/>
        </w:rPr>
        <w:t>Notes to Consolidated Financial Statements (unaudited)</w:t>
      </w:r>
    </w:p>
    <w:p>
      <w:pPr>
        <w:spacing w:after="0" w:line="38" w:lineRule="exact"/>
        <w:rPr>
          <w:sz w:val="20"/>
          <w:szCs w:val="20"/>
          <w:color w:val="auto"/>
        </w:rPr>
      </w:pPr>
    </w:p>
    <w:p>
      <w:pPr>
        <w:jc w:val="center"/>
        <w:ind w:left="2860"/>
        <w:spacing w:after="0"/>
        <w:rPr>
          <w:sz w:val="20"/>
          <w:szCs w:val="20"/>
          <w:color w:val="auto"/>
        </w:rPr>
      </w:pPr>
      <w:r>
        <w:rPr>
          <w:rFonts w:ascii="Arial" w:cs="Arial" w:eastAsia="Arial" w:hAnsi="Arial"/>
          <w:sz w:val="16"/>
          <w:szCs w:val="16"/>
          <w:b w:val="1"/>
          <w:bCs w:val="1"/>
          <w:color w:val="auto"/>
        </w:rPr>
        <w:t>(in thousands, except shares and per share data)</w:t>
      </w:r>
    </w:p>
    <w:p>
      <w:pPr>
        <w:spacing w:after="0" w:line="200" w:lineRule="exact"/>
        <w:rPr>
          <w:sz w:val="20"/>
          <w:szCs w:val="20"/>
          <w:color w:val="auto"/>
        </w:rPr>
      </w:pPr>
    </w:p>
    <w:p>
      <w:pPr>
        <w:spacing w:after="0" w:line="240" w:lineRule="exact"/>
        <w:rPr>
          <w:sz w:val="20"/>
          <w:szCs w:val="20"/>
          <w:color w:val="auto"/>
        </w:rPr>
      </w:pPr>
    </w:p>
    <w:p>
      <w:pPr>
        <w:ind w:left="240"/>
        <w:spacing w:after="0"/>
        <w:tabs>
          <w:tab w:leader="none" w:pos="6100" w:val="left"/>
        </w:tabs>
        <w:rPr>
          <w:sz w:val="20"/>
          <w:szCs w:val="20"/>
          <w:color w:val="auto"/>
        </w:rPr>
      </w:pPr>
      <w:r>
        <w:rPr>
          <w:rFonts w:ascii="Arial" w:cs="Arial" w:eastAsia="Arial" w:hAnsi="Arial"/>
          <w:sz w:val="14"/>
          <w:szCs w:val="14"/>
          <w:b w:val="1"/>
          <w:bCs w:val="1"/>
          <w:color w:val="auto"/>
        </w:rPr>
        <w:t>Portfolio Company</w:t>
      </w:r>
      <w:r>
        <w:rPr>
          <w:sz w:val="20"/>
          <w:szCs w:val="20"/>
          <w:color w:val="auto"/>
        </w:rPr>
        <w:tab/>
      </w:r>
      <w:r>
        <w:rPr>
          <w:rFonts w:ascii="Arial" w:cs="Arial" w:eastAsia="Arial" w:hAnsi="Arial"/>
          <w:sz w:val="13"/>
          <w:szCs w:val="13"/>
          <w:b w:val="1"/>
          <w:bCs w:val="1"/>
          <w:color w:val="auto"/>
        </w:rPr>
        <w:t xml:space="preserve">Realization Event </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Period Ended June 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18415</wp:posOffset>
            </wp:positionV>
            <wp:extent cx="1154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80"/>
        <w:spacing w:after="0"/>
        <w:tabs>
          <w:tab w:leader="none" w:pos="1240" w:val="left"/>
        </w:tabs>
        <w:rPr>
          <w:sz w:val="20"/>
          <w:szCs w:val="20"/>
          <w:color w:val="auto"/>
        </w:rPr>
      </w:pPr>
      <w:r>
        <w:rPr>
          <w:rFonts w:ascii="Arial" w:cs="Arial" w:eastAsia="Arial" w:hAnsi="Arial"/>
          <w:sz w:val="14"/>
          <w:szCs w:val="14"/>
          <w:b w:val="1"/>
          <w:bCs w:val="1"/>
          <w:color w:val="auto"/>
        </w:rPr>
        <w:t>Three</w:t>
      </w:r>
      <w:r>
        <w:rPr>
          <w:sz w:val="20"/>
          <w:szCs w:val="20"/>
          <w:color w:val="auto"/>
        </w:rPr>
        <w:tab/>
      </w:r>
      <w:r>
        <w:rPr>
          <w:rFonts w:ascii="Arial" w:cs="Arial" w:eastAsia="Arial" w:hAnsi="Arial"/>
          <w:sz w:val="14"/>
          <w:szCs w:val="14"/>
          <w:b w:val="1"/>
          <w:bCs w:val="1"/>
          <w:color w:val="auto"/>
        </w:rPr>
        <w:t>Six</w:t>
      </w:r>
    </w:p>
    <w:p>
      <w:pPr>
        <w:ind w:left="20"/>
        <w:spacing w:after="0" w:line="225" w:lineRule="auto"/>
        <w:tabs>
          <w:tab w:leader="none" w:pos="1100" w:val="left"/>
        </w:tabs>
        <w:rPr>
          <w:sz w:val="20"/>
          <w:szCs w:val="20"/>
          <w:color w:val="auto"/>
        </w:rPr>
      </w:pPr>
      <w:r>
        <w:rPr>
          <w:rFonts w:ascii="Arial" w:cs="Arial" w:eastAsia="Arial" w:hAnsi="Arial"/>
          <w:sz w:val="14"/>
          <w:szCs w:val="14"/>
          <w:b w:val="1"/>
          <w:bCs w:val="1"/>
          <w:color w:val="auto"/>
        </w:rPr>
        <w:t>Months</w:t>
      </w:r>
      <w:r>
        <w:rPr>
          <w:sz w:val="20"/>
          <w:szCs w:val="20"/>
          <w:color w:val="auto"/>
        </w:rPr>
        <w:tab/>
      </w:r>
      <w:r>
        <w:rPr>
          <w:rFonts w:ascii="Arial" w:cs="Arial" w:eastAsia="Arial" w:hAnsi="Arial"/>
          <w:sz w:val="14"/>
          <w:szCs w:val="14"/>
          <w:b w:val="1"/>
          <w:bCs w:val="1"/>
          <w:color w:val="auto"/>
        </w:rPr>
        <w:t>Months</w:t>
      </w:r>
    </w:p>
    <w:p>
      <w:pPr>
        <w:spacing w:after="0" w:line="21" w:lineRule="exact"/>
        <w:rPr>
          <w:sz w:val="20"/>
          <w:szCs w:val="20"/>
          <w:color w:val="auto"/>
        </w:rPr>
      </w:pPr>
    </w:p>
    <w:p>
      <w:pPr>
        <w:sectPr>
          <w:pgSz w:w="11900" w:h="16838" w:orient="portrait"/>
          <w:cols w:equalWidth="0" w:num="2">
            <w:col w:w="8400" w:space="720"/>
            <w:col w:w="1880"/>
          </w:cols>
          <w:pgMar w:left="320" w:top="451" w:right="579" w:bottom="1440" w:gutter="0" w:footer="0" w:header="0"/>
        </w:sectPr>
      </w:pPr>
    </w:p>
    <w:tbl>
      <w:tblPr>
        <w:tblLayout w:type="fixed"/>
        <w:tblInd w:w="2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18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Pfanstiehl, Inc.</w:t>
            </w:r>
          </w:p>
        </w:tc>
        <w:tc>
          <w:tcPr>
            <w:tcW w:w="4320" w:type="dxa"/>
            <w:vAlign w:val="bottom"/>
            <w:gridSpan w:val="2"/>
            <w:shd w:val="clear" w:color="auto" w:fill="CCEEFF"/>
          </w:tcPr>
          <w:p>
            <w:pPr>
              <w:ind w:left="280"/>
              <w:spacing w:after="0" w:line="184" w:lineRule="exact"/>
              <w:rPr>
                <w:sz w:val="20"/>
                <w:szCs w:val="20"/>
                <w:color w:val="auto"/>
              </w:rPr>
            </w:pPr>
            <w:r>
              <w:rPr>
                <w:rFonts w:ascii="Arial" w:cs="Arial" w:eastAsia="Arial" w:hAnsi="Arial"/>
                <w:sz w:val="18"/>
                <w:szCs w:val="18"/>
                <w:color w:val="auto"/>
              </w:rPr>
              <w:t>Sold 50% of equity investment</w:t>
            </w:r>
          </w:p>
        </w:tc>
        <w:tc>
          <w:tcPr>
            <w:tcW w:w="52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line="184"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line="184"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Fiber Materials, Inc.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Sale of portfolio company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Medsurant Holdings, LLC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 Management Solutions, LLC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Gurobi Optimization, LLC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Hub Acquisition Sub, LLC (dba Hub Pen)</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Midwest Transit Equipment, Inc.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Pugh Lubricants, LLC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Microbiology Research Associates, Inc.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ControlScan, Inc.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Alzheimer’s Research and Treatment Center, LLC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BCM One Group Holdings, Inc.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Software Technology, LLC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LNG Indy, LLC (dba Kinetrex Energy)</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Wheel Pros, Inc.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New Era Technology, Inc.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Escrow distribution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Apex Microtechnology, Inc.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Escrow distribution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w w:val="87"/>
              </w:rPr>
              <w:t>0.1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Allied 100 Group, Inc.</w:t>
            </w:r>
          </w:p>
        </w:tc>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Sold 50% of equity investment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Restaurant Finance Co, LLC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Escrow distribution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Palisade Company, LLC</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Sale of portfolio company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3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0.2</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2"/>
              </w:rPr>
              <w:t>Income tax provision from realized gains on investments</w:t>
            </w:r>
          </w:p>
        </w:tc>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0.2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600" w:right="240" w:hanging="351"/>
        <w:spacing w:after="0" w:line="248" w:lineRule="auto"/>
        <w:tabs>
          <w:tab w:leader="none" w:pos="5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95" w:lineRule="exact"/>
        <w:rPr>
          <w:sz w:val="20"/>
          <w:szCs w:val="20"/>
          <w:color w:val="auto"/>
        </w:rPr>
      </w:pPr>
    </w:p>
    <w:p>
      <w:pPr>
        <w:ind w:left="240" w:right="20" w:firstLine="430"/>
        <w:spacing w:after="0" w:line="262" w:lineRule="auto"/>
        <w:rPr>
          <w:sz w:val="20"/>
          <w:szCs w:val="20"/>
          <w:color w:val="auto"/>
        </w:rPr>
      </w:pPr>
      <w:r>
        <w:rPr>
          <w:rFonts w:ascii="Arial" w:cs="Arial" w:eastAsia="Arial" w:hAnsi="Arial"/>
          <w:sz w:val="18"/>
          <w:szCs w:val="18"/>
          <w:color w:val="auto"/>
        </w:rPr>
        <w:t>During the three and six months ended June 30, 2021 and 2020, we recorded a net change in unrealized appreciation (depreciation) on investments attributable to the following (dollars in millions):</w: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7"/>
        </w:trPr>
        <w:tc>
          <w:tcPr>
            <w:tcW w:w="8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20" w:type="dxa"/>
            <w:vAlign w:val="bottom"/>
          </w:tcPr>
          <w:p>
            <w:pPr>
              <w:spacing w:after="0"/>
              <w:rPr>
                <w:sz w:val="14"/>
                <w:szCs w:val="14"/>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rPr>
              <w:t>Ended 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Ended June 30,</w:t>
            </w:r>
          </w:p>
        </w:tc>
        <w:tc>
          <w:tcPr>
            <w:tcW w:w="0" w:type="dxa"/>
            <w:vAlign w:val="bottom"/>
          </w:tcPr>
          <w:p>
            <w:pPr>
              <w:spacing w:after="0"/>
              <w:rPr>
                <w:sz w:val="1"/>
                <w:szCs w:val="1"/>
                <w:color w:val="auto"/>
              </w:rPr>
            </w:pPr>
          </w:p>
        </w:tc>
      </w:tr>
      <w:tr>
        <w:trPr>
          <w:trHeight w:val="138"/>
        </w:trPr>
        <w:tc>
          <w:tcPr>
            <w:tcW w:w="8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8"/>
              <w:spacing w:after="0" w:line="138"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32"/>
              <w:spacing w:after="0" w:line="138"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Exit, sale or restructuring of investments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(1.7)</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 —</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(3.3)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0"/>
              </w:rPr>
              <w:t>$ (30.0)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0" w:type="dxa"/>
            <w:vAlign w:val="bottom"/>
            <w:gridSpan w:val="3"/>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17.3</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 (1.5)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16.7</w:t>
            </w:r>
          </w:p>
        </w:tc>
        <w:tc>
          <w:tcPr>
            <w:tcW w:w="1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 (76.1)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09" w:lineRule="exact"/>
        <w:rPr>
          <w:sz w:val="20"/>
          <w:szCs w:val="20"/>
          <w:color w:val="auto"/>
        </w:rPr>
      </w:pPr>
    </w:p>
    <w:p>
      <w:pPr>
        <w:ind w:left="240" w:right="480" w:firstLine="430"/>
        <w:spacing w:after="0" w:line="262" w:lineRule="auto"/>
        <w:rPr>
          <w:sz w:val="20"/>
          <w:szCs w:val="20"/>
          <w:color w:val="auto"/>
        </w:rPr>
      </w:pPr>
      <w:r>
        <w:rPr>
          <w:rFonts w:ascii="Arial" w:cs="Arial" w:eastAsia="Arial" w:hAnsi="Arial"/>
          <w:sz w:val="18"/>
          <w:szCs w:val="18"/>
          <w:color w:val="auto"/>
        </w:rPr>
        <w:t>Net increase (decrease) in net assets resulting from operations during the three months ended June 30, 2021 and 2020 was $25.9 million and $8.0 million, respectively, as a result of the events described above.</w:t>
      </w:r>
    </w:p>
    <w:p>
      <w:pPr>
        <w:spacing w:after="0" w:line="180" w:lineRule="exact"/>
        <w:rPr>
          <w:sz w:val="20"/>
          <w:szCs w:val="20"/>
          <w:color w:val="auto"/>
        </w:rPr>
      </w:pPr>
    </w:p>
    <w:p>
      <w:pPr>
        <w:ind w:left="240" w:right="60" w:firstLine="430"/>
        <w:spacing w:after="0" w:line="262" w:lineRule="auto"/>
        <w:rPr>
          <w:sz w:val="20"/>
          <w:szCs w:val="20"/>
          <w:color w:val="auto"/>
        </w:rPr>
      </w:pPr>
      <w:r>
        <w:rPr>
          <w:rFonts w:ascii="Arial" w:cs="Arial" w:eastAsia="Arial" w:hAnsi="Arial"/>
          <w:sz w:val="18"/>
          <w:szCs w:val="18"/>
          <w:color w:val="auto"/>
        </w:rPr>
        <w:t>Net increase (decrease) in net assets resulting from operations during the six months ended June 30, 2021 and 2020 was $37.4 million and $(19.0) million, respectively, as a result of the events described above.</w:t>
      </w:r>
    </w:p>
    <w:p>
      <w:pPr>
        <w:spacing w:after="0" w:line="28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9" w:lineRule="exact"/>
        <w:rPr>
          <w:sz w:val="20"/>
          <w:szCs w:val="20"/>
          <w:color w:val="auto"/>
        </w:rPr>
      </w:pPr>
    </w:p>
    <w:p>
      <w:pPr>
        <w:ind w:left="240" w:right="40" w:firstLine="430"/>
        <w:spacing w:after="0" w:line="310" w:lineRule="auto"/>
        <w:rPr>
          <w:sz w:val="20"/>
          <w:szCs w:val="20"/>
          <w:color w:val="auto"/>
        </w:rPr>
      </w:pPr>
      <w:r>
        <w:rPr>
          <w:rFonts w:ascii="Arial" w:cs="Arial" w:eastAsia="Arial" w:hAnsi="Arial"/>
          <w:sz w:val="15"/>
          <w:szCs w:val="15"/>
          <w:color w:val="auto"/>
        </w:rPr>
        <w:t>As of June 30, 2021, we had $54.2 million in cash and cash equivalents and our net assets totaled $429.4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w:t>
      </w:r>
    </w:p>
    <w:p>
      <w:pPr>
        <w:sectPr>
          <w:pgSz w:w="11900" w:h="16838" w:orient="portrait"/>
          <w:cols w:equalWidth="0" w:num="1">
            <w:col w:w="11000"/>
          </w:cols>
          <w:pgMar w:left="320" w:top="451" w:right="579" w:bottom="1440" w:gutter="0" w:footer="0" w:header="0"/>
          <w:type w:val="continuous"/>
        </w:sectPr>
      </w:pPr>
    </w:p>
    <w:p>
      <w:pPr>
        <w:spacing w:after="0" w:line="8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00"/>
          </w:cols>
          <w:pgMar w:left="320" w:top="451" w:right="579" w:bottom="1440" w:gutter="0" w:footer="0" w:header="0"/>
          <w:type w:val="continuous"/>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420"/>
        <w:spacing w:after="0" w:line="250" w:lineRule="auto"/>
        <w:rPr>
          <w:sz w:val="20"/>
          <w:szCs w:val="20"/>
          <w:color w:val="auto"/>
        </w:rPr>
      </w:pPr>
      <w:r>
        <w:rPr>
          <w:rFonts w:ascii="Arial" w:cs="Arial" w:eastAsia="Arial" w:hAnsi="Arial"/>
          <w:sz w:val="18"/>
          <w:szCs w:val="18"/>
          <w:color w:val="auto"/>
        </w:rPr>
        <w:t>and long-term basis, our primary use of funds will be investments in portfolio companies and cash distributions to our stockholders. During the six months ended June 30, 2021, we repaid $19.2 million of SBA debentures which would have matured during the period September 1, 2025 through March 1, 2028. Our remaining outstanding SBA debentures continue to mature in 2025 and subsequent years through 2031, which will require repayment on or before the respective maturity dates.</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Cash Flows</w:t>
      </w:r>
    </w:p>
    <w:p>
      <w:pPr>
        <w:spacing w:after="0" w:line="109" w:lineRule="exact"/>
        <w:rPr>
          <w:sz w:val="20"/>
          <w:szCs w:val="20"/>
          <w:color w:val="auto"/>
        </w:rPr>
      </w:pPr>
    </w:p>
    <w:p>
      <w:pPr>
        <w:ind w:left="240" w:right="160" w:firstLine="430"/>
        <w:spacing w:after="0" w:line="278" w:lineRule="auto"/>
        <w:rPr>
          <w:sz w:val="20"/>
          <w:szCs w:val="20"/>
          <w:color w:val="auto"/>
        </w:rPr>
      </w:pPr>
      <w:r>
        <w:rPr>
          <w:rFonts w:ascii="Arial" w:cs="Arial" w:eastAsia="Arial" w:hAnsi="Arial"/>
          <w:sz w:val="16"/>
          <w:szCs w:val="16"/>
          <w:color w:val="auto"/>
        </w:rPr>
        <w:t>For the six months ended June 30, 2021, we experienced a net decrease in cash and cash equivalents in the amount of $70.1 million. During that period, we received proceeds of $44.0 million of cash for operating activities, which included proceeds received from sales and repayments of investments of $191.6 million, which were partially offset by the funding of $167.3 million of investments. During the same period, received proceeds of $13.5 million on our secured borrowings, made repayments on outstanding notes of $100.0 million, made repayments of SBA debentures of</w:t>
      </w:r>
    </w:p>
    <w:p>
      <w:pPr>
        <w:spacing w:after="0" w:line="2" w:lineRule="exact"/>
        <w:rPr>
          <w:sz w:val="20"/>
          <w:szCs w:val="20"/>
          <w:color w:val="auto"/>
        </w:rPr>
      </w:pPr>
    </w:p>
    <w:p>
      <w:pPr>
        <w:ind w:left="240" w:right="80"/>
        <w:spacing w:after="0" w:line="248" w:lineRule="auto"/>
        <w:rPr>
          <w:sz w:val="20"/>
          <w:szCs w:val="20"/>
          <w:color w:val="auto"/>
        </w:rPr>
      </w:pPr>
      <w:r>
        <w:rPr>
          <w:rFonts w:ascii="Arial" w:cs="Arial" w:eastAsia="Arial" w:hAnsi="Arial"/>
          <w:sz w:val="18"/>
          <w:szCs w:val="18"/>
          <w:color w:val="auto"/>
        </w:rPr>
        <w:t>$19.2 million; which were partially offset by proceeds from the issuances of SBA debentures of $11.5 million, paid cash dividends paid to stockholders of $18.8 million, and made payment of deferred financing costs related to our debt financings of $1.0 million.</w:t>
      </w:r>
    </w:p>
    <w:p>
      <w:pPr>
        <w:spacing w:after="0" w:line="29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Capital Resources</w:t>
      </w:r>
    </w:p>
    <w:p>
      <w:pPr>
        <w:spacing w:after="0" w:line="109" w:lineRule="exact"/>
        <w:rPr>
          <w:sz w:val="20"/>
          <w:szCs w:val="20"/>
          <w:color w:val="auto"/>
        </w:rPr>
      </w:pPr>
    </w:p>
    <w:p>
      <w:pPr>
        <w:ind w:left="240" w:right="340" w:firstLine="430"/>
        <w:spacing w:after="0" w:line="262"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86"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SBA debentures</w:t>
      </w:r>
    </w:p>
    <w:p>
      <w:pPr>
        <w:spacing w:after="0" w:line="109" w:lineRule="exact"/>
        <w:rPr>
          <w:sz w:val="20"/>
          <w:szCs w:val="20"/>
          <w:color w:val="auto"/>
        </w:rPr>
      </w:pPr>
    </w:p>
    <w:p>
      <w:pPr>
        <w:ind w:left="240" w:right="80" w:firstLine="430"/>
        <w:spacing w:after="0" w:line="276"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2021, Fund II and Fund III had $114.3 million and $25.0 million of outstanding SBA debentures, respectively. Subject to SBA regulatory requirements and approval, Fund III may access up to</w:t>
      </w:r>
    </w:p>
    <w:p>
      <w:pPr>
        <w:spacing w:after="0" w:line="5" w:lineRule="exact"/>
        <w:rPr>
          <w:sz w:val="20"/>
          <w:szCs w:val="20"/>
          <w:color w:val="auto"/>
        </w:rPr>
      </w:pPr>
    </w:p>
    <w:p>
      <w:pPr>
        <w:ind w:left="240"/>
        <w:spacing w:after="0" w:line="248" w:lineRule="auto"/>
        <w:rPr>
          <w:sz w:val="20"/>
          <w:szCs w:val="20"/>
          <w:color w:val="auto"/>
        </w:rPr>
      </w:pPr>
      <w:r>
        <w:rPr>
          <w:rFonts w:ascii="Arial" w:cs="Arial" w:eastAsia="Arial" w:hAnsi="Arial"/>
          <w:sz w:val="18"/>
          <w:szCs w:val="18"/>
          <w:color w:val="auto"/>
        </w:rPr>
        <w:t>$150.0 million of additional SBA debentures under the SBIC debenture program. For more information on the SBA debentures, please refer to Note 6 to our consolidated financial statements.</w:t>
      </w:r>
    </w:p>
    <w:p>
      <w:pPr>
        <w:spacing w:after="0" w:line="29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Credit Facility</w:t>
      </w:r>
    </w:p>
    <w:p>
      <w:pPr>
        <w:spacing w:after="0" w:line="109" w:lineRule="exact"/>
        <w:rPr>
          <w:sz w:val="20"/>
          <w:szCs w:val="20"/>
          <w:color w:val="auto"/>
        </w:rPr>
      </w:pPr>
    </w:p>
    <w:p>
      <w:pPr>
        <w:ind w:left="240" w:firstLine="430"/>
        <w:spacing w:after="0" w:line="247"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95" w:lineRule="exact"/>
        <w:rPr>
          <w:sz w:val="20"/>
          <w:szCs w:val="20"/>
          <w:color w:val="auto"/>
        </w:rPr>
      </w:pPr>
    </w:p>
    <w:p>
      <w:pPr>
        <w:ind w:left="240" w:right="20" w:firstLine="430"/>
        <w:spacing w:after="0" w:line="276"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5" w:lineRule="exact"/>
        <w:rPr>
          <w:sz w:val="20"/>
          <w:szCs w:val="20"/>
          <w:color w:val="auto"/>
        </w:rPr>
      </w:pPr>
    </w:p>
    <w:p>
      <w:pPr>
        <w:ind w:left="240" w:right="80" w:firstLine="9"/>
        <w:spacing w:after="0" w:line="283" w:lineRule="auto"/>
        <w:tabs>
          <w:tab w:leader="none" w:pos="5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8" w:lineRule="exact"/>
        <w:rPr>
          <w:sz w:val="20"/>
          <w:szCs w:val="20"/>
          <w:color w:val="auto"/>
        </w:rPr>
      </w:pPr>
    </w:p>
    <w:p>
      <w:pPr>
        <w:ind w:left="240" w:right="140" w:firstLine="430"/>
        <w:spacing w:after="0" w:line="29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portfolio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ectPr>
          <w:pgSz w:w="11900" w:h="16838" w:orient="portrait"/>
          <w:cols w:equalWidth="0" w:num="1">
            <w:col w:w="10980"/>
          </w:cols>
          <w:pgMar w:left="320" w:top="451" w:right="599" w:bottom="1440" w:gutter="0" w:footer="0" w:header="0"/>
        </w:sectPr>
      </w:pP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980"/>
          </w:cols>
          <w:pgMar w:left="320" w:top="451" w:right="59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340" w:firstLine="430"/>
        <w:spacing w:after="0" w:line="250" w:lineRule="auto"/>
        <w:rPr>
          <w:sz w:val="20"/>
          <w:szCs w:val="20"/>
          <w:color w:val="auto"/>
        </w:rPr>
      </w:pPr>
      <w:r>
        <w:rPr>
          <w:rFonts w:ascii="Arial" w:cs="Arial" w:eastAsia="Arial" w:hAnsi="Arial"/>
          <w:sz w:val="18"/>
          <w:szCs w:val="18"/>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2021, we were in compliance with all covenants of the Credit Facility and there were no borrowings outstanding under the Credit Facility.</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Notes</w:t>
      </w:r>
    </w:p>
    <w:p>
      <w:pPr>
        <w:spacing w:after="0" w:line="109" w:lineRule="exact"/>
        <w:rPr>
          <w:sz w:val="20"/>
          <w:szCs w:val="20"/>
          <w:color w:val="auto"/>
        </w:rPr>
      </w:pPr>
    </w:p>
    <w:p>
      <w:pPr>
        <w:ind w:left="240" w:right="60" w:firstLine="430"/>
        <w:spacing w:after="0" w:line="283" w:lineRule="auto"/>
        <w:rPr>
          <w:sz w:val="20"/>
          <w:szCs w:val="20"/>
          <w:color w:val="auto"/>
        </w:rPr>
      </w:pPr>
      <w:r>
        <w:rPr>
          <w:rFonts w:ascii="Arial" w:cs="Arial" w:eastAsia="Arial" w:hAnsi="Arial"/>
          <w:sz w:val="16"/>
          <w:szCs w:val="16"/>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 The 2023 Notes will mature on February 1, 2023 and bear interest at a rate of 5.875%. The 2023 Notes may be redeemed in whole or in part at any time or from time to time at our option on or after February 1, 2020. On January 19, 2021, we redeemed $50.0 million of the aggregate principal amount on the 2023 Notes, resulting in a realized loss on extinguishment of debt of approximately $0.8 million.</w:t>
      </w:r>
    </w:p>
    <w:p>
      <w:pPr>
        <w:spacing w:after="0" w:line="168" w:lineRule="exact"/>
        <w:rPr>
          <w:sz w:val="20"/>
          <w:szCs w:val="20"/>
          <w:color w:val="auto"/>
        </w:rPr>
      </w:pPr>
    </w:p>
    <w:p>
      <w:pPr>
        <w:ind w:left="240" w:right="60" w:firstLine="430"/>
        <w:spacing w:after="0" w:line="281" w:lineRule="auto"/>
        <w:rPr>
          <w:sz w:val="20"/>
          <w:szCs w:val="20"/>
          <w:color w:val="auto"/>
        </w:rPr>
      </w:pPr>
      <w:r>
        <w:rPr>
          <w:rFonts w:ascii="Arial" w:cs="Arial" w:eastAsia="Arial" w:hAnsi="Arial"/>
          <w:sz w:val="16"/>
          <w:szCs w:val="16"/>
          <w:color w:val="auto"/>
        </w:rPr>
        <w:t>On February 8, 2019, we closed the public offering of approximately $60.0 million in aggregate principal amount of our 6.000% notes due 2024, or the “2024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offering expenses of $0.4 million, were approximately $66.5 million. 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 On February 16, 2021, we redeemed $50.0 million of the $69.0 million aggregate principal amount on the February 2024 Notes, resulting in a realized loss on extinguishment of debt of approximately $1.1 million. As of June 30, 2021, the outstanding principal balance of the 2024 Notes was $19.0 million.</w:t>
      </w:r>
    </w:p>
    <w:p>
      <w:pPr>
        <w:spacing w:after="0" w:line="169" w:lineRule="exact"/>
        <w:rPr>
          <w:sz w:val="20"/>
          <w:szCs w:val="20"/>
          <w:color w:val="auto"/>
        </w:rPr>
      </w:pPr>
    </w:p>
    <w:p>
      <w:pPr>
        <w:ind w:left="240" w:right="120" w:firstLine="430"/>
        <w:spacing w:after="0" w:line="278" w:lineRule="auto"/>
        <w:rPr>
          <w:sz w:val="20"/>
          <w:szCs w:val="20"/>
          <w:color w:val="auto"/>
        </w:rPr>
      </w:pPr>
      <w:r>
        <w:rPr>
          <w:rFonts w:ascii="Arial" w:cs="Arial" w:eastAsia="Arial" w:hAnsi="Arial"/>
          <w:sz w:val="16"/>
          <w:szCs w:val="16"/>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w:t>
      </w:r>
    </w:p>
    <w:p>
      <w:pPr>
        <w:spacing w:after="0" w:line="2" w:lineRule="exact"/>
        <w:rPr>
          <w:sz w:val="20"/>
          <w:szCs w:val="20"/>
          <w:color w:val="auto"/>
        </w:rPr>
      </w:pPr>
    </w:p>
    <w:p>
      <w:pPr>
        <w:ind w:left="240" w:right="20"/>
        <w:spacing w:after="0" w:line="283" w:lineRule="auto"/>
        <w:rPr>
          <w:sz w:val="20"/>
          <w:szCs w:val="20"/>
          <w:color w:val="auto"/>
        </w:rPr>
      </w:pPr>
      <w:r>
        <w:rPr>
          <w:rFonts w:ascii="Arial" w:cs="Arial" w:eastAsia="Arial" w:hAnsi="Arial"/>
          <w:sz w:val="16"/>
          <w:szCs w:val="16"/>
          <w:color w:val="auto"/>
        </w:rPr>
        <w:t>$1.9 million and offering expenses of $0.3 million, were approximately $61.1 million. 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June 30, 2021, the outstanding principal balance of the November 2024 Notes was approximately $63.3 million.</w:t>
      </w:r>
    </w:p>
    <w:p>
      <w:pPr>
        <w:spacing w:after="0" w:line="168" w:lineRule="exact"/>
        <w:rPr>
          <w:sz w:val="20"/>
          <w:szCs w:val="20"/>
          <w:color w:val="auto"/>
        </w:rPr>
      </w:pPr>
    </w:p>
    <w:p>
      <w:pPr>
        <w:ind w:left="240" w:firstLine="430"/>
        <w:spacing w:after="0" w:line="247" w:lineRule="auto"/>
        <w:rPr>
          <w:sz w:val="20"/>
          <w:szCs w:val="20"/>
          <w:color w:val="auto"/>
        </w:rPr>
      </w:pPr>
      <w:r>
        <w:rPr>
          <w:rFonts w:ascii="Arial" w:cs="Arial" w:eastAsia="Arial" w:hAnsi="Arial"/>
          <w:sz w:val="18"/>
          <w:szCs w:val="18"/>
          <w:color w:val="auto"/>
        </w:rPr>
        <w:t>On December 23, 2020, we closed the offering of approximately $125.0 million in aggregate principal amount of our 4.75% notes due 2026, or the “2026 Notes” (collectively with the Public Notes, the “Notes”). The total net proceeds to us from the 2026 Notes after deducting underwriting discounts of approximately $2.5 million and estimated offering expenses of $0.4 million, were approximately $122.1 million. The 2026 Notes will mature on January 31, 2026 and bear interest at a rate of 4.75%. The 2026 Notes may be redeemed in whole or in part at any time or from time to time at our option subject to a make whole provision if redeemed more than three months prior to maturity. Interest on the 2026 Notes is payable on January 31 and July 31 of each year, beginning July 31, 2021. We do not intend to list the 2026 Notes on any securities exchange or automated dealer quotation system.</w:t>
      </w:r>
    </w:p>
    <w:p>
      <w:pPr>
        <w:spacing w:after="0" w:line="195" w:lineRule="exact"/>
        <w:rPr>
          <w:sz w:val="20"/>
          <w:szCs w:val="20"/>
          <w:color w:val="auto"/>
        </w:rPr>
      </w:pPr>
    </w:p>
    <w:p>
      <w:pPr>
        <w:jc w:val="both"/>
        <w:ind w:left="240" w:right="260" w:firstLine="430"/>
        <w:spacing w:after="0" w:line="250" w:lineRule="auto"/>
        <w:rPr>
          <w:sz w:val="20"/>
          <w:szCs w:val="20"/>
          <w:color w:val="auto"/>
        </w:rPr>
      </w:pPr>
      <w:r>
        <w:rPr>
          <w:rFonts w:ascii="Arial" w:cs="Arial" w:eastAsia="Arial" w:hAnsi="Arial"/>
          <w:sz w:val="18"/>
          <w:szCs w:val="18"/>
          <w:color w:val="auto"/>
        </w:rPr>
        <w:t>The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91" w:lineRule="exact"/>
        <w:rPr>
          <w:sz w:val="20"/>
          <w:szCs w:val="20"/>
          <w:color w:val="auto"/>
        </w:rPr>
      </w:pPr>
    </w:p>
    <w:p>
      <w:pPr>
        <w:ind w:left="240" w:right="220" w:firstLine="430"/>
        <w:spacing w:after="0" w:line="325" w:lineRule="auto"/>
        <w:rPr>
          <w:sz w:val="20"/>
          <w:szCs w:val="20"/>
          <w:color w:val="auto"/>
        </w:rPr>
      </w:pPr>
      <w:r>
        <w:rPr>
          <w:rFonts w:ascii="Arial" w:cs="Arial" w:eastAsia="Arial" w:hAnsi="Arial"/>
          <w:sz w:val="16"/>
          <w:szCs w:val="16"/>
          <w:color w:val="auto"/>
        </w:rPr>
        <w:t>As of June 30, 2021, the weighted average stated interest rates for our SBA debentures and Notes were 3.002% and 5.055%, respectively. As of June 30, 2021, the weighted average stated interest rate on total debt outstanding was 4.23% (excluding secured borrowings).</w:t>
      </w:r>
    </w:p>
    <w:p>
      <w:pPr>
        <w:spacing w:after="0" w:line="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320" w:top="451" w:right="5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Secured Borrowing</w:t>
      </w:r>
    </w:p>
    <w:p>
      <w:pPr>
        <w:spacing w:after="0" w:line="109" w:lineRule="exact"/>
        <w:rPr>
          <w:sz w:val="20"/>
          <w:szCs w:val="20"/>
          <w:color w:val="auto"/>
        </w:rPr>
      </w:pPr>
    </w:p>
    <w:p>
      <w:pPr>
        <w:ind w:left="240" w:right="120" w:firstLine="430"/>
        <w:spacing w:after="0" w:line="248" w:lineRule="auto"/>
        <w:rPr>
          <w:sz w:val="20"/>
          <w:szCs w:val="20"/>
          <w:color w:val="auto"/>
        </w:rPr>
      </w:pPr>
      <w:r>
        <w:rPr>
          <w:rFonts w:ascii="Arial" w:cs="Arial" w:eastAsia="Arial" w:hAnsi="Arial"/>
          <w:sz w:val="18"/>
          <w:szCs w:val="18"/>
          <w:color w:val="auto"/>
        </w:rPr>
        <w:t>As of June 30, 2021, secured borrowings at fair value totaled $13.5 million and the fair value of the associated loans included in investments was $13.5 million. As of December 31, 2020, there were no secured borrowings outstanding.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4.5% as of June 30, 2021.</w:t>
      </w:r>
    </w:p>
    <w:p>
      <w:pPr>
        <w:spacing w:after="0" w:line="195" w:lineRule="exact"/>
        <w:rPr>
          <w:sz w:val="20"/>
          <w:szCs w:val="20"/>
          <w:color w:val="auto"/>
        </w:rPr>
      </w:pPr>
    </w:p>
    <w:p>
      <w:pPr>
        <w:ind w:left="240" w:right="140" w:firstLine="430"/>
        <w:spacing w:after="0" w:line="287" w:lineRule="auto"/>
        <w:rPr>
          <w:sz w:val="20"/>
          <w:szCs w:val="20"/>
          <w:color w:val="auto"/>
        </w:rPr>
      </w:pPr>
      <w:r>
        <w:rPr>
          <w:rFonts w:ascii="Arial" w:cs="Arial" w:eastAsia="Arial" w:hAnsi="Arial"/>
          <w:sz w:val="16"/>
          <w:szCs w:val="16"/>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SEC to allow us to exclude any indebtedness guaranteed by the SBA and issued by the Funds from the 150.0% asset coverage requirements, which, in turn, will enable us to fund more investments with debt capital.</w:t>
      </w:r>
    </w:p>
    <w:p>
      <w:pPr>
        <w:spacing w:after="0" w:line="165" w:lineRule="exact"/>
        <w:rPr>
          <w:sz w:val="20"/>
          <w:szCs w:val="20"/>
          <w:color w:val="auto"/>
        </w:rPr>
      </w:pPr>
    </w:p>
    <w:p>
      <w:pPr>
        <w:ind w:left="240" w:right="120" w:firstLine="430"/>
        <w:spacing w:after="0" w:line="282"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July 14, 2021, our stockholders voted to allow us to sell or otherwise issue common stock at a price below net asset value per share for a period of one year ending on the earlier of June 14, 2022 or the date of our 2022 Annual Meeting of Stockholders. We expect to present to our stockholders a similar proposal at our 2022 Annual Meeting of Stockholders. Our stockholders specified that the cumulative number of shares sold in each offering during the one-year period ending on the earlier of June 14, 2022 or the date of our 2022 Annual Meeting of Stockholders may not exceed 25.0% of our outstanding common stock immediately prior to each such sale.</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Stock Repurchase Program</w:t>
      </w:r>
    </w:p>
    <w:p>
      <w:pPr>
        <w:spacing w:after="0" w:line="109" w:lineRule="exact"/>
        <w:rPr>
          <w:sz w:val="20"/>
          <w:szCs w:val="20"/>
          <w:color w:val="auto"/>
        </w:rPr>
      </w:pPr>
    </w:p>
    <w:p>
      <w:pPr>
        <w:ind w:left="240" w:right="60" w:firstLine="430"/>
        <w:spacing w:after="0" w:line="27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six months ended June 30, 2021. During the three and six months ended June 30, 2020, we repurchased zero and 25,719 shares of common stock on the open market for zero and $0.3 million, respectively. Refer to Note 8 to our consolidated financial statements for additional information concerning stock repurchases.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15" w:lineRule="exact"/>
        <w:rPr>
          <w:sz w:val="20"/>
          <w:szCs w:val="20"/>
          <w:color w:val="auto"/>
        </w:rPr>
      </w:pPr>
    </w:p>
    <w:p>
      <w:pPr>
        <w:ind w:left="240" w:right="140" w:firstLine="430"/>
        <w:spacing w:after="0" w:line="284"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09" w:lineRule="exact"/>
        <w:rPr>
          <w:sz w:val="20"/>
          <w:szCs w:val="20"/>
          <w:color w:val="auto"/>
        </w:rPr>
      </w:pPr>
    </w:p>
    <w:p>
      <w:pPr>
        <w:ind w:left="240" w:right="240" w:firstLine="430"/>
        <w:spacing w:after="0" w:line="262"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80" w:lineRule="exact"/>
        <w:rPr>
          <w:sz w:val="20"/>
          <w:szCs w:val="20"/>
          <w:color w:val="auto"/>
        </w:rPr>
      </w:pPr>
    </w:p>
    <w:p>
      <w:pPr>
        <w:ind w:left="240" w:firstLine="430"/>
        <w:spacing w:after="0" w:line="284"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the Board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ectPr>
          <w:pgSz w:w="11900" w:h="16838" w:orient="portrait"/>
          <w:cols w:equalWidth="0" w:num="1">
            <w:col w:w="11000"/>
          </w:cols>
          <w:pgMar w:left="320" w:top="451" w:right="579" w:bottom="1440" w:gutter="0" w:footer="0" w:header="0"/>
        </w:sectPr>
      </w:pP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000"/>
          </w:cols>
          <w:pgMar w:left="320" w:top="451" w:right="579" w:bottom="1440" w:gutter="0" w:footer="0" w:header="0"/>
          <w:type w:val="continuous"/>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520" w:firstLine="430"/>
        <w:spacing w:after="0" w:line="262"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88" w:lineRule="exact"/>
        <w:rPr>
          <w:sz w:val="20"/>
          <w:szCs w:val="20"/>
          <w:color w:val="auto"/>
        </w:rPr>
      </w:pPr>
    </w:p>
    <w:p>
      <w:pPr>
        <w:ind w:left="1200" w:right="320" w:hanging="424"/>
        <w:spacing w:after="0" w:line="262"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spacing w:after="0" w:line="88" w:lineRule="exact"/>
        <w:rPr>
          <w:rFonts w:ascii="Arial" w:cs="Arial" w:eastAsia="Arial" w:hAnsi="Arial"/>
          <w:sz w:val="18"/>
          <w:szCs w:val="18"/>
          <w:color w:val="auto"/>
        </w:rPr>
      </w:pPr>
    </w:p>
    <w:p>
      <w:pPr>
        <w:ind w:left="1200" w:hanging="424"/>
        <w:spacing w:after="0"/>
        <w:tabs>
          <w:tab w:leader="none" w:pos="1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the Investment Advisor;</w:t>
      </w:r>
    </w:p>
    <w:p>
      <w:pPr>
        <w:spacing w:after="0" w:line="145" w:lineRule="exact"/>
        <w:rPr>
          <w:rFonts w:ascii="Arial" w:cs="Arial" w:eastAsia="Arial" w:hAnsi="Arial"/>
          <w:sz w:val="16"/>
          <w:szCs w:val="16"/>
          <w:color w:val="auto"/>
        </w:rPr>
      </w:pPr>
    </w:p>
    <w:p>
      <w:pPr>
        <w:ind w:left="1200" w:right="40" w:hanging="424"/>
        <w:spacing w:after="0" w:line="280" w:lineRule="auto"/>
        <w:tabs>
          <w:tab w:leader="none" w:pos="1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The Board consulted with the independent valuation firm(s) in arriving at our determination of fair value for 9 and 12 of our portfolio company investments representing 18.3% and 25.8% of the total portfolio investments at fair value (exclusive of new portfolio company investments made during the three months ended June 30, 2021 and December 31, 2020, respectively) as of June 30, 2021 and December 31, 2020, respectively;</w:t>
      </w:r>
    </w:p>
    <w:p>
      <w:pPr>
        <w:spacing w:after="0" w:line="79" w:lineRule="exact"/>
        <w:rPr>
          <w:rFonts w:ascii="Arial" w:cs="Arial" w:eastAsia="Arial" w:hAnsi="Arial"/>
          <w:sz w:val="16"/>
          <w:szCs w:val="16"/>
          <w:color w:val="auto"/>
        </w:rPr>
      </w:pPr>
    </w:p>
    <w:p>
      <w:pPr>
        <w:ind w:left="1200" w:right="260" w:hanging="424"/>
        <w:spacing w:after="0" w:line="262"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88" w:lineRule="exact"/>
        <w:rPr>
          <w:rFonts w:ascii="Arial" w:cs="Arial" w:eastAsia="Arial" w:hAnsi="Arial"/>
          <w:sz w:val="18"/>
          <w:szCs w:val="18"/>
          <w:color w:val="auto"/>
        </w:rPr>
      </w:pPr>
    </w:p>
    <w:p>
      <w:pPr>
        <w:ind w:left="1200" w:right="60" w:hanging="424"/>
        <w:spacing w:after="0" w:line="262"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Board discusses the valuations and determines the fair value of each investment in our portfolio in good faith, based on the input of the Investment Advisor, the independent valuation firm(s) and the audit committee.</w:t>
      </w:r>
    </w:p>
    <w:p>
      <w:pPr>
        <w:spacing w:after="0" w:line="180" w:lineRule="exact"/>
        <w:rPr>
          <w:sz w:val="20"/>
          <w:szCs w:val="20"/>
          <w:color w:val="auto"/>
        </w:rPr>
      </w:pPr>
    </w:p>
    <w:p>
      <w:pPr>
        <w:ind w:left="240" w:right="220" w:firstLine="430"/>
        <w:spacing w:after="0" w:line="253"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9" w:lineRule="exact"/>
        <w:rPr>
          <w:sz w:val="20"/>
          <w:szCs w:val="20"/>
          <w:color w:val="auto"/>
        </w:rPr>
      </w:pPr>
    </w:p>
    <w:p>
      <w:pPr>
        <w:ind w:left="240" w:right="180" w:firstLine="430"/>
        <w:spacing w:after="0" w:line="284" w:lineRule="auto"/>
        <w:rPr>
          <w:sz w:val="20"/>
          <w:szCs w:val="20"/>
          <w:color w:val="auto"/>
        </w:rPr>
      </w:pPr>
      <w:r>
        <w:rPr>
          <w:rFonts w:ascii="Arial" w:cs="Arial" w:eastAsia="Arial" w:hAnsi="Arial"/>
          <w:sz w:val="16"/>
          <w:szCs w:val="16"/>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9" w:lineRule="exact"/>
        <w:rPr>
          <w:sz w:val="20"/>
          <w:szCs w:val="20"/>
          <w:color w:val="auto"/>
        </w:rPr>
      </w:pPr>
    </w:p>
    <w:p>
      <w:pPr>
        <w:ind w:left="240" w:right="100" w:firstLine="430"/>
        <w:spacing w:after="0" w:line="253"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9" w:lineRule="exact"/>
        <w:rPr>
          <w:sz w:val="20"/>
          <w:szCs w:val="20"/>
          <w:color w:val="auto"/>
        </w:rPr>
      </w:pPr>
    </w:p>
    <w:p>
      <w:pPr>
        <w:ind w:left="240" w:right="20" w:firstLine="430"/>
        <w:spacing w:after="0" w:line="278"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8" w:lineRule="exact"/>
        <w:rPr>
          <w:sz w:val="20"/>
          <w:szCs w:val="20"/>
          <w:color w:val="auto"/>
        </w:rPr>
      </w:pPr>
    </w:p>
    <w:p>
      <w:pPr>
        <w:ind w:left="240" w:firstLine="430"/>
        <w:spacing w:after="0" w:line="307" w:lineRule="auto"/>
        <w:rPr>
          <w:sz w:val="20"/>
          <w:szCs w:val="20"/>
          <w:color w:val="auto"/>
        </w:rPr>
      </w:pPr>
      <w:r>
        <w:rPr>
          <w:rFonts w:ascii="Arial" w:cs="Arial" w:eastAsia="Arial" w:hAnsi="Arial"/>
          <w:sz w:val="15"/>
          <w:szCs w:val="15"/>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ectPr>
          <w:pgSz w:w="11900" w:h="16838" w:orient="portrait"/>
          <w:cols w:equalWidth="0" w:num="1">
            <w:col w:w="11000"/>
          </w:cols>
          <w:pgMar w:left="320" w:top="451" w:right="579" w:bottom="1440" w:gutter="0" w:footer="0" w:header="0"/>
        </w:sectPr>
      </w:pP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000"/>
          </w:cols>
          <w:pgMar w:left="320" w:top="451" w:right="579" w:bottom="1440" w:gutter="0" w:footer="0" w:header="0"/>
          <w:type w:val="continuous"/>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firstLine="430"/>
        <w:spacing w:after="0" w:line="284" w:lineRule="auto"/>
        <w:rPr>
          <w:sz w:val="20"/>
          <w:szCs w:val="20"/>
          <w:color w:val="auto"/>
        </w:rPr>
      </w:pPr>
      <w:r>
        <w:rPr>
          <w:rFonts w:ascii="Arial" w:cs="Arial" w:eastAsia="Arial" w:hAnsi="Arial"/>
          <w:sz w:val="16"/>
          <w:szCs w:val="16"/>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9" w:lineRule="exact"/>
        <w:rPr>
          <w:sz w:val="20"/>
          <w:szCs w:val="20"/>
          <w:color w:val="auto"/>
        </w:rPr>
      </w:pPr>
    </w:p>
    <w:p>
      <w:pPr>
        <w:ind w:left="240" w:right="140" w:firstLine="430"/>
        <w:spacing w:after="0" w:line="362" w:lineRule="auto"/>
        <w:rPr>
          <w:sz w:val="20"/>
          <w:szCs w:val="20"/>
          <w:color w:val="auto"/>
        </w:rPr>
      </w:pPr>
      <w:r>
        <w:rPr>
          <w:rFonts w:ascii="Arial" w:cs="Arial" w:eastAsia="Arial" w:hAnsi="Arial"/>
          <w:sz w:val="15"/>
          <w:szCs w:val="15"/>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9" w:lineRule="exact"/>
        <w:rPr>
          <w:sz w:val="20"/>
          <w:szCs w:val="20"/>
          <w:color w:val="auto"/>
        </w:rPr>
      </w:pPr>
    </w:p>
    <w:p>
      <w:pPr>
        <w:ind w:left="240" w:right="20" w:firstLine="430"/>
        <w:spacing w:after="0" w:line="247"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97" w:lineRule="exact"/>
        <w:rPr>
          <w:sz w:val="20"/>
          <w:szCs w:val="20"/>
          <w:color w:val="auto"/>
        </w:rPr>
      </w:pPr>
    </w:p>
    <w:p>
      <w:pPr>
        <w:ind w:left="240" w:right="80" w:firstLine="430"/>
        <w:spacing w:after="0" w:line="284" w:lineRule="auto"/>
        <w:rPr>
          <w:sz w:val="20"/>
          <w:szCs w:val="20"/>
          <w:color w:val="auto"/>
        </w:rPr>
      </w:pPr>
      <w:r>
        <w:rPr>
          <w:rFonts w:ascii="Arial" w:cs="Arial" w:eastAsia="Arial" w:hAnsi="Arial"/>
          <w:sz w:val="16"/>
          <w:szCs w:val="16"/>
          <w:i w:val="1"/>
          <w:iCs w:val="1"/>
          <w:color w:val="auto"/>
        </w:rPr>
        <w:t>Interest and dividend income</w:t>
      </w:r>
      <w:r>
        <w:rPr>
          <w:rFonts w:ascii="Arial" w:cs="Arial" w:eastAsia="Arial" w:hAnsi="Arial"/>
          <w:sz w:val="16"/>
          <w:szCs w:val="16"/>
          <w:color w:val="auto"/>
        </w:rPr>
        <w:t>. Interest and dividend income are recorded on the accrual basis to the extent that we expect to collect such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69" w:lineRule="exact"/>
        <w:rPr>
          <w:sz w:val="20"/>
          <w:szCs w:val="20"/>
          <w:color w:val="auto"/>
        </w:rPr>
      </w:pPr>
    </w:p>
    <w:p>
      <w:pPr>
        <w:ind w:left="240" w:right="40" w:firstLine="430"/>
        <w:spacing w:after="0" w:line="282"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our investments contain a PIK income provision. The PIK income, computed at the contractual rate specified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68" w:lineRule="exact"/>
        <w:rPr>
          <w:sz w:val="20"/>
          <w:szCs w:val="20"/>
          <w:color w:val="auto"/>
        </w:rPr>
      </w:pPr>
    </w:p>
    <w:p>
      <w:pPr>
        <w:ind w:left="240" w:right="80" w:firstLine="430"/>
        <w:spacing w:after="0" w:line="284" w:lineRule="auto"/>
        <w:rPr>
          <w:sz w:val="20"/>
          <w:szCs w:val="20"/>
          <w:color w:val="auto"/>
        </w:rPr>
      </w:pPr>
      <w:r>
        <w:rPr>
          <w:rFonts w:ascii="Arial" w:cs="Arial" w:eastAsia="Arial" w:hAnsi="Arial"/>
          <w:sz w:val="16"/>
          <w:szCs w:val="16"/>
          <w:i w:val="1"/>
          <w:iCs w:val="1"/>
          <w:color w:val="auto"/>
        </w:rPr>
        <w:t xml:space="preserve">Non-accrual. </w:t>
      </w:r>
      <w:r>
        <w:rPr>
          <w:rFonts w:ascii="Arial" w:cs="Arial" w:eastAsia="Arial" w:hAnsi="Arial"/>
          <w:sz w:val="16"/>
          <w:szCs w:val="16"/>
          <w:color w:val="auto"/>
        </w:rPr>
        <w:t>Debt investments or preferred equity investments (for which we are accruing PIK dividends) are placed on non-accrual status when</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69" w:lineRule="exact"/>
        <w:rPr>
          <w:sz w:val="20"/>
          <w:szCs w:val="20"/>
          <w:color w:val="auto"/>
        </w:rPr>
      </w:pPr>
    </w:p>
    <w:p>
      <w:pPr>
        <w:ind w:left="240" w:firstLine="430"/>
        <w:spacing w:after="0" w:line="287"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In connection with our debt investments, we will sometimes receive warrants or other equity-related securities (Warrants).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65" w:lineRule="exact"/>
        <w:rPr>
          <w:sz w:val="20"/>
          <w:szCs w:val="20"/>
          <w:color w:val="auto"/>
        </w:rPr>
      </w:pPr>
    </w:p>
    <w:p>
      <w:pPr>
        <w:ind w:left="240" w:right="20" w:firstLine="430"/>
        <w:spacing w:after="0" w:line="310" w:lineRule="auto"/>
        <w:rPr>
          <w:sz w:val="20"/>
          <w:szCs w:val="20"/>
          <w:color w:val="auto"/>
        </w:rPr>
      </w:pPr>
      <w:r>
        <w:rPr>
          <w:rFonts w:ascii="Arial" w:cs="Arial" w:eastAsia="Arial" w:hAnsi="Arial"/>
          <w:sz w:val="15"/>
          <w:szCs w:val="15"/>
          <w:i w:val="1"/>
          <w:iCs w:val="1"/>
          <w:color w:val="auto"/>
        </w:rPr>
        <w:t xml:space="preserve">Fee income. </w:t>
      </w:r>
      <w:r>
        <w:rPr>
          <w:rFonts w:ascii="Arial" w:cs="Arial" w:eastAsia="Arial" w:hAnsi="Arial"/>
          <w:sz w:val="15"/>
          <w:szCs w:val="15"/>
          <w:color w:val="auto"/>
        </w:rPr>
        <w:t>All transaction fees earned in connection with our investments are recognized as fee income and are generally non-recurring. Such</w:t>
      </w:r>
      <w:r>
        <w:rPr>
          <w:rFonts w:ascii="Arial" w:cs="Arial" w:eastAsia="Arial" w:hAnsi="Arial"/>
          <w:sz w:val="15"/>
          <w:szCs w:val="15"/>
          <w:i w:val="1"/>
          <w:iCs w:val="1"/>
          <w:color w:val="auto"/>
        </w:rPr>
        <w:t xml:space="preserve"> </w:t>
      </w:r>
      <w:r>
        <w:rPr>
          <w:rFonts w:ascii="Arial" w:cs="Arial" w:eastAsia="Arial" w:hAnsi="Arial"/>
          <w:sz w:val="15"/>
          <w:szCs w:val="15"/>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w:t>
      </w:r>
    </w:p>
    <w:p>
      <w:pPr>
        <w:spacing w:after="0" w:line="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320" w:top="451" w:right="5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380"/>
        <w:spacing w:after="0" w:line="253" w:lineRule="auto"/>
        <w:rPr>
          <w:sz w:val="20"/>
          <w:szCs w:val="20"/>
          <w:color w:val="auto"/>
        </w:rPr>
      </w:pPr>
      <w:r>
        <w:rPr>
          <w:rFonts w:ascii="Arial" w:cs="Arial" w:eastAsia="Arial" w:hAnsi="Arial"/>
          <w:sz w:val="18"/>
          <w:szCs w:val="18"/>
          <w:color w:val="auto"/>
        </w:rPr>
        <w:t>funds and other income on the Consolidated Statement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89" w:lineRule="exact"/>
        <w:rPr>
          <w:sz w:val="20"/>
          <w:szCs w:val="20"/>
          <w:color w:val="auto"/>
        </w:rPr>
      </w:pPr>
    </w:p>
    <w:p>
      <w:pPr>
        <w:jc w:val="both"/>
        <w:ind w:left="240" w:right="20" w:firstLine="430"/>
        <w:spacing w:after="0" w:line="250"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09" w:lineRule="exact"/>
        <w:rPr>
          <w:sz w:val="20"/>
          <w:szCs w:val="20"/>
          <w:color w:val="auto"/>
        </w:rPr>
      </w:pPr>
    </w:p>
    <w:p>
      <w:pPr>
        <w:ind w:left="240" w:right="280" w:firstLine="430"/>
        <w:spacing w:after="0" w:line="287" w:lineRule="auto"/>
        <w:rPr>
          <w:sz w:val="20"/>
          <w:szCs w:val="20"/>
          <w:color w:val="auto"/>
        </w:rPr>
      </w:pPr>
      <w:r>
        <w:rPr>
          <w:rFonts w:ascii="Arial" w:cs="Arial" w:eastAsia="Arial" w:hAnsi="Arial"/>
          <w:sz w:val="16"/>
          <w:szCs w:val="16"/>
          <w:i w:val="1"/>
          <w:iCs w:val="1"/>
          <w:color w:val="auto"/>
        </w:rPr>
        <w:t xml:space="preserve">Partial loan and equity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5" w:lineRule="exact"/>
        <w:rPr>
          <w:sz w:val="20"/>
          <w:szCs w:val="20"/>
          <w:color w:val="auto"/>
        </w:rPr>
      </w:pPr>
    </w:p>
    <w:p>
      <w:pPr>
        <w:ind w:left="240" w:firstLine="430"/>
        <w:spacing w:after="0" w:line="282"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No. 2020-04,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(Topic 848),</w:t>
      </w:r>
      <w:r>
        <w:rPr>
          <w:rFonts w:ascii="Arial" w:cs="Arial" w:eastAsia="Arial" w:hAnsi="Arial"/>
          <w:sz w:val="16"/>
          <w:szCs w:val="16"/>
          <w:color w:val="auto"/>
        </w:rPr>
        <w:t>” which provides optional expedients and exceptions for applying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did not utilize the optional expedients and exceptions provided by ASU 2020-04 during the six months ended June 30, 2021.</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 Rule 1-02(w)(2) Update</w:t>
      </w:r>
    </w:p>
    <w:p>
      <w:pPr>
        <w:spacing w:after="0" w:line="115" w:lineRule="exact"/>
        <w:rPr>
          <w:sz w:val="20"/>
          <w:szCs w:val="20"/>
          <w:color w:val="auto"/>
        </w:rPr>
      </w:pPr>
    </w:p>
    <w:p>
      <w:pPr>
        <w:ind w:left="240" w:right="20" w:firstLine="430"/>
        <w:spacing w:after="0" w:line="280" w:lineRule="auto"/>
        <w:rPr>
          <w:sz w:val="20"/>
          <w:szCs w:val="20"/>
          <w:color w:val="auto"/>
        </w:rPr>
      </w:pPr>
      <w:r>
        <w:rPr>
          <w:rFonts w:ascii="Arial" w:cs="Arial" w:eastAsia="Arial" w:hAnsi="Arial"/>
          <w:sz w:val="16"/>
          <w:szCs w:val="16"/>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 Regulation S-K Update</w:t>
      </w:r>
    </w:p>
    <w:p>
      <w:pPr>
        <w:spacing w:after="0" w:line="115" w:lineRule="exact"/>
        <w:rPr>
          <w:sz w:val="20"/>
          <w:szCs w:val="20"/>
          <w:color w:val="auto"/>
        </w:rPr>
      </w:pPr>
    </w:p>
    <w:p>
      <w:pPr>
        <w:ind w:left="240" w:right="40" w:firstLine="430"/>
        <w:spacing w:after="0" w:line="282"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451" w:right="5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w:t>
      </w:r>
    </w:p>
    <w:p>
      <w:pPr>
        <w:spacing w:after="0" w:line="115" w:lineRule="exact"/>
        <w:rPr>
          <w:sz w:val="20"/>
          <w:szCs w:val="20"/>
          <w:color w:val="auto"/>
        </w:rPr>
      </w:pPr>
    </w:p>
    <w:p>
      <w:pPr>
        <w:ind w:left="240" w:right="40" w:firstLine="430"/>
        <w:spacing w:after="0" w:line="250"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$45.4 and $5.6 million as of June 30, 2021 and December 31, 2020, respectively. Such outstanding commitments are summarized in the following table (dollars in millions):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ind w:left="5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16"/>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Company—Investment</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90"/>
              <w:spacing w:after="0" w:line="116" w:lineRule="exact"/>
              <w:rPr>
                <w:sz w:val="20"/>
                <w:szCs w:val="20"/>
                <w:color w:val="auto"/>
              </w:rPr>
            </w:pPr>
            <w:r>
              <w:rPr>
                <w:rFonts w:ascii="Arial" w:cs="Arial" w:eastAsia="Arial" w:hAnsi="Arial"/>
                <w:sz w:val="13"/>
                <w:szCs w:val="13"/>
                <w:b w:val="1"/>
                <w:bCs w:val="1"/>
                <w:color w:val="auto"/>
              </w:rPr>
              <w:t>Total</w:t>
            </w: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0"/>
              <w:spacing w:after="0" w:line="116" w:lineRule="exact"/>
              <w:rPr>
                <w:sz w:val="20"/>
                <w:szCs w:val="20"/>
                <w:color w:val="auto"/>
              </w:rPr>
            </w:pPr>
            <w:r>
              <w:rPr>
                <w:rFonts w:ascii="Arial" w:cs="Arial" w:eastAsia="Arial" w:hAnsi="Arial"/>
                <w:sz w:val="13"/>
                <w:szCs w:val="13"/>
                <w:b w:val="1"/>
                <w:bCs w:val="1"/>
                <w:color w:val="auto"/>
                <w:w w:val="98"/>
              </w:rPr>
              <w:t>Unfunded</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80"/>
              <w:spacing w:after="0" w:line="116" w:lineRule="exact"/>
              <w:rPr>
                <w:sz w:val="20"/>
                <w:szCs w:val="20"/>
                <w:color w:val="auto"/>
              </w:rPr>
            </w:pPr>
            <w:r>
              <w:rPr>
                <w:rFonts w:ascii="Arial" w:cs="Arial" w:eastAsia="Arial" w:hAnsi="Arial"/>
                <w:sz w:val="13"/>
                <w:szCs w:val="13"/>
                <w:b w:val="1"/>
                <w:bCs w:val="1"/>
                <w:color w:val="auto"/>
              </w:rPr>
              <w:t>Total</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20"/>
              <w:spacing w:after="0" w:line="116" w:lineRule="exact"/>
              <w:rPr>
                <w:sz w:val="20"/>
                <w:szCs w:val="20"/>
                <w:color w:val="auto"/>
              </w:rPr>
            </w:pPr>
            <w:r>
              <w:rPr>
                <w:rFonts w:ascii="Arial" w:cs="Arial" w:eastAsia="Arial" w:hAnsi="Arial"/>
                <w:sz w:val="13"/>
                <w:szCs w:val="13"/>
                <w:b w:val="1"/>
                <w:bCs w:val="1"/>
                <w:color w:val="auto"/>
              </w:rPr>
              <w:t>Unfunded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5520" w:type="dxa"/>
            <w:vAlign w:val="bottom"/>
            <w:gridSpan w:val="3"/>
            <w:vMerge w:val="continue"/>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Commitment</w:t>
            </w:r>
          </w:p>
        </w:tc>
        <w:tc>
          <w:tcPr>
            <w:tcW w:w="360" w:type="dxa"/>
            <w:vAlign w:val="bottom"/>
          </w:tcPr>
          <w:p>
            <w:pPr>
              <w:spacing w:after="0"/>
              <w:rPr>
                <w:sz w:val="13"/>
                <w:szCs w:val="13"/>
                <w:color w:val="auto"/>
              </w:rPr>
            </w:pPr>
          </w:p>
        </w:tc>
        <w:tc>
          <w:tcPr>
            <w:tcW w:w="132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rPr>
              <w:t>Commitment</w:t>
            </w:r>
          </w:p>
        </w:tc>
        <w:tc>
          <w:tcPr>
            <w:tcW w:w="134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rPr>
              <w:t>Commitment</w:t>
            </w:r>
          </w:p>
        </w:tc>
        <w:tc>
          <w:tcPr>
            <w:tcW w:w="118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55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95"/>
              </w:rPr>
              <w:t>American AllWaste LLC (dba WasteWater Transport Services)—Delayed Draw Commitment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3.9</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3.9</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31"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00"/>
              <w:spacing w:after="0" w:line="131"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tcPr>
          <w:p>
            <w:pPr>
              <w:spacing w:after="0" w:line="145" w:lineRule="exact"/>
              <w:rPr>
                <w:sz w:val="20"/>
                <w:szCs w:val="20"/>
                <w:color w:val="auto"/>
              </w:rPr>
            </w:pPr>
            <w:r>
              <w:rPr>
                <w:rFonts w:ascii="Arial" w:cs="Arial" w:eastAsia="Arial" w:hAnsi="Arial"/>
                <w:sz w:val="14"/>
                <w:szCs w:val="14"/>
                <w:color w:val="auto"/>
              </w:rPr>
              <w:t>Combined Systems, Inc.—Revolving Loan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4.0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4.0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CRS Solutions Holdings, LLC (dba CRS Texas)—Common Equity (Units)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0.2</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tcPr>
          <w:p>
            <w:pPr>
              <w:spacing w:after="0" w:line="145" w:lineRule="exact"/>
              <w:rPr>
                <w:sz w:val="20"/>
                <w:szCs w:val="20"/>
                <w:color w:val="auto"/>
              </w:rPr>
            </w:pPr>
            <w:r>
              <w:rPr>
                <w:rFonts w:ascii="Arial" w:cs="Arial" w:eastAsia="Arial" w:hAnsi="Arial"/>
                <w:sz w:val="14"/>
                <w:szCs w:val="14"/>
                <w:color w:val="auto"/>
              </w:rPr>
              <w:t>Elements Brands, LLC—Revolving Loan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3.0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Ipro Tech, LLC—First Lien Debt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tcPr>
          <w:p>
            <w:pPr>
              <w:spacing w:after="0" w:line="145" w:lineRule="exact"/>
              <w:rPr>
                <w:sz w:val="20"/>
                <w:szCs w:val="20"/>
                <w:color w:val="auto"/>
              </w:rPr>
            </w:pPr>
            <w:r>
              <w:rPr>
                <w:rFonts w:ascii="Arial" w:cs="Arial" w:eastAsia="Arial" w:hAnsi="Arial"/>
                <w:sz w:val="14"/>
                <w:szCs w:val="14"/>
                <w:color w:val="auto"/>
              </w:rPr>
              <w:t>Rhino Assembly Company, LLC—Delayed Draw Commitment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0.9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0.9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Safety Products Group, LLC—Common Equity (Units)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w:t>
            </w:r>
          </w:p>
        </w:tc>
        <w:tc>
          <w:tcPr>
            <w:tcW w:w="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1"/>
                <w:szCs w:val="11"/>
                <w:color w:val="auto"/>
              </w:rPr>
              <w:t>(1)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1"/>
                <w:szCs w:val="11"/>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tcPr>
          <w:p>
            <w:pPr>
              <w:spacing w:after="0" w:line="145" w:lineRule="exact"/>
              <w:rPr>
                <w:sz w:val="20"/>
                <w:szCs w:val="20"/>
                <w:color w:val="auto"/>
              </w:rPr>
            </w:pPr>
            <w:r>
              <w:rPr>
                <w:rFonts w:ascii="Arial" w:cs="Arial" w:eastAsia="Arial" w:hAnsi="Arial"/>
                <w:sz w:val="14"/>
                <w:szCs w:val="14"/>
                <w:color w:val="auto"/>
              </w:rPr>
              <w:t>Spectra A&amp;D Acquisition, Inc. (fka FDS Avionics Corp.)—Revolving Loan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w w:val="95"/>
              </w:rPr>
              <w:t>Wonderware Holdings, LLC (dba CORE Business Technologies)—Delayed Draw Term Loan</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00" w:type="dxa"/>
            <w:vAlign w:val="bottom"/>
            <w:gridSpan w:val="2"/>
          </w:tcPr>
          <w:p>
            <w:pPr>
              <w:spacing w:after="0" w:line="145" w:lineRule="exact"/>
              <w:rPr>
                <w:sz w:val="20"/>
                <w:szCs w:val="20"/>
                <w:color w:val="auto"/>
              </w:rPr>
            </w:pPr>
            <w:r>
              <w:rPr>
                <w:rFonts w:ascii="Arial" w:cs="Arial" w:eastAsia="Arial" w:hAnsi="Arial"/>
                <w:sz w:val="14"/>
                <w:szCs w:val="14"/>
                <w:color w:val="auto"/>
              </w:rPr>
              <w:t>Worldwide Express Operations, LLC—Senior Subordinated Note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20.0</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20.0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40"/>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Total</w:t>
            </w:r>
          </w:p>
        </w:tc>
        <w:tc>
          <w:tcPr>
            <w:tcW w:w="4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51.2</w:t>
            </w: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45.4</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11.0</w:t>
            </w:r>
          </w:p>
        </w:tc>
        <w:tc>
          <w:tcPr>
            <w:tcW w:w="3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right="320" w:hanging="431"/>
        <w:spacing w:after="0" w:line="262"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8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Related Party Transactions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22" w:lineRule="exact"/>
        <w:rPr>
          <w:sz w:val="20"/>
          <w:szCs w:val="20"/>
          <w:color w:val="auto"/>
        </w:rPr>
      </w:pPr>
    </w:p>
    <w:p>
      <w:pPr>
        <w:ind w:left="1200" w:right="80" w:hanging="424"/>
        <w:spacing w:after="0" w:line="250"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99" w:lineRule="exact"/>
        <w:rPr>
          <w:rFonts w:ascii="Arial" w:cs="Arial" w:eastAsia="Arial" w:hAnsi="Arial"/>
          <w:sz w:val="18"/>
          <w:szCs w:val="18"/>
          <w:color w:val="auto"/>
        </w:rPr>
      </w:pPr>
    </w:p>
    <w:p>
      <w:pPr>
        <w:ind w:left="1200" w:right="20" w:hanging="424"/>
        <w:spacing w:after="0" w:line="247"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In May 2015, Fidus Investment Advisors entered into a combination with Fidus Partners, LLC (the “Combination”), by which members of Fidus Investment Advisors and Fidus Partners, LLC (“Partners”) contributed all of their respective membership interest in Fidus Investment Advisors and Partners to a newly formed limited liability company, Fidus Group Holdings, LLC (“Holdings”). As a result, Fidus Investment Advisors is a wholly-owned subsidiary of Holdings, which is a limited liability company organized under the laws of Delaware.</w:t>
      </w:r>
    </w:p>
    <w:p>
      <w:pPr>
        <w:spacing w:after="0" w:line="105" w:lineRule="exact"/>
        <w:rPr>
          <w:rFonts w:ascii="Arial" w:cs="Arial" w:eastAsia="Arial" w:hAnsi="Arial"/>
          <w:sz w:val="18"/>
          <w:szCs w:val="18"/>
          <w:color w:val="auto"/>
        </w:rPr>
      </w:pPr>
    </w:p>
    <w:p>
      <w:pPr>
        <w:ind w:left="1200" w:right="200" w:hanging="424"/>
        <w:spacing w:after="0" w:line="325" w:lineRule="auto"/>
        <w:tabs>
          <w:tab w:leader="none" w:pos="1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41" w:lineRule="exact"/>
        <w:rPr>
          <w:rFonts w:ascii="Arial" w:cs="Arial" w:eastAsia="Arial" w:hAnsi="Arial"/>
          <w:sz w:val="16"/>
          <w:szCs w:val="16"/>
          <w:color w:val="auto"/>
        </w:rPr>
      </w:pPr>
    </w:p>
    <w:p>
      <w:pPr>
        <w:ind w:left="1200" w:right="380" w:hanging="424"/>
        <w:spacing w:after="0" w:line="262"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88" w:lineRule="exact"/>
        <w:rPr>
          <w:rFonts w:ascii="Arial" w:cs="Arial" w:eastAsia="Arial" w:hAnsi="Arial"/>
          <w:sz w:val="18"/>
          <w:szCs w:val="18"/>
          <w:color w:val="auto"/>
        </w:rPr>
      </w:pPr>
    </w:p>
    <w:p>
      <w:pPr>
        <w:ind w:left="1200" w:right="60" w:hanging="424"/>
        <w:spacing w:after="0" w:line="287" w:lineRule="auto"/>
        <w:tabs>
          <w:tab w:leader="none" w:pos="1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72" w:lineRule="exact"/>
        <w:rPr>
          <w:rFonts w:ascii="Arial" w:cs="Arial" w:eastAsia="Arial" w:hAnsi="Arial"/>
          <w:sz w:val="16"/>
          <w:szCs w:val="16"/>
          <w:color w:val="auto"/>
        </w:rPr>
      </w:pPr>
    </w:p>
    <w:p>
      <w:pPr>
        <w:ind w:left="1200" w:right="120" w:hanging="424"/>
        <w:spacing w:after="0" w:line="325" w:lineRule="auto"/>
        <w:tabs>
          <w:tab w:leader="none" w:pos="1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Investment Advisor, in consultation with the Board, agreed to voluntarily waive $0.4 million of the income incentive fee for the three and six months ended June 30, 2020. There was no income incentive fee waiver for the three and six months ended June 30, 2021.</w:t>
      </w:r>
    </w:p>
    <w:p>
      <w:pPr>
        <w:spacing w:after="0" w:line="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1" w:right="5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1200" w:right="20" w:hanging="424"/>
        <w:spacing w:after="0" w:line="253"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Investment Advisor, in consultation with the Board, agreed to voluntarily waive base management fees on any assets accounted for as secured borrowings as defined under GAAP for the three and six months ended June 30, 2021. There were no secured borrowings included in total assets for the three and six months ended June 30, 2020.</w:t>
      </w:r>
    </w:p>
    <w:p>
      <w:pPr>
        <w:spacing w:after="0" w:line="189" w:lineRule="exact"/>
        <w:rPr>
          <w:sz w:val="20"/>
          <w:szCs w:val="20"/>
          <w:color w:val="auto"/>
        </w:rPr>
      </w:pPr>
    </w:p>
    <w:p>
      <w:pPr>
        <w:ind w:left="240" w:right="60" w:firstLine="430"/>
        <w:spacing w:after="0" w:line="250"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191" w:lineRule="exact"/>
        <w:rPr>
          <w:sz w:val="20"/>
          <w:szCs w:val="20"/>
          <w:color w:val="auto"/>
        </w:rPr>
      </w:pPr>
    </w:p>
    <w:p>
      <w:pPr>
        <w:ind w:left="240" w:firstLine="430"/>
        <w:spacing w:after="0" w:line="281" w:lineRule="auto"/>
        <w:rPr>
          <w:sz w:val="20"/>
          <w:szCs w:val="20"/>
          <w:color w:val="auto"/>
        </w:rPr>
      </w:pPr>
      <w:r>
        <w:rPr>
          <w:rFonts w:ascii="Arial" w:cs="Arial" w:eastAsia="Arial" w:hAnsi="Arial"/>
          <w:sz w:val="16"/>
          <w:szCs w:val="16"/>
          <w:color w:val="auto"/>
        </w:rPr>
        <w:t>While we may co-invest with investment entities managed by the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9" w:lineRule="exact"/>
        <w:rPr>
          <w:sz w:val="20"/>
          <w:szCs w:val="20"/>
          <w:color w:val="auto"/>
        </w:rPr>
      </w:pPr>
    </w:p>
    <w:p>
      <w:pPr>
        <w:ind w:left="240" w:right="180" w:firstLine="430"/>
        <w:spacing w:after="0" w:line="287" w:lineRule="auto"/>
        <w:rPr>
          <w:sz w:val="20"/>
          <w:szCs w:val="20"/>
          <w:color w:val="auto"/>
        </w:rPr>
      </w:pPr>
      <w:r>
        <w:rPr>
          <w:rFonts w:ascii="Arial" w:cs="Arial" w:eastAsia="Arial" w:hAnsi="Arial"/>
          <w:sz w:val="16"/>
          <w:szCs w:val="16"/>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115" w:lineRule="exact"/>
        <w:rPr>
          <w:sz w:val="20"/>
          <w:szCs w:val="20"/>
          <w:color w:val="auto"/>
        </w:rPr>
      </w:pPr>
    </w:p>
    <w:p>
      <w:pPr>
        <w:ind w:left="240" w:right="220" w:firstLine="430"/>
        <w:spacing w:after="0" w:line="325" w:lineRule="auto"/>
        <w:rPr>
          <w:sz w:val="20"/>
          <w:szCs w:val="20"/>
          <w:color w:val="auto"/>
        </w:rPr>
      </w:pPr>
      <w:r>
        <w:rPr>
          <w:rFonts w:ascii="Arial" w:cs="Arial" w:eastAsia="Arial" w:hAnsi="Arial"/>
          <w:sz w:val="16"/>
          <w:szCs w:val="16"/>
          <w:color w:val="auto"/>
        </w:rPr>
        <w:t>On July 16, 2021, we exited our debt investments in Hilco Technologies. We received payment in full of $10.3 million on our first lien debt and revolving loan. We received a distribution on our equity investments for a realized loss of approximately ($1.0) million.</w:t>
      </w:r>
    </w:p>
    <w:p>
      <w:pPr>
        <w:spacing w:after="0" w:line="134" w:lineRule="exact"/>
        <w:rPr>
          <w:sz w:val="20"/>
          <w:szCs w:val="20"/>
          <w:color w:val="auto"/>
        </w:rPr>
      </w:pPr>
    </w:p>
    <w:p>
      <w:pPr>
        <w:ind w:left="240" w:right="260" w:firstLine="430"/>
        <w:spacing w:after="0" w:line="262" w:lineRule="auto"/>
        <w:rPr>
          <w:sz w:val="20"/>
          <w:szCs w:val="20"/>
          <w:color w:val="auto"/>
        </w:rPr>
      </w:pPr>
      <w:r>
        <w:rPr>
          <w:rFonts w:ascii="Arial" w:cs="Arial" w:eastAsia="Arial" w:hAnsi="Arial"/>
          <w:sz w:val="18"/>
          <w:szCs w:val="18"/>
          <w:color w:val="auto"/>
        </w:rPr>
        <w:t>On July 23, 2021, we exited our debt investment in CRS Solutions Holdings, LLC. We received payment in full of $11.4 million on our second lien debt.</w:t>
      </w:r>
    </w:p>
    <w:p>
      <w:pPr>
        <w:spacing w:after="0" w:line="180" w:lineRule="exact"/>
        <w:rPr>
          <w:sz w:val="20"/>
          <w:szCs w:val="20"/>
          <w:color w:val="auto"/>
        </w:rPr>
      </w:pPr>
    </w:p>
    <w:p>
      <w:pPr>
        <w:jc w:val="both"/>
        <w:ind w:left="240" w:right="180" w:firstLine="430"/>
        <w:spacing w:after="0" w:line="291" w:lineRule="auto"/>
        <w:rPr>
          <w:sz w:val="20"/>
          <w:szCs w:val="20"/>
          <w:color w:val="auto"/>
        </w:rPr>
      </w:pPr>
      <w:r>
        <w:rPr>
          <w:rFonts w:ascii="Arial" w:cs="Arial" w:eastAsia="Arial" w:hAnsi="Arial"/>
          <w:sz w:val="16"/>
          <w:szCs w:val="16"/>
          <w:color w:val="auto"/>
        </w:rPr>
        <w:t>On July 26, 2021, we exited our debt and equity investments in Worldwide Express Operations, LLC, which was acquired under a new holding company, Accord Topco, LP (dba Worldwide Express). We received payment in full of $20.0 million on our second lien debt. We sold a portion of our common equity investment for a realized gain of approximately $3.0 million. In conjunction with the transaction, we invested $1.5 million in common equity, of which $0.8 million was rolled over from our original common equity investment and funded a $20.0 million second lien loan commitment.</w:t>
      </w:r>
    </w:p>
    <w:p>
      <w:pPr>
        <w:spacing w:after="0" w:line="162" w:lineRule="exact"/>
        <w:rPr>
          <w:sz w:val="20"/>
          <w:szCs w:val="20"/>
          <w:color w:val="auto"/>
        </w:rPr>
      </w:pPr>
    </w:p>
    <w:p>
      <w:pPr>
        <w:ind w:left="240" w:right="140" w:firstLine="430"/>
        <w:spacing w:after="0" w:line="262" w:lineRule="auto"/>
        <w:rPr>
          <w:sz w:val="20"/>
          <w:szCs w:val="20"/>
          <w:color w:val="auto"/>
        </w:rPr>
      </w:pPr>
      <w:r>
        <w:rPr>
          <w:rFonts w:ascii="Arial" w:cs="Arial" w:eastAsia="Arial" w:hAnsi="Arial"/>
          <w:sz w:val="18"/>
          <w:szCs w:val="18"/>
          <w:color w:val="auto"/>
        </w:rPr>
        <w:t>On August 2, 2021, our Board declared a regular quarterly dividend of $0.32 per share, a supplemental dividend of $0.06 per share, and a special dividend of $0.04 per share payable September 28, 2021, to stockholders of record as of September 14, 2021.</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5" w:lineRule="exact"/>
        <w:rPr>
          <w:sz w:val="20"/>
          <w:szCs w:val="20"/>
          <w:color w:val="auto"/>
        </w:rPr>
      </w:pPr>
    </w:p>
    <w:p>
      <w:pPr>
        <w:ind w:left="240" w:right="140" w:firstLine="430"/>
        <w:spacing w:after="0" w:line="287"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65" w:lineRule="exact"/>
        <w:rPr>
          <w:sz w:val="20"/>
          <w:szCs w:val="20"/>
          <w:color w:val="auto"/>
        </w:rPr>
      </w:pPr>
    </w:p>
    <w:p>
      <w:pPr>
        <w:ind w:left="240" w:right="60" w:firstLine="430"/>
        <w:spacing w:after="0" w:line="304" w:lineRule="auto"/>
        <w:rPr>
          <w:sz w:val="20"/>
          <w:szCs w:val="20"/>
          <w:color w:val="auto"/>
        </w:rPr>
      </w:pPr>
      <w:r>
        <w:rPr>
          <w:rFonts w:ascii="Arial" w:cs="Arial" w:eastAsia="Arial" w:hAnsi="Arial"/>
          <w:sz w:val="15"/>
          <w:szCs w:val="15"/>
          <w:color w:val="auto"/>
        </w:rPr>
        <w:t>In the future, our investment income may also be affected by changes in various interest rates, including LIBOR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As of June 30, 2021 and December 31, 2020, 28 and 22 portfolio company’s debt investments, respectively, bore interest at a variable rate, which represented $296.2 million and $230.9 million of our portfolio on a fair value basis,</w:t>
      </w:r>
    </w:p>
    <w:p>
      <w:pPr>
        <w:sectPr>
          <w:pgSz w:w="11900" w:h="16838" w:orient="portrait"/>
          <w:cols w:equalWidth="0" w:num="1">
            <w:col w:w="11000"/>
          </w:cols>
          <w:pgMar w:left="320" w:top="451" w:right="579" w:bottom="1440" w:gutter="0" w:footer="0" w:header="0"/>
        </w:sectPr>
      </w:pP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00"/>
          </w:cols>
          <w:pgMar w:left="320" w:top="451" w:right="579" w:bottom="1440" w:gutter="0" w:footer="0" w:header="0"/>
          <w:type w:val="continuous"/>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7" w:lineRule="exact"/>
        <w:rPr>
          <w:sz w:val="20"/>
          <w:szCs w:val="20"/>
          <w:color w:val="auto"/>
        </w:rPr>
      </w:pPr>
    </w:p>
    <w:p>
      <w:pPr>
        <w:ind w:left="240" w:right="20"/>
        <w:spacing w:after="0" w:line="283" w:lineRule="auto"/>
        <w:rPr>
          <w:sz w:val="20"/>
          <w:szCs w:val="20"/>
          <w:color w:val="auto"/>
        </w:rPr>
      </w:pPr>
      <w:r>
        <w:rPr>
          <w:rFonts w:ascii="Arial" w:cs="Arial" w:eastAsia="Arial" w:hAnsi="Arial"/>
          <w:sz w:val="16"/>
          <w:szCs w:val="16"/>
          <w:color w:val="auto"/>
        </w:rPr>
        <w:t>respectively, and the remainder of our debt portfolio was comprised entirely of fixed rate investments. Our pooled SBA debentures and our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68" w:lineRule="exact"/>
        <w:rPr>
          <w:sz w:val="20"/>
          <w:szCs w:val="20"/>
          <w:color w:val="auto"/>
        </w:rPr>
      </w:pPr>
    </w:p>
    <w:p>
      <w:pPr>
        <w:ind w:left="240" w:right="80" w:firstLine="430"/>
        <w:spacing w:after="0" w:line="248"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95" w:lineRule="exact"/>
        <w:rPr>
          <w:sz w:val="20"/>
          <w:szCs w:val="20"/>
          <w:color w:val="auto"/>
        </w:rPr>
      </w:pPr>
    </w:p>
    <w:p>
      <w:pPr>
        <w:ind w:left="240" w:right="120" w:firstLine="430"/>
        <w:spacing w:after="0" w:line="325"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June 30, 2021 (dollars in millions):</w:t>
      </w:r>
    </w:p>
    <w:p>
      <w:pPr>
        <w:spacing w:after="0" w:line="13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Interest Income</w:t>
            </w:r>
          </w:p>
        </w:tc>
        <w:tc>
          <w:tcPr>
            <w:tcW w:w="1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Interest Expense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Net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6"/>
              <w:spacing w:after="0" w:line="141" w:lineRule="exact"/>
              <w:rPr>
                <w:sz w:val="20"/>
                <w:szCs w:val="20"/>
                <w:color w:val="auto"/>
              </w:rPr>
            </w:pPr>
            <w:r>
              <w:rPr>
                <w:rFonts w:ascii="Arial" w:cs="Arial" w:eastAsia="Arial" w:hAnsi="Arial"/>
                <w:sz w:val="14"/>
                <w:szCs w:val="14"/>
                <w:b w:val="1"/>
                <w:bCs w:val="1"/>
                <w:color w:val="auto"/>
                <w:w w:val="87"/>
              </w:rPr>
              <w:t>Increase</w:t>
            </w:r>
          </w:p>
        </w:tc>
        <w:tc>
          <w:tcPr>
            <w:tcW w:w="15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Basis Point Increase (Decrease)</w:t>
            </w:r>
          </w:p>
        </w:tc>
        <w:tc>
          <w:tcPr>
            <w:tcW w:w="400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 xml:space="preserve">(Decrease) </w:t>
            </w:r>
            <w:r>
              <w:rPr>
                <w:rFonts w:ascii="Arial" w:cs="Arial" w:eastAsia="Arial" w:hAnsi="Arial"/>
                <w:sz w:val="11"/>
                <w:szCs w:val="11"/>
                <w:b w:val="1"/>
                <w:bCs w:val="1"/>
                <w:color w:val="auto"/>
                <w:w w:val="89"/>
              </w:rPr>
              <w:t>(1)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75"/>
              <w:spacing w:after="0" w:line="145" w:lineRule="exact"/>
              <w:rPr>
                <w:sz w:val="20"/>
                <w:szCs w:val="20"/>
                <w:color w:val="auto"/>
              </w:rPr>
            </w:pPr>
            <w:r>
              <w:rPr>
                <w:rFonts w:ascii="Arial" w:cs="Arial" w:eastAsia="Arial" w:hAnsi="Arial"/>
                <w:sz w:val="14"/>
                <w:szCs w:val="14"/>
                <w:b w:val="1"/>
                <w:bCs w:val="1"/>
                <w:color w:val="auto"/>
              </w:rPr>
              <w:t>Increase</w:t>
            </w:r>
          </w:p>
        </w:tc>
        <w:tc>
          <w:tcPr>
            <w:tcW w:w="52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4"/>
              </w:rPr>
              <w:t>Increase</w:t>
            </w:r>
          </w:p>
        </w:tc>
        <w:tc>
          <w:tcPr>
            <w:tcW w:w="1240" w:type="dxa"/>
            <w:vAlign w:val="bottom"/>
            <w:gridSpan w:val="4"/>
          </w:tcPr>
          <w:p>
            <w:pPr>
              <w:jc w:val="right"/>
              <w:ind w:right="60"/>
              <w:spacing w:after="0" w:line="145" w:lineRule="exact"/>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65"/>
        </w:trPr>
        <w:tc>
          <w:tcPr>
            <w:tcW w:w="1880" w:type="dxa"/>
            <w:vAlign w:val="bottom"/>
            <w:gridSpan w:val="2"/>
            <w:vMerge w:val="continue"/>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6"/>
              <w:spacing w:after="0"/>
              <w:rPr>
                <w:sz w:val="20"/>
                <w:szCs w:val="20"/>
                <w:color w:val="auto"/>
              </w:rPr>
            </w:pPr>
            <w:r>
              <w:rPr>
                <w:rFonts w:ascii="Arial" w:cs="Arial" w:eastAsia="Arial" w:hAnsi="Arial"/>
                <w:sz w:val="12"/>
                <w:szCs w:val="12"/>
                <w:b w:val="1"/>
                <w:bCs w:val="1"/>
                <w:color w:val="auto"/>
                <w:w w:val="95"/>
              </w:rPr>
              <w:t>(2)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5"/>
              <w:spacing w:after="0" w:line="145" w:lineRule="exact"/>
              <w:rPr>
                <w:sz w:val="20"/>
                <w:szCs w:val="20"/>
                <w:color w:val="auto"/>
              </w:rPr>
            </w:pPr>
            <w:r>
              <w:rPr>
                <w:rFonts w:ascii="Arial" w:cs="Arial" w:eastAsia="Arial" w:hAnsi="Arial"/>
                <w:sz w:val="14"/>
                <w:szCs w:val="14"/>
                <w:b w:val="1"/>
                <w:bCs w:val="1"/>
                <w:color w:val="auto"/>
                <w:w w:val="87"/>
              </w:rPr>
              <w:t xml:space="preserve">(Decrease) </w:t>
            </w:r>
            <w:r>
              <w:rPr>
                <w:rFonts w:ascii="Arial" w:cs="Arial" w:eastAsia="Arial" w:hAnsi="Arial"/>
                <w:sz w:val="11"/>
                <w:szCs w:val="11"/>
                <w:b w:val="1"/>
                <w:bCs w:val="1"/>
                <w:color w:val="auto"/>
                <w:w w:val="87"/>
              </w:rPr>
              <w:t>(4)</w:t>
            </w:r>
          </w:p>
        </w:tc>
        <w:tc>
          <w:tcPr>
            <w:tcW w:w="116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(Decrease)</w:t>
            </w:r>
          </w:p>
        </w:tc>
        <w:tc>
          <w:tcPr>
            <w:tcW w:w="520" w:type="dxa"/>
            <w:vAlign w:val="bottom"/>
          </w:tcPr>
          <w:p>
            <w:pPr>
              <w:spacing w:after="0"/>
              <w:rPr>
                <w:sz w:val="14"/>
                <w:szCs w:val="14"/>
                <w:color w:val="auto"/>
              </w:rPr>
            </w:pPr>
          </w:p>
        </w:tc>
        <w:tc>
          <w:tcPr>
            <w:tcW w:w="7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(200)</w:t>
            </w:r>
          </w:p>
        </w:tc>
        <w:tc>
          <w:tcPr>
            <w:tcW w:w="4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5"/>
              <w:spacing w:after="0" w:line="197"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4"/>
              <w:spacing w:after="0" w:line="197"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4"/>
              <w:spacing w:after="0" w:line="197"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(150)</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(50)</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100</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200</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300</w:t>
            </w: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80" w:hanging="431"/>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Certain of our variable rate debt investments have a LIBOR interest rate floor, which lessens the impact of decreases in interest rates.</w:t>
      </w:r>
    </w:p>
    <w:p>
      <w:pPr>
        <w:spacing w:after="0" w:line="38" w:lineRule="exact"/>
        <w:rPr>
          <w:rFonts w:ascii="Arial" w:cs="Arial" w:eastAsia="Arial" w:hAnsi="Arial"/>
          <w:sz w:val="16"/>
          <w:szCs w:val="16"/>
          <w:color w:val="auto"/>
        </w:rPr>
      </w:pPr>
    </w:p>
    <w:p>
      <w:pPr>
        <w:ind w:left="680" w:hanging="43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income calculated assuming three-month LIBOR rate as of June 30, 2021.</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3" w:lineRule="exact"/>
        <w:rPr>
          <w:rFonts w:ascii="Arial" w:cs="Arial" w:eastAsia="Arial" w:hAnsi="Arial"/>
          <w:sz w:val="18"/>
          <w:szCs w:val="18"/>
          <w:color w:val="auto"/>
        </w:rPr>
      </w:pPr>
    </w:p>
    <w:p>
      <w:pPr>
        <w:ind w:left="680" w:hanging="43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June 30, 2021, we did not have any borrowings outstanding under our Credit Facility.</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4. Controls and Procedures.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09" w:lineRule="exact"/>
        <w:rPr>
          <w:sz w:val="20"/>
          <w:szCs w:val="20"/>
          <w:color w:val="auto"/>
        </w:rPr>
      </w:pPr>
    </w:p>
    <w:p>
      <w:pPr>
        <w:ind w:left="240" w:right="20" w:firstLine="430"/>
        <w:spacing w:after="0" w:line="279"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Exchange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9" w:lineRule="exact"/>
        <w:rPr>
          <w:sz w:val="20"/>
          <w:szCs w:val="20"/>
          <w:color w:val="auto"/>
        </w:rPr>
      </w:pPr>
    </w:p>
    <w:p>
      <w:pPr>
        <w:ind w:left="240" w:right="460" w:firstLine="430"/>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2021 that have materially affected, or are reasonably likely to materially affect, our internal control over financial reporting.</w:t>
      </w:r>
    </w:p>
    <w:p>
      <w:pPr>
        <w:sectPr>
          <w:pgSz w:w="11900" w:h="16838" w:orient="portrait"/>
          <w:cols w:equalWidth="0" w:num="1">
            <w:col w:w="11000"/>
          </w:cols>
          <w:pgMar w:left="320" w:top="451" w:right="579" w:bottom="1440" w:gutter="0" w:footer="0" w:header="0"/>
        </w:sectPr>
      </w:pP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00"/>
          </w:cols>
          <w:pgMar w:left="320" w:top="451" w:right="579" w:bottom="1440" w:gutter="0" w:footer="0" w:header="0"/>
          <w:type w:val="continuous"/>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 II — OTHER INFORMATION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1. Legal Proceedings.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are not, and the Investment Advisor is not, currently subject to any material legal proceedings.</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1A. Risk Factors.</w:t>
      </w:r>
    </w:p>
    <w:p>
      <w:pPr>
        <w:spacing w:after="0" w:line="115" w:lineRule="exact"/>
        <w:rPr>
          <w:sz w:val="20"/>
          <w:szCs w:val="20"/>
          <w:color w:val="auto"/>
        </w:rPr>
      </w:pPr>
    </w:p>
    <w:p>
      <w:pPr>
        <w:ind w:left="240" w:right="120" w:firstLine="430"/>
        <w:spacing w:after="0" w:line="291" w:lineRule="auto"/>
        <w:rPr>
          <w:sz w:val="20"/>
          <w:szCs w:val="20"/>
          <w:color w:val="auto"/>
        </w:rPr>
      </w:pPr>
      <w:r>
        <w:rPr>
          <w:rFonts w:ascii="Arial" w:cs="Arial" w:eastAsia="Arial" w:hAnsi="Arial"/>
          <w:sz w:val="16"/>
          <w:szCs w:val="16"/>
          <w:color w:val="auto"/>
        </w:rPr>
        <w:t>In addition to other information set forth in this report, you should carefully consider the “Risk Factors” discussed in our Form 10-K for the year ended December 31, 2020 and filed with the SEC on February 25, 2021,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Sales of Unregistered Securities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09" w:lineRule="exact"/>
        <w:rPr>
          <w:sz w:val="20"/>
          <w:szCs w:val="20"/>
          <w:color w:val="auto"/>
        </w:rPr>
      </w:pPr>
    </w:p>
    <w:p>
      <w:pPr>
        <w:ind w:left="240" w:right="20" w:firstLine="430"/>
        <w:spacing w:after="0" w:line="281"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5. Other Information.</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1.01. Entry into a Material Definitive Agreement.</w:t>
      </w:r>
    </w:p>
    <w:p>
      <w:pPr>
        <w:spacing w:after="0" w:line="215" w:lineRule="exact"/>
        <w:rPr>
          <w:sz w:val="20"/>
          <w:szCs w:val="20"/>
          <w:color w:val="auto"/>
        </w:rPr>
      </w:pPr>
    </w:p>
    <w:p>
      <w:pPr>
        <w:ind w:left="240" w:firstLine="430"/>
        <w:spacing w:after="0" w:line="248" w:lineRule="auto"/>
        <w:rPr>
          <w:sz w:val="20"/>
          <w:szCs w:val="20"/>
          <w:color w:val="auto"/>
        </w:rPr>
      </w:pPr>
      <w:r>
        <w:rPr>
          <w:rFonts w:ascii="Arial" w:cs="Arial" w:eastAsia="Arial" w:hAnsi="Arial"/>
          <w:sz w:val="18"/>
          <w:szCs w:val="18"/>
          <w:color w:val="auto"/>
        </w:rPr>
        <w:t>On August 2, 2021, the Board approved a form of indemnification agreement (the “Indemnification Agreement”), and it is expected that each of the directors, executive officers and certain other officers of the Company will enter into the Indemnification Agreement. The form of Indemnification Agreement provides for indemnification and advancements by the Company of certain expenses and costs relating to claims, suits, or proceedings, if any, arising from service to the Company or, at the Company’s request, service to other entities, as officers or directors to the maximum extent permitted by applicable law.</w:t>
      </w:r>
    </w:p>
    <w:p>
      <w:pPr>
        <w:spacing w:after="0" w:line="195" w:lineRule="exact"/>
        <w:rPr>
          <w:sz w:val="20"/>
          <w:szCs w:val="20"/>
          <w:color w:val="auto"/>
        </w:rPr>
      </w:pPr>
    </w:p>
    <w:p>
      <w:pPr>
        <w:ind w:left="240" w:right="120" w:firstLine="430"/>
        <w:spacing w:after="0" w:line="253" w:lineRule="auto"/>
        <w:rPr>
          <w:sz w:val="20"/>
          <w:szCs w:val="20"/>
          <w:color w:val="auto"/>
        </w:rPr>
      </w:pPr>
      <w:r>
        <w:rPr>
          <w:rFonts w:ascii="Arial" w:cs="Arial" w:eastAsia="Arial" w:hAnsi="Arial"/>
          <w:sz w:val="18"/>
          <w:szCs w:val="18"/>
          <w:color w:val="auto"/>
        </w:rPr>
        <w:t>The foregoing description of the Indemnification Agreement does not purport to be complete and is qualified in its entirety by the terms and conditions of the Indemnification Agreement, the form of which is included as Exhibit 10.1 to this Quarterly Report on Form 10-Q and is incorporated herein by reference.</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320" w:top="451" w:right="6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6. Exhibits.</w:t>
      </w: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4"/>
                <w:szCs w:val="14"/>
                <w:color w:val="auto"/>
              </w:rPr>
            </w:pPr>
          </w:p>
        </w:tc>
        <w:tc>
          <w:tcPr>
            <w:tcW w:w="9680" w:type="dxa"/>
            <w:vAlign w:val="bottom"/>
            <w:gridSpan w:val="18"/>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spacing w:after="0"/>
              <w:rPr>
                <w:sz w:val="23"/>
                <w:szCs w:val="23"/>
                <w:color w:val="auto"/>
              </w:rPr>
            </w:pPr>
          </w:p>
        </w:tc>
        <w:tc>
          <w:tcPr>
            <w:tcW w:w="9680" w:type="dxa"/>
            <w:vAlign w:val="bottom"/>
            <w:gridSpan w:val="18"/>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Articles of Amendment and Restatement of the Registrant (Filed as Exhibit (a)(1) to Pre-Effective Amendment No. 2 to the Registrant’s</w:t>
              </w:r>
            </w:hyperlink>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580" w:type="dxa"/>
            <w:vAlign w:val="bottom"/>
            <w:tcBorders>
              <w:top w:val="single" w:sz="8" w:color="0000EE"/>
            </w:tcBorders>
            <w:gridSpan w:val="17"/>
          </w:tcPr>
          <w:p>
            <w:pPr>
              <w:spacing w:after="0" w:line="191"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Registration Statement on Form N-2 (File No. 333-172550) filed with the U.S. Securities and Exchange Commission on April 29, 2011</w:t>
              </w:r>
            </w:hyperlink>
          </w:p>
        </w:tc>
        <w:tc>
          <w:tcPr>
            <w:tcW w:w="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540" w:type="dxa"/>
            <w:vAlign w:val="bottom"/>
            <w:tcBorders>
              <w:top w:val="single" w:sz="8" w:color="0000EE"/>
            </w:tcBorders>
            <w:gridSpan w:val="16"/>
          </w:tcPr>
          <w:p>
            <w:pPr>
              <w:spacing w:after="0" w:line="191" w:lineRule="exact"/>
              <w:rPr>
                <w:rFonts w:ascii="Arial" w:cs="Arial" w:eastAsia="Arial" w:hAnsi="Arial"/>
                <w:sz w:val="18"/>
                <w:szCs w:val="18"/>
                <w:color w:val="0000EE"/>
              </w:rPr>
            </w:pPr>
            <w:hyperlink r:id="rId89">
              <w:r>
                <w:rPr>
                  <w:rFonts w:ascii="Arial" w:cs="Arial" w:eastAsia="Arial" w:hAnsi="Arial"/>
                  <w:sz w:val="18"/>
                  <w:szCs w:val="18"/>
                  <w:color w:val="0000EE"/>
                </w:rPr>
                <w:t>and incorporated herein by reference).</w:t>
              </w:r>
            </w:hyperlink>
          </w:p>
        </w:tc>
        <w:tc>
          <w:tcPr>
            <w:tcW w:w="140" w:type="dxa"/>
            <w:vAlign w:val="bottom"/>
            <w:gridSpan w:val="2"/>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9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Bylaws of the Registrant (Filed as Exhibit (b)(1) to Pre-Effective Amendment No. 2 to the Registrant’s Registration Statement on Form</w:t>
              </w:r>
            </w:hyperlink>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40" w:type="dxa"/>
            <w:vAlign w:val="bottom"/>
            <w:tcBorders>
              <w:top w:val="single" w:sz="8" w:color="0000EE"/>
              <w:bottom w:val="single" w:sz="8" w:color="0000EE"/>
            </w:tcBorders>
            <w:gridSpan w:val="11"/>
          </w:tcPr>
          <w:p>
            <w:pPr>
              <w:spacing w:after="0" w:line="191"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N-2 (File No. 333-172550) filed with the U.S. Securities and Exchange Commission on April 29, 2011 and incorporated herein by</w:t>
              </w:r>
            </w:hyperlink>
          </w:p>
        </w:tc>
        <w:tc>
          <w:tcPr>
            <w:tcW w:w="360" w:type="dxa"/>
            <w:vAlign w:val="bottom"/>
            <w:tcBorders>
              <w:top w:val="single" w:sz="8" w:color="0000EE"/>
            </w:tcBorders>
            <w:gridSpan w:val="4"/>
          </w:tcPr>
          <w:p>
            <w:pPr>
              <w:spacing w:after="0"/>
              <w:rPr>
                <w:sz w:val="16"/>
                <w:szCs w:val="16"/>
                <w:color w:val="auto"/>
              </w:rPr>
            </w:pPr>
          </w:p>
        </w:tc>
        <w:tc>
          <w:tcPr>
            <w:tcW w:w="180" w:type="dxa"/>
            <w:vAlign w:val="bottom"/>
            <w:gridSpan w:val="3"/>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Borders>
              <w:bottom w:val="single" w:sz="8" w:color="0000EE"/>
            </w:tcBorders>
            <w:gridSpan w:val="2"/>
          </w:tcPr>
          <w:p>
            <w:pPr>
              <w:spacing w:after="0" w:line="191" w:lineRule="exact"/>
              <w:rPr>
                <w:rFonts w:ascii="Arial" w:cs="Arial" w:eastAsia="Arial" w:hAnsi="Arial"/>
                <w:sz w:val="18"/>
                <w:szCs w:val="18"/>
                <w:color w:val="0000EE"/>
                <w:w w:val="82"/>
              </w:rPr>
            </w:pPr>
            <w:hyperlink r:id="rId90">
              <w:r>
                <w:rPr>
                  <w:rFonts w:ascii="Arial" w:cs="Arial" w:eastAsia="Arial" w:hAnsi="Arial"/>
                  <w:sz w:val="18"/>
                  <w:szCs w:val="18"/>
                  <w:color w:val="0000EE"/>
                  <w:w w:val="82"/>
                </w:rPr>
                <w:t>reference).</w:t>
              </w:r>
            </w:hyperlink>
          </w:p>
        </w:tc>
        <w:tc>
          <w:tcPr>
            <w:tcW w:w="8940" w:type="dxa"/>
            <w:vAlign w:val="bottom"/>
            <w:gridSpan w:val="16"/>
          </w:tcPr>
          <w:p>
            <w:pPr>
              <w:spacing w:after="0"/>
              <w:rPr>
                <w:sz w:val="16"/>
                <w:szCs w:val="16"/>
                <w:color w:val="auto"/>
              </w:rPr>
            </w:pPr>
          </w:p>
        </w:tc>
      </w:tr>
      <w:tr>
        <w:trPr>
          <w:trHeight w:val="29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Form of Stock Certificate of the Registrant (Filed as Exhibit (d) to Pre-Effective Amendment No. 2 to the Registrant’s Registration</w:t>
              </w:r>
            </w:hyperlink>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940" w:type="dxa"/>
            <w:vAlign w:val="bottom"/>
            <w:tcBorders>
              <w:top w:val="single" w:sz="8" w:color="0000EE"/>
              <w:bottom w:val="single" w:sz="8" w:color="0000EE"/>
            </w:tcBorders>
            <w:gridSpan w:val="10"/>
          </w:tcPr>
          <w:p>
            <w:pPr>
              <w:spacing w:after="0" w:line="191"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Statement on Form N-2 (File No. 333-172550) filed with the U.S. Securities and Exchange Commission on April 29, 2011 and</w:t>
              </w:r>
            </w:hyperlink>
          </w:p>
        </w:tc>
        <w:tc>
          <w:tcPr>
            <w:tcW w:w="280" w:type="dxa"/>
            <w:vAlign w:val="bottom"/>
            <w:tcBorders>
              <w:top w:val="single" w:sz="8" w:color="0000EE"/>
            </w:tcBorders>
            <w:gridSpan w:val="2"/>
          </w:tcPr>
          <w:p>
            <w:pPr>
              <w:spacing w:after="0"/>
              <w:rPr>
                <w:sz w:val="16"/>
                <w:szCs w:val="16"/>
                <w:color w:val="auto"/>
              </w:rPr>
            </w:pPr>
          </w:p>
        </w:tc>
        <w:tc>
          <w:tcPr>
            <w:tcW w:w="460" w:type="dxa"/>
            <w:vAlign w:val="bottom"/>
            <w:gridSpan w:val="6"/>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80" w:type="dxa"/>
            <w:vAlign w:val="bottom"/>
            <w:tcBorders>
              <w:bottom w:val="single" w:sz="8" w:color="0000EE"/>
            </w:tcBorders>
            <w:gridSpan w:val="5"/>
          </w:tcPr>
          <w:p>
            <w:pPr>
              <w:spacing w:after="0" w:line="191" w:lineRule="exact"/>
              <w:rPr>
                <w:rFonts w:ascii="Arial" w:cs="Arial" w:eastAsia="Arial" w:hAnsi="Arial"/>
                <w:sz w:val="18"/>
                <w:szCs w:val="18"/>
                <w:color w:val="0000EE"/>
                <w:w w:val="87"/>
              </w:rPr>
            </w:pPr>
            <w:hyperlink r:id="rId91">
              <w:r>
                <w:rPr>
                  <w:rFonts w:ascii="Arial" w:cs="Arial" w:eastAsia="Arial" w:hAnsi="Arial"/>
                  <w:sz w:val="18"/>
                  <w:szCs w:val="18"/>
                  <w:color w:val="0000EE"/>
                  <w:w w:val="87"/>
                </w:rPr>
                <w:t>incorporated herein by reference).</w:t>
              </w:r>
            </w:hyperlink>
          </w:p>
        </w:tc>
        <w:tc>
          <w:tcPr>
            <w:tcW w:w="7300" w:type="dxa"/>
            <w:vAlign w:val="bottom"/>
            <w:gridSpan w:val="13"/>
          </w:tcPr>
          <w:p>
            <w:pPr>
              <w:spacing w:after="0"/>
              <w:rPr>
                <w:sz w:val="16"/>
                <w:szCs w:val="16"/>
                <w:color w:val="auto"/>
              </w:rPr>
            </w:pPr>
          </w:p>
        </w:tc>
      </w:tr>
      <w:tr>
        <w:trPr>
          <w:trHeight w:val="29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5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Form of Indemnification Agreement between Fidus Investment Corporation and each officer and director of Fidus Investment</w:t>
              </w:r>
            </w:hyperlink>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20" w:type="dxa"/>
            <w:vAlign w:val="bottom"/>
            <w:tcBorders>
              <w:top w:val="single" w:sz="8" w:color="0000EE"/>
            </w:tcBorders>
            <w:gridSpan w:val="9"/>
          </w:tcPr>
          <w:p>
            <w:pPr>
              <w:spacing w:after="0" w:line="191" w:lineRule="exact"/>
              <w:rPr>
                <w:rFonts w:ascii="Arial" w:cs="Arial" w:eastAsia="Arial" w:hAnsi="Arial"/>
                <w:sz w:val="18"/>
                <w:szCs w:val="18"/>
                <w:color w:val="0000EE"/>
              </w:rPr>
            </w:pPr>
            <w:hyperlink w:anchor="page69">
              <w:r>
                <w:rPr>
                  <w:rFonts w:ascii="Arial" w:cs="Arial" w:eastAsia="Arial" w:hAnsi="Arial"/>
                  <w:sz w:val="18"/>
                  <w:szCs w:val="18"/>
                  <w:color w:val="0000EE"/>
                </w:rPr>
                <w:t>Corporation.*</w:t>
              </w:r>
            </w:hyperlink>
          </w:p>
        </w:tc>
        <w:tc>
          <w:tcPr>
            <w:tcW w:w="860" w:type="dxa"/>
            <w:vAlign w:val="bottom"/>
            <w:gridSpan w:val="9"/>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9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8">
              <w:r>
                <w:rPr>
                  <w:rFonts w:ascii="Arial" w:cs="Arial" w:eastAsia="Arial" w:hAnsi="Arial"/>
                  <w:sz w:val="18"/>
                  <w:szCs w:val="18"/>
                  <w:color w:val="0000EE"/>
                  <w:w w:val="88"/>
                </w:rPr>
                <w:t>Chief Executive Officer Certification Pursuant to Rule 13a-14 of the Securities Exchange Act of 1934, as adopted pursuant to Section</w:t>
              </w:r>
            </w:hyperlink>
          </w:p>
        </w:tc>
        <w:tc>
          <w:tcPr>
            <w:tcW w:w="260" w:type="dxa"/>
            <w:vAlign w:val="bottom"/>
            <w:gridSpan w:val="5"/>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80" w:type="dxa"/>
            <w:vAlign w:val="bottom"/>
            <w:tcBorders>
              <w:bottom w:val="single" w:sz="8" w:color="0000EE"/>
            </w:tcBorders>
            <w:gridSpan w:val="8"/>
          </w:tcPr>
          <w:p>
            <w:pPr>
              <w:spacing w:after="0" w:line="191" w:lineRule="exact"/>
              <w:rPr>
                <w:rFonts w:ascii="Arial" w:cs="Arial" w:eastAsia="Arial" w:hAnsi="Arial"/>
                <w:sz w:val="18"/>
                <w:szCs w:val="18"/>
                <w:color w:val="0000EE"/>
                <w:w w:val="88"/>
              </w:rPr>
            </w:pPr>
            <w:hyperlink w:anchor="page88">
              <w:r>
                <w:rPr>
                  <w:rFonts w:ascii="Arial" w:cs="Arial" w:eastAsia="Arial" w:hAnsi="Arial"/>
                  <w:sz w:val="18"/>
                  <w:szCs w:val="18"/>
                  <w:color w:val="0000EE"/>
                  <w:w w:val="88"/>
                </w:rPr>
                <w:t>302 of the Sarbanes-Oxley Act of 2002.*</w:t>
              </w:r>
            </w:hyperlink>
          </w:p>
        </w:tc>
        <w:tc>
          <w:tcPr>
            <w:tcW w:w="6800" w:type="dxa"/>
            <w:vAlign w:val="bottom"/>
            <w:gridSpan w:val="10"/>
          </w:tcPr>
          <w:p>
            <w:pPr>
              <w:spacing w:after="0"/>
              <w:rPr>
                <w:sz w:val="16"/>
                <w:szCs w:val="16"/>
                <w:color w:val="auto"/>
              </w:rPr>
            </w:pPr>
          </w:p>
        </w:tc>
      </w:tr>
      <w:tr>
        <w:trPr>
          <w:trHeight w:val="29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2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Chief Financial Officer Certification Pursuant to Rule 13a-14 of the Securities Exchange Act of 1934, as adopted pursuant to Section 302</w:t>
              </w:r>
            </w:hyperlink>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80" w:type="dxa"/>
            <w:vAlign w:val="bottom"/>
            <w:gridSpan w:val="18"/>
          </w:tcPr>
          <w:p>
            <w:pPr>
              <w:spacing w:after="0" w:line="191" w:lineRule="exact"/>
              <w:rPr>
                <w:rFonts w:ascii="Arial" w:cs="Arial" w:eastAsia="Arial" w:hAnsi="Arial"/>
                <w:sz w:val="18"/>
                <w:szCs w:val="18"/>
                <w:color w:val="0000EE"/>
              </w:rPr>
            </w:pPr>
            <w:hyperlink w:anchor="page89">
              <w:r>
                <w:rPr>
                  <w:rFonts w:ascii="Arial" w:cs="Arial" w:eastAsia="Arial" w:hAnsi="Arial"/>
                  <w:sz w:val="18"/>
                  <w:szCs w:val="18"/>
                  <w:color w:val="0000EE"/>
                </w:rPr>
                <w:t>of the Sarbanes-Oxley Act of 2002.*</w:t>
              </w:r>
            </w:hyperlink>
          </w:p>
        </w:tc>
      </w:tr>
      <w:tr>
        <w:trPr>
          <w:trHeight w:val="20"/>
        </w:trPr>
        <w:tc>
          <w:tcPr>
            <w:tcW w:w="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9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20" w:type="dxa"/>
            <w:vAlign w:val="bottom"/>
          </w:tcPr>
          <w:p>
            <w:pPr>
              <w:spacing w:after="0"/>
              <w:rPr>
                <w:sz w:val="24"/>
                <w:szCs w:val="24"/>
                <w:color w:val="auto"/>
              </w:rPr>
            </w:pPr>
          </w:p>
        </w:tc>
        <w:tc>
          <w:tcPr>
            <w:tcW w:w="94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90">
              <w:r>
                <w:rPr>
                  <w:rFonts w:ascii="Arial" w:cs="Arial" w:eastAsia="Arial" w:hAnsi="Arial"/>
                  <w:sz w:val="18"/>
                  <w:szCs w:val="18"/>
                  <w:color w:val="0000EE"/>
                  <w:w w:val="87"/>
                </w:rPr>
                <w:t>Certification pursuant to Section 1350, Chapter 63 of Title 18, United States Code, as adopted pursuant to Section 906 of the Sarbanes-</w:t>
              </w:r>
            </w:hyperlink>
          </w:p>
        </w:tc>
        <w:tc>
          <w:tcPr>
            <w:tcW w:w="200" w:type="dxa"/>
            <w:vAlign w:val="bottom"/>
            <w:gridSpan w:val="4"/>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80" w:type="dxa"/>
            <w:vAlign w:val="bottom"/>
            <w:gridSpan w:val="18"/>
          </w:tcPr>
          <w:p>
            <w:pPr>
              <w:spacing w:after="0" w:line="191" w:lineRule="exact"/>
              <w:rPr>
                <w:rFonts w:ascii="Arial" w:cs="Arial" w:eastAsia="Arial" w:hAnsi="Arial"/>
                <w:sz w:val="18"/>
                <w:szCs w:val="18"/>
                <w:color w:val="0000EE"/>
              </w:rPr>
            </w:pPr>
            <w:hyperlink w:anchor="page90">
              <w:r>
                <w:rPr>
                  <w:rFonts w:ascii="Arial" w:cs="Arial" w:eastAsia="Arial" w:hAnsi="Arial"/>
                  <w:sz w:val="18"/>
                  <w:szCs w:val="18"/>
                  <w:color w:val="0000EE"/>
                </w:rPr>
                <w:t>Oxley Act of 2002.*</w:t>
              </w:r>
            </w:hyperlink>
          </w:p>
        </w:tc>
      </w:tr>
      <w:tr>
        <w:trPr>
          <w:trHeight w:val="20"/>
        </w:trPr>
        <w:tc>
          <w:tcPr>
            <w:tcW w:w="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ind w:left="680" w:hanging="43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320" w:top="451" w:right="61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left="240" w:right="7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3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Arial" w:cs="Arial" w:eastAsia="Arial" w:hAnsi="Arial"/>
                <w:sz w:val="18"/>
                <w:szCs w:val="18"/>
                <w:b w:val="1"/>
                <w:bCs w:val="1"/>
                <w:color w:val="auto"/>
              </w:rPr>
              <w:t>FIDUS INVESTMENT CORPORATION</w:t>
            </w:r>
          </w:p>
        </w:tc>
      </w:tr>
      <w:tr>
        <w:trPr>
          <w:trHeight w:val="422"/>
        </w:trPr>
        <w:tc>
          <w:tcPr>
            <w:tcW w:w="3400" w:type="dxa"/>
            <w:vAlign w:val="bottom"/>
          </w:tcPr>
          <w:p>
            <w:pPr>
              <w:spacing w:after="0"/>
              <w:rPr>
                <w:sz w:val="20"/>
                <w:szCs w:val="20"/>
                <w:color w:val="auto"/>
              </w:rPr>
            </w:pPr>
            <w:r>
              <w:rPr>
                <w:rFonts w:ascii="Arial" w:cs="Arial" w:eastAsia="Arial" w:hAnsi="Arial"/>
                <w:sz w:val="18"/>
                <w:szCs w:val="18"/>
                <w:color w:val="auto"/>
              </w:rPr>
              <w:t>Date: August 5, 2021</w:t>
            </w:r>
          </w:p>
        </w:tc>
        <w:tc>
          <w:tcPr>
            <w:tcW w:w="2000" w:type="dxa"/>
            <w:vAlign w:val="bottom"/>
          </w:tcPr>
          <w:p>
            <w:pPr>
              <w:spacing w:after="0"/>
              <w:rPr>
                <w:sz w:val="24"/>
                <w:szCs w:val="24"/>
                <w:color w:val="auto"/>
              </w:rPr>
            </w:pP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EDWARD H. ROSS</w:t>
            </w:r>
          </w:p>
        </w:tc>
      </w:tr>
      <w:tr>
        <w:trPr>
          <w:trHeight w:val="192"/>
        </w:trPr>
        <w:tc>
          <w:tcPr>
            <w:tcW w:w="3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100"/>
              <w:spacing w:after="0" w:line="192" w:lineRule="exact"/>
              <w:rPr>
                <w:sz w:val="20"/>
                <w:szCs w:val="20"/>
                <w:color w:val="auto"/>
              </w:rPr>
            </w:pPr>
            <w:r>
              <w:rPr>
                <w:rFonts w:ascii="Arial" w:cs="Arial" w:eastAsia="Arial" w:hAnsi="Arial"/>
                <w:sz w:val="18"/>
                <w:szCs w:val="18"/>
                <w:color w:val="auto"/>
              </w:rPr>
              <w:t>Edward H. Ross</w:t>
            </w:r>
          </w:p>
        </w:tc>
      </w:tr>
      <w:tr>
        <w:trPr>
          <w:trHeight w:val="211"/>
        </w:trPr>
        <w:tc>
          <w:tcPr>
            <w:tcW w:w="3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3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22"/>
        </w:trPr>
        <w:tc>
          <w:tcPr>
            <w:tcW w:w="3400" w:type="dxa"/>
            <w:vAlign w:val="bottom"/>
          </w:tcPr>
          <w:p>
            <w:pPr>
              <w:spacing w:after="0"/>
              <w:rPr>
                <w:sz w:val="20"/>
                <w:szCs w:val="20"/>
                <w:color w:val="auto"/>
              </w:rPr>
            </w:pPr>
            <w:r>
              <w:rPr>
                <w:rFonts w:ascii="Arial" w:cs="Arial" w:eastAsia="Arial" w:hAnsi="Arial"/>
                <w:sz w:val="18"/>
                <w:szCs w:val="18"/>
                <w:color w:val="auto"/>
              </w:rPr>
              <w:t>Date: August 5, 2021</w:t>
            </w:r>
          </w:p>
        </w:tc>
        <w:tc>
          <w:tcPr>
            <w:tcW w:w="2000" w:type="dxa"/>
            <w:vAlign w:val="bottom"/>
          </w:tcPr>
          <w:p>
            <w:pPr>
              <w:spacing w:after="0"/>
              <w:rPr>
                <w:sz w:val="24"/>
                <w:szCs w:val="24"/>
                <w:color w:val="auto"/>
              </w:rPr>
            </w:pP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SHELBY E. SHERARD</w:t>
            </w:r>
          </w:p>
        </w:tc>
      </w:tr>
      <w:tr>
        <w:trPr>
          <w:trHeight w:val="192"/>
        </w:trPr>
        <w:tc>
          <w:tcPr>
            <w:tcW w:w="3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100"/>
              <w:spacing w:after="0" w:line="192" w:lineRule="exact"/>
              <w:rPr>
                <w:sz w:val="20"/>
                <w:szCs w:val="20"/>
                <w:color w:val="auto"/>
              </w:rPr>
            </w:pPr>
            <w:r>
              <w:rPr>
                <w:rFonts w:ascii="Arial" w:cs="Arial" w:eastAsia="Arial" w:hAnsi="Arial"/>
                <w:sz w:val="18"/>
                <w:szCs w:val="18"/>
                <w:color w:val="auto"/>
              </w:rPr>
              <w:t>Shelby E. Sherard</w:t>
            </w:r>
          </w:p>
        </w:tc>
      </w:tr>
      <w:tr>
        <w:trPr>
          <w:trHeight w:val="211"/>
        </w:trPr>
        <w:tc>
          <w:tcPr>
            <w:tcW w:w="3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69"/>
        </w:trPr>
        <w:tc>
          <w:tcPr>
            <w:tcW w:w="3400" w:type="dxa"/>
            <w:vAlign w:val="bottom"/>
          </w:tcPr>
          <w:p>
            <w:pPr>
              <w:spacing w:after="0"/>
              <w:rPr>
                <w:sz w:val="24"/>
                <w:szCs w:val="24"/>
                <w:color w:val="auto"/>
              </w:rPr>
            </w:pPr>
          </w:p>
        </w:tc>
        <w:tc>
          <w:tcPr>
            <w:tcW w:w="7360" w:type="dxa"/>
            <w:vAlign w:val="bottom"/>
            <w:gridSpan w:val="2"/>
          </w:tcPr>
          <w:p>
            <w:pPr>
              <w:jc w:val="right"/>
              <w:ind w:right="5192"/>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000"/>
          </w:cols>
          <w:pgMar w:left="320" w:top="451" w:right="5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1" w:lineRule="exact"/>
        <w:rPr>
          <w:sz w:val="20"/>
          <w:szCs w:val="20"/>
          <w:color w:val="auto"/>
        </w:rPr>
      </w:pPr>
    </w:p>
    <w:p>
      <w:pPr>
        <w:ind w:right="60" w:firstLine="967"/>
        <w:spacing w:after="0" w:line="282" w:lineRule="auto"/>
        <w:rPr>
          <w:sz w:val="20"/>
          <w:szCs w:val="20"/>
          <w:color w:val="auto"/>
        </w:rPr>
      </w:pPr>
      <w:r>
        <w:rPr>
          <w:rFonts w:ascii="Arial" w:cs="Arial" w:eastAsia="Arial" w:hAnsi="Arial"/>
          <w:sz w:val="16"/>
          <w:szCs w:val="16"/>
          <w:color w:val="auto"/>
        </w:rPr>
        <w:t>THIS INDEMNIFICATION AGREEMENT (this “Agreement”) is made and entered into as of August __, 2021 (the “Effective Date”), by and between Fidus Investment Corporation, a Maryland corporation (the “Company”), and ______________ (“Indemnitee”). For the avoidance of</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doubt, in addition to memorializing the terms of the Indemnitee’s indemnification rights, this Agreement is also intended to be retroactive, such that it will cover the entire period that the Indemnitee has served as a director of the Company.</w:t>
      </w:r>
    </w:p>
    <w:p>
      <w:pPr>
        <w:spacing w:after="0" w:line="193" w:lineRule="exact"/>
        <w:rPr>
          <w:sz w:val="20"/>
          <w:szCs w:val="20"/>
          <w:color w:val="auto"/>
        </w:rPr>
      </w:pPr>
    </w:p>
    <w:p>
      <w:pPr>
        <w:ind w:right="140" w:firstLine="967"/>
        <w:spacing w:after="0" w:line="262" w:lineRule="auto"/>
        <w:rPr>
          <w:sz w:val="20"/>
          <w:szCs w:val="20"/>
          <w:color w:val="auto"/>
        </w:rPr>
      </w:pPr>
      <w:r>
        <w:rPr>
          <w:rFonts w:ascii="Arial" w:cs="Arial" w:eastAsia="Arial" w:hAnsi="Arial"/>
          <w:sz w:val="18"/>
          <w:szCs w:val="18"/>
          <w:color w:val="auto"/>
        </w:rPr>
        <w:t>WHEREAS, at the request of the Company, Indemnitee currently serves as a director of the Company and may, therefore, be subjected to claims, suits or proceedings arising as a result of his service as a director of the Company;</w:t>
      </w:r>
    </w:p>
    <w:p>
      <w:pPr>
        <w:spacing w:after="0" w:line="180" w:lineRule="exact"/>
        <w:rPr>
          <w:sz w:val="20"/>
          <w:szCs w:val="20"/>
          <w:color w:val="auto"/>
        </w:rPr>
      </w:pPr>
    </w:p>
    <w:p>
      <w:pPr>
        <w:ind w:right="60" w:firstLine="967"/>
        <w:spacing w:after="0" w:line="362" w:lineRule="auto"/>
        <w:rPr>
          <w:sz w:val="20"/>
          <w:szCs w:val="20"/>
          <w:color w:val="auto"/>
        </w:rPr>
      </w:pPr>
      <w:r>
        <w:rPr>
          <w:rFonts w:ascii="Arial" w:cs="Arial" w:eastAsia="Arial" w:hAnsi="Arial"/>
          <w:sz w:val="15"/>
          <w:szCs w:val="15"/>
          <w:color w:val="auto"/>
        </w:rPr>
        <w:t>WHEREAS, as an inducement to Indemnitee to continue to serve as a director of the Company, the Company has agreed to indemnify and to advance expenses and costs incurred by Indemnitee in connection with any claims, suits or proceedings, to the maximum extent permitted by law;</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WHEREAS, the parties by this Agreement desire to set forth their agreement regarding indemnification and advancement of expenses; and</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Indemnitee is relying upon the rights afforded under this Agreement in continuing to serve as a director of the Company.</w:t>
      </w:r>
    </w:p>
    <w:p>
      <w:pPr>
        <w:spacing w:after="0" w:line="238" w:lineRule="exact"/>
        <w:rPr>
          <w:sz w:val="20"/>
          <w:szCs w:val="20"/>
          <w:color w:val="auto"/>
        </w:rPr>
      </w:pPr>
    </w:p>
    <w:p>
      <w:pPr>
        <w:ind w:right="540" w:firstLine="967"/>
        <w:spacing w:after="0" w:line="262"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88" w:lineRule="exact"/>
        <w:rPr>
          <w:sz w:val="20"/>
          <w:szCs w:val="20"/>
          <w:color w:val="auto"/>
        </w:rPr>
      </w:pPr>
    </w:p>
    <w:p>
      <w:pPr>
        <w:ind w:left="960" w:hanging="529"/>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22" w:lineRule="exact"/>
        <w:rPr>
          <w:rFonts w:ascii="Arial" w:cs="Arial" w:eastAsia="Arial" w:hAnsi="Arial"/>
          <w:sz w:val="18"/>
          <w:szCs w:val="18"/>
          <w:color w:val="auto"/>
        </w:rPr>
      </w:pPr>
    </w:p>
    <w:p>
      <w:pPr>
        <w:ind w:left="1940" w:hanging="534"/>
        <w:spacing w:after="0"/>
        <w:tabs>
          <w:tab w:leader="none" w:pos="19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“Adjudged” shall mean adjudged finally by a court or arbitral or other authority of competent jurisdiction.</w:t>
      </w:r>
    </w:p>
    <w:p>
      <w:pPr>
        <w:spacing w:after="0" w:line="122" w:lineRule="exact"/>
        <w:rPr>
          <w:rFonts w:ascii="Arial" w:cs="Arial" w:eastAsia="Arial" w:hAnsi="Arial"/>
          <w:sz w:val="18"/>
          <w:szCs w:val="18"/>
          <w:color w:val="auto"/>
        </w:rPr>
      </w:pPr>
    </w:p>
    <w:p>
      <w:pPr>
        <w:ind w:left="1940" w:hanging="534"/>
        <w:spacing w:after="0" w:line="280" w:lineRule="auto"/>
        <w:tabs>
          <w:tab w:leader="none" w:pos="19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“Change in Control” means a change in control of the Company occurring after the Effective Date of a nature that would be required to be reported in response to Item 6(e) of Schedule 14A of Regulation 14A (or in response to any similar item on any similar schedule or form) promulgated under the Securities Exchange Act of 1934, as amended (the “Exchange Act”), whether or not the Company is then subject to such reporting requirement; provided, however, that, without limitation, such a Change in Control shall be deemed to have occurred if, after the Effective Date (i) any “person” (as such term is used in Sections 13(d) and 14(d) of the Exchange Act) is or becomes the “beneficial owner” (as defined in Rule 13d-3 under the Exchange Act), directly or indirectly, of securities of the Company representing 50% or more of the combined voting power of all of the Company’s then-outstanding securities entitled to vote generally in the election of directors without the prior approval of at least two-thirds of the members of the Board of Directors in office immediately prior to such person’s attaining such percentage interest;</w:t>
      </w:r>
    </w:p>
    <w:p>
      <w:pPr>
        <w:sectPr>
          <w:pgSz w:w="11900" w:h="16838" w:orient="portrait"/>
          <w:cols w:equalWidth="0" w:num="1">
            <w:col w:w="10760"/>
          </w:cols>
          <w:pgMar w:left="560" w:top="121" w:right="579" w:bottom="1440" w:gutter="0" w:footer="0" w:header="0"/>
        </w:sectPr>
      </w:pPr>
    </w:p>
    <w:bookmarkStart w:id="69" w:name="page70"/>
    <w:bookmarkEnd w:id="69"/>
    <w:p>
      <w:pPr>
        <w:ind w:left="1060" w:right="4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(ii) the Company is a party to a merger, consolidation, sale of assets, plan of liquidation or other reorganization not approved by at least two-thirds of the members of the Board of Directors then in office, as a consequence of which members of the Board of Directors in office immediately prior to such transaction or event constitute less than a majority of the Board of Directors thereafter; (iii) at any time, a majority of the members of the Board of Directors are not comprised of</w:t>
      </w:r>
    </w:p>
    <w:p>
      <w:pPr>
        <w:spacing w:after="0" w:line="2" w:lineRule="exact"/>
        <w:rPr>
          <w:sz w:val="20"/>
          <w:szCs w:val="20"/>
          <w:color w:val="auto"/>
        </w:rPr>
      </w:pPr>
    </w:p>
    <w:p>
      <w:pPr>
        <w:ind w:left="1060" w:right="120"/>
        <w:spacing w:after="0" w:line="245" w:lineRule="auto"/>
        <w:rPr>
          <w:sz w:val="20"/>
          <w:szCs w:val="20"/>
          <w:color w:val="auto"/>
        </w:rPr>
      </w:pPr>
      <w:r>
        <w:rPr>
          <w:rFonts w:ascii="Arial" w:cs="Arial" w:eastAsia="Arial" w:hAnsi="Arial"/>
          <w:sz w:val="18"/>
          <w:szCs w:val="18"/>
          <w:color w:val="auto"/>
        </w:rPr>
        <w:t>(A) individuals who were directors as of the Effective Date and/or (B) individuals whose election by the Board of Directors or nomination for election by the Company’s stockholders was approved by the affirmative vote of at least two-thirds of the directors then in office who were directors as of the Effective Date or whose election or nomination for election was previously so approved; or (iv) the Company retains or engages an external investment adviser to manage its assets and business.</w:t>
      </w:r>
    </w:p>
    <w:p>
      <w:pPr>
        <w:spacing w:after="0" w:line="104" w:lineRule="exact"/>
        <w:rPr>
          <w:sz w:val="20"/>
          <w:szCs w:val="20"/>
          <w:color w:val="auto"/>
        </w:rPr>
      </w:pPr>
    </w:p>
    <w:p>
      <w:pPr>
        <w:ind w:left="1060" w:hanging="534"/>
        <w:spacing w:after="0" w:line="300" w:lineRule="auto"/>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“Corporate Status” means the status of a person as a present or former director, officer, employee or agent of the Company or as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As a clarification and without limiting the circumstances in which Indemnitee may be serving at the request of the Company, service by Indemnitee shall be deemed to be at the request of the Company: (i) if Indemnitee serves or served as a director, trustee, officer, partner, manager, managing member, fiduciary, employee or agent of any foreign or domestic corporation, partnership, limited liability company, joint venture, trust, employee benefit plan or other enterprise (A) of which a majority of the voting power or equity interest is or was owned directly or indirectly by the Company, or (B) the management of which is controlled directly or indirectly by the Company; or (ii) if, as a result of Indemnitee’s service to the Company, Indemnitee is subject to duties by, or required to perform services for, an employee benefit plan or its participants or beneficiaries, including as a deemed fiduciary thereof.</w:t>
      </w:r>
    </w:p>
    <w:p>
      <w:pPr>
        <w:spacing w:after="0" w:line="65" w:lineRule="exact"/>
        <w:rPr>
          <w:rFonts w:ascii="Arial" w:cs="Arial" w:eastAsia="Arial" w:hAnsi="Arial"/>
          <w:sz w:val="15"/>
          <w:szCs w:val="15"/>
          <w:color w:val="auto"/>
        </w:rPr>
      </w:pPr>
    </w:p>
    <w:p>
      <w:pPr>
        <w:ind w:left="1060" w:right="340" w:hanging="534"/>
        <w:spacing w:after="0" w:line="262"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and/or advancement of Expenses is sought by Indemnitee.</w:t>
      </w:r>
    </w:p>
    <w:p>
      <w:pPr>
        <w:spacing w:after="0" w:line="88" w:lineRule="exact"/>
        <w:rPr>
          <w:rFonts w:ascii="Arial" w:cs="Arial" w:eastAsia="Arial" w:hAnsi="Arial"/>
          <w:sz w:val="18"/>
          <w:szCs w:val="18"/>
          <w:color w:val="auto"/>
        </w:rPr>
      </w:pPr>
    </w:p>
    <w:p>
      <w:pPr>
        <w:ind w:left="1060" w:hanging="53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 Date” has the meaning set forth in the first paragraph of this Agreement.</w:t>
      </w:r>
    </w:p>
    <w:p>
      <w:pPr>
        <w:spacing w:after="0" w:line="122" w:lineRule="exact"/>
        <w:rPr>
          <w:rFonts w:ascii="Arial" w:cs="Arial" w:eastAsia="Arial" w:hAnsi="Arial"/>
          <w:sz w:val="18"/>
          <w:szCs w:val="18"/>
          <w:color w:val="auto"/>
        </w:rPr>
      </w:pPr>
    </w:p>
    <w:p>
      <w:pPr>
        <w:ind w:left="1060" w:right="80" w:hanging="534"/>
        <w:spacing w:after="0" w:line="287"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“Enterprise” shall mean (i) the Company and (ii) any other corporation, partnership, limited liability company, joint venture, trust, employee benefit plan or other enterprise which is an affiliate or wholly or partially owned subsidiary of the Company and of which the Indemnitee is or was serving as a director, trustee, general partner, managing member, officer, employee, agent or fiduciary; and (iii) any other corporation, partnership, limited liability company, joint venture, trust, employee benefit plan or other enterprise of which Indemnitee is or was serving at the request of the Company.</w:t>
      </w:r>
    </w:p>
    <w:p>
      <w:pPr>
        <w:spacing w:after="0" w:line="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60"/>
          </w:cols>
          <w:pgMar w:left="1440" w:top="272" w:right="599" w:bottom="1440" w:gutter="0" w:footer="0" w:header="0"/>
        </w:sectPr>
      </w:pPr>
    </w:p>
    <w:bookmarkStart w:id="70" w:name="page71"/>
    <w:bookmarkEnd w:id="70"/>
    <w:p>
      <w:pPr>
        <w:ind w:left="1060" w:hanging="53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“ERISA” means the Employee Retirement Income Security Act of 1974, as amended.</w:t>
      </w:r>
    </w:p>
    <w:p>
      <w:pPr>
        <w:spacing w:after="0" w:line="122" w:lineRule="exact"/>
        <w:rPr>
          <w:rFonts w:ascii="Arial" w:cs="Arial" w:eastAsia="Arial" w:hAnsi="Arial"/>
          <w:sz w:val="18"/>
          <w:szCs w:val="18"/>
          <w:color w:val="auto"/>
        </w:rPr>
      </w:pPr>
    </w:p>
    <w:p>
      <w:pPr>
        <w:ind w:left="1060" w:right="60" w:hanging="534"/>
        <w:spacing w:after="0" w:line="279"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“Expenses” means any and all disbursements or expenses incurred by Indemnitee in connection with prosecuting, defending, preparing to prosecute or defend, investigating, being or preparing to be a witness in or otherwise participating in a Proceeding, including, without limitation, reasonable and out-of-pocket attorneys’ fees and costs, retainers, court costs, arbitration and mediation costs, transcript costs, fees of experts, witness fees, travel expenses, duplicating costs, printing and binding costs, telephone charges, postage, delivery service fees, federal, state, local or foreign taxes imposed on Indemnitee as a result of the actual or deemed receipt of any payments under this Agreement and any ERISA excise taxes and penalties. Expenses shall also include (i) expenses incurred in connection with any appeal resulting from any Proceeding including, without limitation, the premium for, security for and other costs relating to any cost bond, supersedeas bond or other appeal bond or its equivalent, (ii) expenses incurred in connection with recovery under any directors’ and officers’ liability insurance policies maintained by the Company, and (iii) expenses incurred by Indemnitee in establishing or enforcing his right to indemnification or reimbursement under this Agreement.</w:t>
      </w:r>
    </w:p>
    <w:p>
      <w:pPr>
        <w:spacing w:after="0" w:line="84" w:lineRule="exact"/>
        <w:rPr>
          <w:rFonts w:ascii="Arial" w:cs="Arial" w:eastAsia="Arial" w:hAnsi="Arial"/>
          <w:sz w:val="16"/>
          <w:szCs w:val="16"/>
          <w:color w:val="auto"/>
        </w:rPr>
      </w:pPr>
    </w:p>
    <w:p>
      <w:pPr>
        <w:ind w:left="1060" w:right="80" w:hanging="534"/>
        <w:spacing w:after="0" w:line="28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“Independent Counsel” means a law firm, or a member of a law firm, that is experienced in matters of corporation law and neither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or participant or witness in the Proceeding giving rise to a claim for indemnification or advancement of Expenses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75" w:lineRule="exact"/>
        <w:rPr>
          <w:rFonts w:ascii="Arial" w:cs="Arial" w:eastAsia="Arial" w:hAnsi="Arial"/>
          <w:sz w:val="16"/>
          <w:szCs w:val="16"/>
          <w:color w:val="auto"/>
        </w:rPr>
      </w:pPr>
    </w:p>
    <w:p>
      <w:pPr>
        <w:ind w:left="1060" w:hanging="534"/>
        <w:spacing w:after="0" w:line="281"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“Jointly Indemnifiable Claims” shall mean any Proceeding for which the Indemnitee shall be entitled to indemnification, advancement of expenses or insurance from (i) the Company and/or any Enterprise pursuant to this Agreement, the charter or bylaws or other governing documents of the Company or any Enterprise, any agreement or a resolution of the stockholders of the Company entitled to vote generally in the election of directors or of the Board of Directors, or otherwise, on the one hand, and (ii) any Third-Party Indemnitor pursuant to any agreement between any Third-Party Indemnitor and the Indemnitee pursuant to which the Indemnitee is indemnified, the laws of the jurisdiction of incorporation or organization of any Third-Party Indemnitor and/or the certificate of incorporation, certificate of organization, bylaws, partnership agreement, operating agreement, certificate of formation, certificate of limited partnership or other organizational or governing documents of any Third-Party Indemnitor, on the other hand.</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80"/>
          </w:cols>
          <w:pgMar w:left="1440" w:top="272" w:right="579" w:bottom="1440" w:gutter="0" w:footer="0" w:header="0"/>
        </w:sectPr>
      </w:pPr>
    </w:p>
    <w:bookmarkStart w:id="71" w:name="page72"/>
    <w:bookmarkEnd w:id="71"/>
    <w:p>
      <w:pPr>
        <w:ind w:left="1509" w:right="20" w:hanging="534"/>
        <w:spacing w:after="0" w:line="281" w:lineRule="auto"/>
        <w:tabs>
          <w:tab w:leader="none" w:pos="1509"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“Proceeding” means any threatened, pending or completed action, suit, arbitration, mediation, alternate dispute resolution mechanism, investigation, inquiry, administrative hearing, claim, demand or discovery request or any other actual, threatened or completed proceeding, whether brought by or in the right of the Company or otherwise and whether of a civil (including intentional or unintentional tort claims), criminal, administrative or investigative (formal or informal) nature, including any appeal therefrom. If Indemnitee reasonably believes that a given situation may lead to or culminate in the institution of a Proceeding, such situation shall also be considered a Proceeding. The term “Proceeding” shall be broadly construed and shall include, without limitation, the investigation, preparation, defense, settlement, arbitration or appeal of, and the giving of testimony in or related to, any threatened, pending or completed claim, action, suit or other proceeding, whether of a civil, criminal, administrative or investigative nature.</w:t>
      </w:r>
    </w:p>
    <w:p>
      <w:pPr>
        <w:spacing w:after="0" w:line="76" w:lineRule="exact"/>
        <w:rPr>
          <w:rFonts w:ascii="Arial" w:cs="Arial" w:eastAsia="Arial" w:hAnsi="Arial"/>
          <w:sz w:val="16"/>
          <w:szCs w:val="16"/>
          <w:color w:val="auto"/>
        </w:rPr>
      </w:pPr>
    </w:p>
    <w:p>
      <w:pPr>
        <w:ind w:left="1509" w:right="460" w:hanging="534"/>
        <w:spacing w:after="0" w:line="250" w:lineRule="auto"/>
        <w:tabs>
          <w:tab w:leader="none" w:pos="150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“Third-Party Indemnitor” means any person or entity that has or may in the future provide to the Indemnitee any indemnification, exoneration, hold harmless or Expense advancement rights and/or insurance benefits other than (i) the Company, (ii) any Enterprise and (iii) any entity or entities through which the Company maintains liability insurance applicable to the Indemnitee.</w:t>
      </w:r>
    </w:p>
    <w:p>
      <w:pPr>
        <w:spacing w:after="0" w:line="99" w:lineRule="exact"/>
        <w:rPr>
          <w:rFonts w:ascii="Arial" w:cs="Arial" w:eastAsia="Arial" w:hAnsi="Arial"/>
          <w:sz w:val="18"/>
          <w:szCs w:val="18"/>
          <w:color w:val="auto"/>
        </w:rPr>
      </w:pPr>
    </w:p>
    <w:p>
      <w:pPr>
        <w:ind w:left="529" w:hanging="529"/>
        <w:spacing w:after="0" w:line="284" w:lineRule="auto"/>
        <w:tabs>
          <w:tab w:leader="none" w:pos="529"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Services by Indemnitee</w:t>
      </w:r>
      <w:r>
        <w:rPr>
          <w:rFonts w:ascii="Arial" w:cs="Arial" w:eastAsia="Arial" w:hAnsi="Arial"/>
          <w:sz w:val="16"/>
          <w:szCs w:val="16"/>
          <w:color w:val="auto"/>
        </w:rPr>
        <w:t>. The Company expressly confirms and agrees that it has entered into this Agreement and assumed the obligations imposed on it hereby in order to induce the Indemnitee to continue to serve as a director of the Company, and the Company acknowledges that Indemnitee is relying upon this Agreement in continuing to serve in such capacity. However, this Agreement shall not impose any independent obligation on Indemnitee or the Company to continue Indemnitee’s service to the Company beyond any period otherwise required by law or by other agreements or commitments of the parties, if any. This Agreement shall not be deemed an employment contract between the Company (or any other entity) and Indemnitee.</w:t>
      </w:r>
    </w:p>
    <w:p>
      <w:pPr>
        <w:spacing w:after="0" w:line="76" w:lineRule="exact"/>
        <w:rPr>
          <w:rFonts w:ascii="Arial" w:cs="Arial" w:eastAsia="Arial" w:hAnsi="Arial"/>
          <w:sz w:val="16"/>
          <w:szCs w:val="16"/>
          <w:color w:val="auto"/>
        </w:rPr>
      </w:pPr>
    </w:p>
    <w:p>
      <w:pPr>
        <w:ind w:left="529" w:hanging="529"/>
        <w:spacing w:after="0" w:line="247" w:lineRule="auto"/>
        <w:tabs>
          <w:tab w:leader="none" w:pos="52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and hold harmless, and advance Expenses to, Indemnitee (a) as provided in this Agreement and (b) otherwise to the maximum extent not prohibited by (and not merely to the extent affirmatively permitted by) Maryland law in effect on the Effective Date and as amended from time to time; provided, however, that no change in Maryland law shall have the effect of reducing the benefits available to Indemnitee hereunder based on Maryland law as in effect on the Effective Date. The rights of Indemnitee provided in this Section 3 shall include, without limitation, the rights set forth in the other sections of this Agreement, including any additional indemnification permitted by the charter or bylaws of the Company or Section 2-418(b) of the Maryland General Corporation Law (the “MGCL”).</w:t>
      </w:r>
    </w:p>
    <w:p>
      <w:pPr>
        <w:spacing w:after="0" w:line="129"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9"/>
          </w:cols>
          <w:pgMar w:left="991" w:top="272" w:right="579" w:bottom="1440" w:gutter="0" w:footer="0" w:header="0"/>
        </w:sectPr>
      </w:pPr>
    </w:p>
    <w:bookmarkStart w:id="72" w:name="page73"/>
    <w:bookmarkEnd w:id="72"/>
    <w:p>
      <w:pPr>
        <w:ind w:left="529" w:right="120" w:hanging="529"/>
        <w:spacing w:after="0" w:line="283" w:lineRule="auto"/>
        <w:tabs>
          <w:tab w:leader="none" w:pos="529"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Standard for Indemnification</w:t>
      </w:r>
      <w:r>
        <w:rPr>
          <w:rFonts w:ascii="Arial" w:cs="Arial" w:eastAsia="Arial" w:hAnsi="Arial"/>
          <w:sz w:val="16"/>
          <w:szCs w:val="16"/>
          <w:color w:val="auto"/>
        </w:rPr>
        <w:t>. If, by reason of Indemnitee’s Corporate Status, Indemnitee is, or is threatened to be, made a party to any Proceeding, the Company shall indemnify and hold harmless Indemnitee against all judgments, penalties, fines and amounts paid in settlement and all Expenses actually and reasonably incurred by Indemnitee or on Indemnitee’s behalf in connection with any such Proceeding unless (and only to the extent) it is ultimately Adjudged that (i) the act or omission of Indemnitee was material to the matter giving rise to the Proceeding and (A) was committed in bad faith or (B) was the result of active and deliberate dishonesty; (ii) Indemnitee actually received an improper personal benefit in money, property or services; or (iii) in the case of any criminal Proceeding, Indemnitee had reasonable cause to believe that his conduct was unlawful.</w:t>
      </w:r>
    </w:p>
    <w:p>
      <w:pPr>
        <w:spacing w:after="0" w:line="75" w:lineRule="exact"/>
        <w:rPr>
          <w:rFonts w:ascii="Arial" w:cs="Arial" w:eastAsia="Arial" w:hAnsi="Arial"/>
          <w:sz w:val="16"/>
          <w:szCs w:val="16"/>
          <w:color w:val="auto"/>
        </w:rPr>
      </w:pPr>
    </w:p>
    <w:p>
      <w:pPr>
        <w:ind w:left="529" w:hanging="529"/>
        <w:spacing w:after="0"/>
        <w:tabs>
          <w:tab w:leader="none" w:pos="52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Certain Limitations</w:t>
      </w:r>
      <w:r>
        <w:rPr>
          <w:rFonts w:ascii="Arial" w:cs="Arial" w:eastAsia="Arial" w:hAnsi="Arial"/>
          <w:sz w:val="18"/>
          <w:szCs w:val="18"/>
          <w:color w:val="auto"/>
        </w:rPr>
        <w:t>. Indemnitee shall not be entitled to:</w:t>
      </w:r>
    </w:p>
    <w:p>
      <w:pPr>
        <w:spacing w:after="0" w:line="122" w:lineRule="exact"/>
        <w:rPr>
          <w:rFonts w:ascii="Arial" w:cs="Arial" w:eastAsia="Arial" w:hAnsi="Arial"/>
          <w:sz w:val="18"/>
          <w:szCs w:val="18"/>
          <w:color w:val="auto"/>
        </w:rPr>
      </w:pPr>
    </w:p>
    <w:p>
      <w:pPr>
        <w:ind w:left="1509" w:right="280" w:hanging="534"/>
        <w:spacing w:after="0" w:line="262" w:lineRule="auto"/>
        <w:tabs>
          <w:tab w:leader="none" w:pos="1509"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indemnification hereunder if the Proceeding was one by or in the right of the Company and Indemnitee is Adjudged to be liable to the Company;</w:t>
      </w:r>
    </w:p>
    <w:p>
      <w:pPr>
        <w:spacing w:after="0" w:line="88" w:lineRule="exact"/>
        <w:rPr>
          <w:rFonts w:ascii="Arial" w:cs="Arial" w:eastAsia="Arial" w:hAnsi="Arial"/>
          <w:sz w:val="18"/>
          <w:szCs w:val="18"/>
          <w:color w:val="auto"/>
        </w:rPr>
      </w:pPr>
    </w:p>
    <w:p>
      <w:pPr>
        <w:ind w:left="1509" w:right="120" w:hanging="534"/>
        <w:spacing w:after="0" w:line="262" w:lineRule="auto"/>
        <w:tabs>
          <w:tab w:leader="none" w:pos="1509"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indemnification hereunder if Indemnitee is Adjudged to be liable on the basis that personal benefit was improperly received in any Proceeding charging improper personal benefit to Indemnitee; or</w:t>
      </w:r>
    </w:p>
    <w:p>
      <w:pPr>
        <w:spacing w:after="0" w:line="88" w:lineRule="exact"/>
        <w:rPr>
          <w:rFonts w:ascii="Arial" w:cs="Arial" w:eastAsia="Arial" w:hAnsi="Arial"/>
          <w:sz w:val="18"/>
          <w:szCs w:val="18"/>
          <w:color w:val="auto"/>
        </w:rPr>
      </w:pPr>
    </w:p>
    <w:p>
      <w:pPr>
        <w:ind w:left="1509" w:right="100" w:hanging="534"/>
        <w:spacing w:after="0" w:line="287" w:lineRule="auto"/>
        <w:tabs>
          <w:tab w:leader="none" w:pos="1509"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indemnification or advancement of Expenses hereunder if the Proceeding was brought by Indemnitee, unless: (i) the Proceeding was brought to establish or enforce indemnification rights under this Agreement, and then only to the extent in accordance with and as authorized by Section 12 of this Agreement, or (ii) the Company’s charter or bylaws, a resolution of the stockholders entitled to vote generally in the election of directors or of the Board of Directors or an agreement approved by the Board of Directors to which the Company is a party, expressly provides otherwise.</w:t>
      </w:r>
    </w:p>
    <w:p>
      <w:pPr>
        <w:spacing w:after="0" w:line="72" w:lineRule="exact"/>
        <w:rPr>
          <w:rFonts w:ascii="Arial" w:cs="Arial" w:eastAsia="Arial" w:hAnsi="Arial"/>
          <w:sz w:val="16"/>
          <w:szCs w:val="16"/>
          <w:color w:val="auto"/>
        </w:rPr>
      </w:pPr>
    </w:p>
    <w:p>
      <w:pPr>
        <w:jc w:val="both"/>
        <w:ind w:left="529" w:right="320" w:hanging="529"/>
        <w:spacing w:after="0" w:line="253" w:lineRule="auto"/>
        <w:tabs>
          <w:tab w:leader="none" w:pos="52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Court-Ordered Indemnification</w:t>
      </w:r>
      <w:r>
        <w:rPr>
          <w:rFonts w:ascii="Arial" w:cs="Arial" w:eastAsia="Arial" w:hAnsi="Arial"/>
          <w:sz w:val="18"/>
          <w:szCs w:val="18"/>
          <w:color w:val="auto"/>
        </w:rPr>
        <w:t>. Notwithstanding any other provision of this Agreement (other than Section 16), a court of appropriate jurisdiction, upon application of Indemnitee and such notice as the court shall require, may order indemnification of Indemnitee by the Company in the following circumstances:</w:t>
      </w:r>
    </w:p>
    <w:p>
      <w:pPr>
        <w:spacing w:after="0" w:line="96" w:lineRule="exact"/>
        <w:rPr>
          <w:rFonts w:ascii="Arial" w:cs="Arial" w:eastAsia="Arial" w:hAnsi="Arial"/>
          <w:sz w:val="18"/>
          <w:szCs w:val="18"/>
          <w:color w:val="auto"/>
        </w:rPr>
      </w:pPr>
    </w:p>
    <w:p>
      <w:pPr>
        <w:jc w:val="both"/>
        <w:ind w:left="1509" w:hanging="534"/>
        <w:spacing w:after="0" w:line="362" w:lineRule="auto"/>
        <w:tabs>
          <w:tab w:leader="none" w:pos="1509" w:val="left"/>
        </w:tabs>
        <w:numPr>
          <w:ilvl w:val="1"/>
          <w:numId w:val="59"/>
        </w:numPr>
        <w:rPr>
          <w:rFonts w:ascii="Arial" w:cs="Arial" w:eastAsia="Arial" w:hAnsi="Arial"/>
          <w:sz w:val="15"/>
          <w:szCs w:val="15"/>
          <w:color w:val="auto"/>
        </w:rPr>
      </w:pPr>
      <w:r>
        <w:rPr>
          <w:rFonts w:ascii="Arial" w:cs="Arial" w:eastAsia="Arial" w:hAnsi="Arial"/>
          <w:sz w:val="15"/>
          <w:szCs w:val="15"/>
          <w:color w:val="auto"/>
        </w:rPr>
        <w:t>if such court determines that Indemnitee is entitled to reimbursement under Section 2-418(d)(1) of the MGCL, the court shall order indemnification, in which case Indemnitee shall be entitled to recover the Expenses of securing such reimbursement; or</w:t>
      </w:r>
    </w:p>
    <w:p>
      <w:pPr>
        <w:spacing w:after="0" w:line="19" w:lineRule="exact"/>
        <w:rPr>
          <w:rFonts w:ascii="Arial" w:cs="Arial" w:eastAsia="Arial" w:hAnsi="Arial"/>
          <w:sz w:val="15"/>
          <w:szCs w:val="15"/>
          <w:color w:val="auto"/>
        </w:rPr>
      </w:pPr>
    </w:p>
    <w:p>
      <w:pPr>
        <w:ind w:left="1509" w:right="20" w:hanging="534"/>
        <w:spacing w:after="0" w:line="247" w:lineRule="auto"/>
        <w:tabs>
          <w:tab w:leader="none" w:pos="1509"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such court determines that Indemnitee is fairly and reasonably entitled to indemnification in view of all the relevant circumstances, whether or not Indemnitee (i) has met the standards of conduct set forth in Section 2-418(b) of the MGCL or (ii) has been adjudged liable for receipt of an improper personal benefit under Section 2-418(c) of the MGCL, the court may order such indemnification as the court shall deem proper. However, indemnification with respect to any Proceeding by or in the right of the Company or in which liability shall have been adjudged in the circumstances described in Section 2-418(c) of the MGCL shall be limited to Expenses.</w:t>
      </w:r>
    </w:p>
    <w:p>
      <w:pPr>
        <w:spacing w:after="0" w:line="131"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09"/>
          </w:cols>
          <w:pgMar w:left="991" w:top="272" w:right="599" w:bottom="1440" w:gutter="0" w:footer="0" w:header="0"/>
        </w:sectPr>
      </w:pPr>
    </w:p>
    <w:bookmarkStart w:id="73" w:name="page74"/>
    <w:bookmarkEnd w:id="73"/>
    <w:p>
      <w:pPr>
        <w:ind w:left="529" w:right="180" w:hanging="529"/>
        <w:spacing w:after="0" w:line="281" w:lineRule="auto"/>
        <w:tabs>
          <w:tab w:leader="none" w:pos="52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Partial Success</w:t>
      </w:r>
      <w:r>
        <w:rPr>
          <w:rFonts w:ascii="Arial" w:cs="Arial" w:eastAsia="Arial" w:hAnsi="Arial"/>
          <w:sz w:val="16"/>
          <w:szCs w:val="16"/>
          <w:color w:val="auto"/>
        </w:rPr>
        <w:t>. In addition to any other right to indemnification under any provision of this Agreement, and without limiting any such provision, if Indemnitee is not wholly successful in a Proceeding but is successful, on the merits or otherwise, as to one or more but less than all claims, issues or matters in such Proceeding, the Company shall indemnify Indemnitee under this Section 7 for all Expenses actually and reasonably incurred by Indemnitee or on Indemnitee’s behalf in connection with each successfully resolved claim, issue or matter, allocated on a reasonable and proportionate basis. For purposes of this Section 7, and without limitation, the termination of any claim, issue or matter in such a Proceeding by dismissal, with or without prejudice, shall be deemed to be a successful result as to such claim, issue or matter. For the avoidance of doubt, in the event that Indemnitee is not wholly successful and is Adjudged liable, the Company shall indemnify Indemnitee to the maximum extent not prohibited by (and not merely to the extent affirmatively permitted by) Maryland law and as permitted by Sections 3, 4 5 and 6 of this Agreement.</w:t>
      </w:r>
    </w:p>
    <w:p>
      <w:pPr>
        <w:spacing w:after="0" w:line="76" w:lineRule="exact"/>
        <w:rPr>
          <w:rFonts w:ascii="Arial" w:cs="Arial" w:eastAsia="Arial" w:hAnsi="Arial"/>
          <w:sz w:val="16"/>
          <w:szCs w:val="16"/>
          <w:color w:val="auto"/>
        </w:rPr>
      </w:pPr>
    </w:p>
    <w:p>
      <w:pPr>
        <w:ind w:left="529" w:hanging="529"/>
        <w:spacing w:after="0" w:line="277" w:lineRule="auto"/>
        <w:tabs>
          <w:tab w:leader="none" w:pos="52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If Indemnitee was, is, or is threatened to be, made a party to (or otherwise becomes a participant in) any Proceeding, the Company shall, without requiring a preliminary determination of Indemnitee’s ultimate entitlement to indemnification hereunder, advance all Expenses incurred by or on behalf of Indemnitee in connection with such Proceeding. Such advance or advances shall be made within fifteen (15) days after the receipt by the Company of a statement or statements requesting such advance or advances from time to time, whether prior to or after final disposition of such Proceeding, and may be in the form of, in the reasonable discretion of Indemnitee (but without duplication): (i) payment of such Expenses directly to third parties on behalf of Indemnitee; (ii) advancement to Indemnitee of funds in an amount sufficient to pay such Expenses; or (iii) reimbursement to Indemnitee for Indemnitee’s payment of such Expenses. Such statement or statements shall reasonably evidence the Expenses incurred by Indemnitee and shall include or be preceded or accompanied by a written affirmation and undertaking by or on behalf of Indemnitee,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in such form as may be required under applicable law as in effect at the time of the execution thereof, to reimburse the portion (if any) of any Expenses advanced to Indemnitee relating to claims, issues or matters in the Proceeding as to which it shall ultimately be Adjudged by clear and convincing evidence, that the standard of conduct has not been met by Indemnitee and which have not been successfully resolved as described in Section 7 of this Agreement. For so long as the Company is subject to the Investment Company Act of 1940 (the “Investment Company Act”), any advancement of Expenses shall be subject to at least one of the following as a condition of the advancement: (a) Indemnitee shall provide appropriate security for his undertaking, (b) the Company shall be insured against losses arising by reason of any lawful advances or (c) a majority of a quorum of the Disinterested Directors, or Independent Counsel in a written report based on a review of readily available facts, shall determine that there is no reason to believe that Indemnitee ultimately will be found to not be entitled to indemnification. To the extent that Expenses advanced to Indemnitee do not relate to a specific claim, issue or matter in the Proceeding, such Expenses shall be allocated on a reasonable and proportionate basis. The undertaking required by this Section 8 shall be an unlimited general obligation by or on behalf of Indemnitee and shall be accepted without reference to Indemnitee’s financial ability to repay such advanced Expenses and without any requirement to post security therefor.</w:t>
      </w:r>
    </w:p>
    <w:p>
      <w:pPr>
        <w:spacing w:after="0" w:line="112"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309"/>
          </w:cols>
          <w:pgMar w:left="991" w:top="272" w:right="599" w:bottom="1440" w:gutter="0" w:footer="0" w:header="0"/>
        </w:sectPr>
      </w:pPr>
    </w:p>
    <w:bookmarkStart w:id="74" w:name="page75"/>
    <w:bookmarkEnd w:id="74"/>
    <w:p>
      <w:pPr>
        <w:ind w:left="529" w:right="20" w:hanging="529"/>
        <w:spacing w:after="0" w:line="282" w:lineRule="auto"/>
        <w:tabs>
          <w:tab w:leader="none" w:pos="52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Indemnitee as Witness or Other Participant</w:t>
      </w:r>
      <w:r>
        <w:rPr>
          <w:rFonts w:ascii="Arial" w:cs="Arial" w:eastAsia="Arial" w:hAnsi="Arial"/>
          <w:sz w:val="16"/>
          <w:szCs w:val="16"/>
          <w:color w:val="auto"/>
        </w:rPr>
        <w:t xml:space="preserve">. Notwithstanding any other provision of this Agreement, to the extent that Indemnitee was, is or may be, by reason of Indemnitee’s Corporate Status, made a witness or otherwise asked to participate in any Proceeding, whether instituted by the Company or any other party, and to which Indemnitee is not a party, Indemnitee shall be advanced all Expenses and indemnified and held harmless against all Expenses actually and reasonably incurred by Indemnitee or on Indemnitee’s behalf in connection therewith within fifteen (15) days after the receipt by the Company of a statement or statements requesting any such advance or indemnification from time to time, whether prior to or after final disposition of such Proceeding. Such statement or statements shall reasonably evidence the Expenses incurred by Indemnitee. In connection with any such advancement of Expenses, the Company may require Indemnitee to provide a written affirmation and undertaking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75" w:lineRule="exact"/>
        <w:rPr>
          <w:rFonts w:ascii="Arial" w:cs="Arial" w:eastAsia="Arial" w:hAnsi="Arial"/>
          <w:sz w:val="16"/>
          <w:szCs w:val="16"/>
          <w:color w:val="auto"/>
        </w:rPr>
      </w:pPr>
    </w:p>
    <w:p>
      <w:pPr>
        <w:ind w:left="529" w:hanging="529"/>
        <w:spacing w:after="0"/>
        <w:tabs>
          <w:tab w:leader="none" w:pos="52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Procedure for Determination of Entitlement to Indemnification</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hanging="534"/>
        <w:spacing w:after="0" w:line="247" w:lineRule="auto"/>
        <w:tabs>
          <w:tab w:leader="none" w:pos="150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including therein or therewith such documentation and information as is reasonably available to Indemnitee and is reasonably necessary or appropriate to determine whether and to what extent Indemnitee is entitled to indemnification. Indemnitee may submit one or more such requests from time to time and at such time(s) as Indemnitee deems appropriate in Indemnitee’s sole discretion. The officer of the Company receiving any such request from Indemnitee shall, promptly upon receipt of such a request for indemnification, advise the Board of Directors of the Company that Indemnitee has requested indemnification by the Company.</w:t>
      </w:r>
    </w:p>
    <w:p>
      <w:pPr>
        <w:spacing w:after="0" w:line="102" w:lineRule="exact"/>
        <w:rPr>
          <w:rFonts w:ascii="Arial" w:cs="Arial" w:eastAsia="Arial" w:hAnsi="Arial"/>
          <w:sz w:val="18"/>
          <w:szCs w:val="18"/>
          <w:color w:val="auto"/>
        </w:rPr>
      </w:pPr>
    </w:p>
    <w:p>
      <w:pPr>
        <w:ind w:left="1509" w:right="20" w:hanging="534"/>
        <w:spacing w:after="0" w:line="296" w:lineRule="auto"/>
        <w:tabs>
          <w:tab w:leader="none" w:pos="1509" w:val="left"/>
        </w:tabs>
        <w:numPr>
          <w:ilvl w:val="1"/>
          <w:numId w:val="61"/>
        </w:numPr>
        <w:rPr>
          <w:rFonts w:ascii="Arial" w:cs="Arial" w:eastAsia="Arial" w:hAnsi="Arial"/>
          <w:sz w:val="15"/>
          <w:szCs w:val="15"/>
          <w:color w:val="auto"/>
        </w:rPr>
      </w:pPr>
      <w:r>
        <w:rPr>
          <w:rFonts w:ascii="Arial" w:cs="Arial" w:eastAsia="Arial" w:hAnsi="Arial"/>
          <w:sz w:val="15"/>
          <w:szCs w:val="15"/>
          <w:color w:val="auto"/>
        </w:rPr>
        <w:t>Upon written request by Indemnitee for indemnification pursuant to Section 10(a) above, a determination, if required by applicable law, with respect to Indemnitee’s entitlement thereto shall promptly be made in the specific case: (i) if a Change in Control shall have occurred, by Independent Counsel in a written opinion to the Board of Directors, a copy of which shall be delivered to Indemnitee, which Independent Counsel shall be selected by Indemnitee and approved by the Board of Directors in accordance with Section 2-418(e)(2)(ii) of the MGCL, which approval shall not be unreasonably withheld or delayed; or</w:t>
      </w:r>
    </w:p>
    <w:p>
      <w:pPr>
        <w:spacing w:after="0" w:line="1" w:lineRule="exact"/>
        <w:rPr>
          <w:rFonts w:ascii="Arial" w:cs="Arial" w:eastAsia="Arial" w:hAnsi="Arial"/>
          <w:sz w:val="15"/>
          <w:szCs w:val="15"/>
          <w:color w:val="auto"/>
        </w:rPr>
      </w:pPr>
    </w:p>
    <w:p>
      <w:pPr>
        <w:ind w:left="1509" w:right="20" w:hanging="8"/>
        <w:spacing w:after="0" w:line="283" w:lineRule="auto"/>
        <w:tabs>
          <w:tab w:leader="none" w:pos="1768" w:val="left"/>
        </w:tabs>
        <w:numPr>
          <w:ilvl w:val="2"/>
          <w:numId w:val="61"/>
        </w:numPr>
        <w:rPr>
          <w:rFonts w:ascii="Arial" w:cs="Arial" w:eastAsia="Arial" w:hAnsi="Arial"/>
          <w:sz w:val="16"/>
          <w:szCs w:val="16"/>
          <w:color w:val="auto"/>
        </w:rPr>
      </w:pPr>
      <w:r>
        <w:rPr>
          <w:rFonts w:ascii="Arial" w:cs="Arial" w:eastAsia="Arial" w:hAnsi="Arial"/>
          <w:sz w:val="16"/>
          <w:szCs w:val="16"/>
          <w:color w:val="auto"/>
        </w:rPr>
        <w:t>if a Change in Control shall not have occurred, (A) by the Board of Directors by a majority vote of a quorum consisting of Disinterested Directors or, if such a quorum cannot be obtained, then by a majority vote of a duly authorized committee of the Board of Directors consisting solely of one or more Disinterested Directors, (B) if Independent Counsel has been selected by the Board of Directors in accordance with Section 2-418(e)(2)(ii) of the MGCL and approved by Indemnitee, which approval shall not be unreasonably withheld or delayed, by Independent Counsel</w:t>
      </w:r>
    </w:p>
    <w:p>
      <w:pPr>
        <w:spacing w:after="0" w:line="102"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329"/>
          </w:cols>
          <w:pgMar w:left="991" w:top="272" w:right="579" w:bottom="1440" w:gutter="0" w:footer="0" w:header="0"/>
        </w:sectPr>
      </w:pPr>
    </w:p>
    <w:bookmarkStart w:id="75" w:name="page76"/>
    <w:bookmarkEnd w:id="75"/>
    <w:p>
      <w:pPr>
        <w:ind w:left="1509" w:right="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a written opinion to the Board of Directors, a copy of which shall be delivered to Indemnitee, or (C) if so directed by at least a majority of the members of the Board of Directors, the stockholders of the Company. If it is so determined that Indemnitee is entitled to indemnification, payment to Indemnitee shall be made within fifteen (15) days after such determination. Indemnitee shall cooperate with the Company (including Independent Counsel selected by the Company) in making such determination with respect to Indemnitee’s entitlement to indemnification, including providing to the Company, upon reasonable advance written request, any documentation or information which is not privileged or otherwise protected from disclosure and which is reasonably available to Indemnitee and reasonably necessary or appropriate to such determination in the discretion of the Board of Directors or Independent Counsel, as applicable; provided, however Indemnitee shall not be required to waive any applicable privilege or work product protection. Any Expenses incurred by Indemnitee in so cooperating with the Company or Independent Counsel shall be borne by the Company (irrespective of the determination as to Indemnitee’s entitlement to indemnification) and the Company shall indemnify and hold Indemnitee harmless therefrom.</w:t>
      </w:r>
    </w:p>
    <w:p>
      <w:pPr>
        <w:spacing w:after="0" w:line="81" w:lineRule="exact"/>
        <w:rPr>
          <w:sz w:val="20"/>
          <w:szCs w:val="20"/>
          <w:color w:val="auto"/>
        </w:rPr>
      </w:pPr>
    </w:p>
    <w:p>
      <w:pPr>
        <w:ind w:left="1509" w:right="40" w:hanging="534"/>
        <w:spacing w:after="0" w:line="250" w:lineRule="auto"/>
        <w:tabs>
          <w:tab w:leader="none" w:pos="15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 In no event shall the Indemnitee be required or requested to pay any such fees or expenses or to provide any such indemnification.</w:t>
      </w:r>
    </w:p>
    <w:p>
      <w:pPr>
        <w:spacing w:after="0" w:line="99" w:lineRule="exact"/>
        <w:rPr>
          <w:rFonts w:ascii="Arial" w:cs="Arial" w:eastAsia="Arial" w:hAnsi="Arial"/>
          <w:sz w:val="18"/>
          <w:szCs w:val="18"/>
          <w:color w:val="auto"/>
        </w:rPr>
      </w:pPr>
    </w:p>
    <w:p>
      <w:pPr>
        <w:ind w:left="529" w:hanging="529"/>
        <w:spacing w:after="0"/>
        <w:tabs>
          <w:tab w:leader="none" w:pos="52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hanging="534"/>
        <w:spacing w:after="0" w:line="291" w:lineRule="auto"/>
        <w:tabs>
          <w:tab w:leader="none" w:pos="1509"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making any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10(a) of this Agreement, and the Company shall have the burden to overcome that presumption in connection with the making of any determination contrary to that presumption.</w:t>
      </w:r>
    </w:p>
    <w:p>
      <w:pPr>
        <w:spacing w:after="0" w:line="69" w:lineRule="exact"/>
        <w:rPr>
          <w:rFonts w:ascii="Arial" w:cs="Arial" w:eastAsia="Arial" w:hAnsi="Arial"/>
          <w:sz w:val="16"/>
          <w:szCs w:val="16"/>
          <w:color w:val="auto"/>
        </w:rPr>
      </w:pPr>
    </w:p>
    <w:p>
      <w:pPr>
        <w:ind w:left="1509" w:right="340" w:hanging="534"/>
        <w:spacing w:after="0" w:line="300" w:lineRule="auto"/>
        <w:tabs>
          <w:tab w:leader="none" w:pos="1509"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termination of any Proceeding or of any claim, issue or matter therein, by judgment, order, settlement or conviction, upon a plea of nolo contendere or its equivalent, or entry of an order of probation prior to judgment, does not create a presumption that Indemnitee did not meet the requisite standard of conduct described herein for indemnification.</w:t>
      </w:r>
    </w:p>
    <w:p>
      <w:pPr>
        <w:spacing w:after="0" w:line="60" w:lineRule="exact"/>
        <w:rPr>
          <w:rFonts w:ascii="Arial" w:cs="Arial" w:eastAsia="Arial" w:hAnsi="Arial"/>
          <w:sz w:val="16"/>
          <w:szCs w:val="16"/>
          <w:color w:val="auto"/>
        </w:rPr>
      </w:pPr>
    </w:p>
    <w:p>
      <w:pPr>
        <w:ind w:left="1509" w:hanging="534"/>
        <w:spacing w:after="0" w:line="291" w:lineRule="auto"/>
        <w:tabs>
          <w:tab w:leader="none" w:pos="1509"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employee or agent of the Company or any other director, trustee, officer, partner, manager, managing member, fiduciary, employee or agent of any other foreign or domestic corporation, partnership, limited liability company, joint venture, trust, employee benefit plan or other enterprise shall not be imputed to Indemnitee for purposes of determining any right to indemnification under this Agreement.</w:t>
      </w:r>
    </w:p>
    <w:p>
      <w:pPr>
        <w:spacing w:after="0" w:line="96"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09"/>
          </w:cols>
          <w:pgMar w:left="991" w:top="272" w:right="599" w:bottom="1440" w:gutter="0" w:footer="0" w:header="0"/>
        </w:sectPr>
      </w:pPr>
    </w:p>
    <w:bookmarkStart w:id="76" w:name="page77"/>
    <w:bookmarkEnd w:id="76"/>
    <w:p>
      <w:pPr>
        <w:ind w:left="1509" w:hanging="534"/>
        <w:spacing w:after="0" w:line="279" w:lineRule="auto"/>
        <w:tabs>
          <w:tab w:leader="none" w:pos="1509"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For purposes of any determination as to Indemnitee’s entitlement to indemnification, Indemnitee shall be presumed to have met the standard of conduct for indemnification if, among other things and without limitation, Indemnitee relied on any information, opinion, report or statement, including any financial statement or other financial data or the records or books of account of the Company or any Enterprise, prepared or presented by an officer or employee of the Company or any Enterprise whom Indemnitee reasonably believed to be reliable and competent in the matters presented, by a lawyer, certified public accountant, appraiser or other person, as to a matter which Indemnitee reasonably believed to be within the person’s professional or expert competence, or, if Indemnitee was serving on the Board of Directors of the Company or as a member of any similar body of any Enterprise, by a committee of the Board of Directors or such other body on which Indemnitee does not serve, as to a matter within its designated authority, if Indemnitee reasonably believes the committee to merit confidence. The provisions of this Section 11(d) shall not be deemed to be exclusive or to limit in any way the other circumstances in which Indemnitee met, or be presumed to have met, the applicable standard of conduct set forth in this Agreement.</w:t>
      </w:r>
    </w:p>
    <w:p>
      <w:pPr>
        <w:spacing w:after="0" w:line="81" w:lineRule="exact"/>
        <w:rPr>
          <w:rFonts w:ascii="Arial" w:cs="Arial" w:eastAsia="Arial" w:hAnsi="Arial"/>
          <w:sz w:val="16"/>
          <w:szCs w:val="16"/>
          <w:color w:val="auto"/>
        </w:rPr>
      </w:pPr>
    </w:p>
    <w:p>
      <w:pPr>
        <w:ind w:left="1509" w:right="80" w:hanging="534"/>
        <w:spacing w:after="0" w:line="282" w:lineRule="auto"/>
        <w:tabs>
          <w:tab w:leader="none" w:pos="1509" w:val="left"/>
        </w:tabs>
        <w:numPr>
          <w:ilvl w:val="1"/>
          <w:numId w:val="64"/>
        </w:numPr>
        <w:rPr>
          <w:rFonts w:ascii="Arial" w:cs="Arial" w:eastAsia="Arial" w:hAnsi="Arial"/>
          <w:sz w:val="16"/>
          <w:szCs w:val="16"/>
          <w:color w:val="auto"/>
        </w:rPr>
      </w:pPr>
      <w:r>
        <w:rPr>
          <w:rFonts w:ascii="Arial" w:cs="Arial" w:eastAsia="Arial" w:hAnsi="Arial"/>
          <w:sz w:val="16"/>
          <w:szCs w:val="16"/>
          <w:color w:val="auto"/>
        </w:rPr>
        <w:t>For purposes of this Agreement, Indemnitee shall be considered to have been wholly successful with respect to any Proceeding if such Proceeding is disposed of, on the merits or otherwise (including a disposition without prejudice), without</w:t>
      </w:r>
    </w:p>
    <w:p>
      <w:pPr>
        <w:ind w:left="1509" w:hanging="8"/>
        <w:spacing w:after="0" w:line="245" w:lineRule="auto"/>
        <w:tabs>
          <w:tab w:leader="none" w:pos="1719"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disposition being adverse to Indemnitee, (ii) it being Adjudged that Indemnitee was liable to the Company, (iii) a plea of guilty by Indemnitee, (iv) it being Adjudged that an act or omission of Indemnitee was material to the matter giving rise to the Proceeding and was (A) committed in bad faith or (B) the result of Indemnitee’s active and deliberate dishonesty, (v) it being Adjudged that Indemnitee actually received an improper personal benefit in money, property or services or (vi) with respect to any criminal proceeding, it being Adjudged that Indemnitee had reasonable cause to believe the act or omission was unlawful.</w:t>
      </w:r>
    </w:p>
    <w:p>
      <w:pPr>
        <w:spacing w:after="0" w:line="103" w:lineRule="exact"/>
        <w:rPr>
          <w:rFonts w:ascii="Arial" w:cs="Arial" w:eastAsia="Arial" w:hAnsi="Arial"/>
          <w:sz w:val="18"/>
          <w:szCs w:val="18"/>
          <w:color w:val="auto"/>
        </w:rPr>
      </w:pPr>
    </w:p>
    <w:p>
      <w:pPr>
        <w:ind w:left="529" w:hanging="529"/>
        <w:spacing w:after="0"/>
        <w:tabs>
          <w:tab w:leader="none" w:pos="52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right="140" w:hanging="534"/>
        <w:spacing w:after="0" w:line="282" w:lineRule="auto"/>
        <w:tabs>
          <w:tab w:leader="none" w:pos="1509"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(i) a determination is made pursuant to Section 10(b) of this Agreement that Indemnitee is not entitled to indemnification under this Agreement; (ii) advancement of Expenses is not timely made pursuant to Sections 8 or 9 of this Agreement;</w:t>
      </w:r>
    </w:p>
    <w:p>
      <w:pPr>
        <w:ind w:left="1509" w:right="60" w:hanging="8"/>
        <w:spacing w:after="0" w:line="279" w:lineRule="auto"/>
        <w:tabs>
          <w:tab w:leader="none" w:pos="1817" w:val="left"/>
        </w:tabs>
        <w:numPr>
          <w:ilvl w:val="2"/>
          <w:numId w:val="65"/>
        </w:numPr>
        <w:rPr>
          <w:rFonts w:ascii="Arial" w:cs="Arial" w:eastAsia="Arial" w:hAnsi="Arial"/>
          <w:sz w:val="16"/>
          <w:szCs w:val="16"/>
          <w:color w:val="auto"/>
        </w:rPr>
      </w:pPr>
      <w:r>
        <w:rPr>
          <w:rFonts w:ascii="Arial" w:cs="Arial" w:eastAsia="Arial" w:hAnsi="Arial"/>
          <w:sz w:val="16"/>
          <w:szCs w:val="16"/>
          <w:color w:val="auto"/>
        </w:rPr>
        <w:t>no determination of entitlement to indemnification shall have been made pursuant to Section 10(b) of this Agreement within thirty (30) days after receipt by the Company of the request for indemnification; (iv) payment of indemnification is not made pursuant to Sections 7 or 9 of this Agreement within fifteen (15) days after receipt by the Company of a written request therefor; or (v) payment of indemnification pursuant to any other section of this Agreement or the charter or bylaws of the Company is not made within fifteen (15) days after a determination has been made that Indemnitee is entitled to indemnification, Indemnitee shall be entitled to an adjudication in an appropriate court located in the State of Maryland or in any other court of competent jurisdiction, with regard to Indemnitee’s entitlement to indemnification or advancement of Expenses.</w:t>
      </w:r>
    </w:p>
    <w:p>
      <w:pPr>
        <w:spacing w:after="0" w:line="108"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09"/>
          </w:cols>
          <w:pgMar w:left="991" w:top="272" w:right="599" w:bottom="1440" w:gutter="0" w:footer="0" w:header="0"/>
        </w:sectPr>
      </w:pPr>
    </w:p>
    <w:bookmarkStart w:id="77" w:name="page78"/>
    <w:bookmarkEnd w:id="77"/>
    <w:p>
      <w:pPr>
        <w:ind w:left="10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Alternatively, Indemnitee, at Indemnitee’s option, may seek an award in arbitration to be conducted by a single arbitrator pursuant to the Commercial Arbitration Rules of the American Arbitration Association. Indemnitee shall commence a proceeding seeking an adjudication or an award in arbitration within one hundred eighty (180) days following the date on which Indemnitee first has the right to commence such proceeding pursuant to this Section 12(a); provided, however, that the foregoing clause shall not apply to a proceeding brought by Indemnitee to enforce his rights under Section 7 of this Agreement. Except as set forth herein, the provisions of Maryland law (without regard to its conflicts of laws rules) shall apply to any such arbitration. The Company shall not oppose Indemnitee’s right to seek any such adjudication or award in arbitration.</w:t>
      </w:r>
    </w:p>
    <w:p>
      <w:pPr>
        <w:spacing w:after="0" w:line="108" w:lineRule="exact"/>
        <w:rPr>
          <w:sz w:val="20"/>
          <w:szCs w:val="20"/>
          <w:color w:val="auto"/>
        </w:rPr>
      </w:pPr>
    </w:p>
    <w:p>
      <w:pPr>
        <w:ind w:left="1060" w:right="40" w:hanging="534"/>
        <w:spacing w:after="0" w:line="280"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any judicial proceeding or arbitration commenced pursuant to this Section 12, Indemnitee shall be presumed to be entitled to indemnification or advancement of Expenses, as the case may be, under this Agreement and the Company shall have the burden of proving that Indemnitee is not entitled to indemnification or advancement of Expenses, as the case may be. If Indemnitee commences a judicial proceeding or arbitration pursuant to this Section 12, Indemnitee shall not be required to reimburse the Company for any advances pursuant to Section 8 of this Agreement until a final determination is made with respect to Indemnitee’s entitlement to indemnification (as to which all rights of appeal have been exhausted or lapsed). The Company shall, to the fullest extent not prohibited by law,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of the provisions of this Agreement.</w:t>
      </w:r>
    </w:p>
    <w:p>
      <w:pPr>
        <w:spacing w:after="0" w:line="79" w:lineRule="exact"/>
        <w:rPr>
          <w:rFonts w:ascii="Arial" w:cs="Arial" w:eastAsia="Arial" w:hAnsi="Arial"/>
          <w:sz w:val="16"/>
          <w:szCs w:val="16"/>
          <w:color w:val="auto"/>
        </w:rPr>
      </w:pPr>
    </w:p>
    <w:p>
      <w:pPr>
        <w:ind w:left="1060" w:right="100" w:hanging="534"/>
        <w:spacing w:after="0" w:line="248"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10(b) of this Agreement that Indemnitee is entitled to indemnification, the Company shall be bound by such determination in any judicial proceeding or arbitration commenced pursuant to this Section 12, absent a misstatement by Indemnitee of a material fact, or an omission of a material fact necessary to make Indemnitee’s statement not materially misleading, in connection with the request for indemnification that was not disclosed in connection with the determination.</w:t>
      </w:r>
    </w:p>
    <w:p>
      <w:pPr>
        <w:spacing w:after="0" w:line="103" w:lineRule="exact"/>
        <w:rPr>
          <w:rFonts w:ascii="Arial" w:cs="Arial" w:eastAsia="Arial" w:hAnsi="Arial"/>
          <w:sz w:val="18"/>
          <w:szCs w:val="18"/>
          <w:color w:val="auto"/>
        </w:rPr>
      </w:pPr>
    </w:p>
    <w:p>
      <w:pPr>
        <w:ind w:left="1060" w:hanging="534"/>
        <w:spacing w:after="0" w:line="283"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event that Indemnitee, pursuant to this Section 12, seeks a judicial adjudication of or an award in arbitration to enforce Indemnitee’s rights under, or to recover damages for breach of, this Agreement, Indemnitee shall be entitled to advancement from the Company, and shall be indemnified and held harmless by the Company for, any and all Expenses actually and reasonably incurred by him in such judicial adjudication or arbitration. If it shall be determined in such judicial adjudication or arbitration that Indemnitee is entitled to receive part but not all of the indemnification or advancement of Expenses sought, the Expenses incurred by Indemnitee in connection with such judicial adjudication or arbitration shall be appropriately prorated.</w:t>
      </w:r>
    </w:p>
    <w:p>
      <w:pPr>
        <w:spacing w:after="0" w:line="1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860"/>
          </w:cols>
          <w:pgMar w:left="1440" w:top="272" w:right="599" w:bottom="1440" w:gutter="0" w:footer="0" w:header="0"/>
        </w:sectPr>
      </w:pPr>
    </w:p>
    <w:bookmarkStart w:id="78" w:name="page79"/>
    <w:bookmarkEnd w:id="78"/>
    <w:p>
      <w:pPr>
        <w:ind w:left="1509" w:right="60" w:hanging="534"/>
        <w:spacing w:after="0" w:line="284" w:lineRule="auto"/>
        <w:tabs>
          <w:tab w:leader="none" w:pos="1509"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Interest shall be paid by the Company to Indemnitee at the maximum rate allowed to be charged for judgments under the Courts and Judicial Proceedings Article of the Annotated Code of Maryland for amounts which the Company pays or is obligated to pay for the period (i) commencing with either the 10</w:t>
      </w:r>
      <w:r>
        <w:rPr>
          <w:rFonts w:ascii="Arial" w:cs="Arial" w:eastAsia="Arial" w:hAnsi="Arial"/>
          <w:sz w:val="13"/>
          <w:szCs w:val="13"/>
          <w:color w:val="auto"/>
        </w:rPr>
        <w:t>th</w:t>
      </w:r>
      <w:r>
        <w:rPr>
          <w:rFonts w:ascii="Arial" w:cs="Arial" w:eastAsia="Arial" w:hAnsi="Arial"/>
          <w:sz w:val="16"/>
          <w:szCs w:val="16"/>
          <w:color w:val="auto"/>
        </w:rPr>
        <w:t xml:space="preserve"> day after the date on which the Company was requested to advance Expenses in accordance with Sections 8 or 9 of this Agreement or the 60th day after the date on which the Company was requested to make the determination of entitlement to indemnification under Section 10(b) of this Agreement, as applicable, and (ii) ending on the date such payment is made to Indemnitee by the Company.</w:t>
      </w:r>
    </w:p>
    <w:p>
      <w:pPr>
        <w:spacing w:after="0" w:line="76" w:lineRule="exact"/>
        <w:rPr>
          <w:rFonts w:ascii="Arial" w:cs="Arial" w:eastAsia="Arial" w:hAnsi="Arial"/>
          <w:sz w:val="16"/>
          <w:szCs w:val="16"/>
          <w:color w:val="auto"/>
        </w:rPr>
      </w:pPr>
    </w:p>
    <w:p>
      <w:pPr>
        <w:ind w:left="529" w:hanging="529"/>
        <w:spacing w:after="0"/>
        <w:tabs>
          <w:tab w:leader="none" w:pos="52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Defense of Underlying Proceeding</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hanging="534"/>
        <w:spacing w:after="0" w:line="282" w:lineRule="auto"/>
        <w:tabs>
          <w:tab w:leader="none" w:pos="15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Indemnitee shall notify the Company promptly upon being served with or receiving any summons, citation, subpoena, complaint, indictment, notice, request or other document relating to any Proceeding which may result in the right to indemnification or the advancement of Expenses hereunder and may include with such notice a description of the nature of the Proceeding and a summary of the facts underlying the Proceeding. The failure to give any such notice shall not disqualify Indemnitee from the right, or otherwise affect in any manner any right of Indemnitee, to indemnification or the advancement of Expenses under this Agreement unless the Company’s ability to defend in such Proceeding or to obtain proceeds under any insurance policy is materially and adversely prejudiced thereby, and then only to the extent the Company is thereby actually so prejudiced.</w:t>
      </w:r>
    </w:p>
    <w:p>
      <w:pPr>
        <w:spacing w:after="0" w:line="75" w:lineRule="exact"/>
        <w:rPr>
          <w:rFonts w:ascii="Arial" w:cs="Arial" w:eastAsia="Arial" w:hAnsi="Arial"/>
          <w:sz w:val="16"/>
          <w:szCs w:val="16"/>
          <w:color w:val="auto"/>
        </w:rPr>
      </w:pPr>
    </w:p>
    <w:p>
      <w:pPr>
        <w:ind w:left="1509" w:right="40" w:hanging="534"/>
        <w:spacing w:after="0" w:line="276" w:lineRule="auto"/>
        <w:tabs>
          <w:tab w:leader="none" w:pos="15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Subject to the provisions of the last sentence of this Section 13(b) and of Section 13(c) below, the Company shall have the right to defend Indemnitee in any Proceeding which may give rise to indemnification hereunder using a law firm of the Company’s choice, subject to the prior written approval of the Indemnitee, which shall not be unreasonably withheld or delayed; provided, however, that the Company shall notify Indemnitee in writing of any such decision to defend within fifteen (15) calendar days following receipt of notice of any such Proceeding under Section 13(a) above. Indemnitee shall have the right to retain a separate law firm in any such Proceeding at Indemnitee’s sole expense. The Company shall not, without the prior written consent of Indemnitee, which shall not be unreasonably withheld or delayed, consent to the entry of any judgment against Indemnitee or enter into any settlement or compromise of a claim against Indemnitee which</w:t>
      </w:r>
    </w:p>
    <w:p>
      <w:pPr>
        <w:spacing w:after="0" w:line="5" w:lineRule="exact"/>
        <w:rPr>
          <w:rFonts w:ascii="Arial" w:cs="Arial" w:eastAsia="Arial" w:hAnsi="Arial"/>
          <w:sz w:val="16"/>
          <w:szCs w:val="16"/>
          <w:color w:val="auto"/>
        </w:rPr>
      </w:pPr>
    </w:p>
    <w:p>
      <w:pPr>
        <w:jc w:val="both"/>
        <w:ind w:left="1509" w:right="120" w:hanging="8"/>
        <w:spacing w:after="0" w:line="274" w:lineRule="auto"/>
        <w:tabs>
          <w:tab w:leader="none" w:pos="1719" w:val="left"/>
        </w:tabs>
        <w:numPr>
          <w:ilvl w:val="2"/>
          <w:numId w:val="68"/>
        </w:numPr>
        <w:rPr>
          <w:rFonts w:ascii="Arial" w:cs="Arial" w:eastAsia="Arial" w:hAnsi="Arial"/>
          <w:sz w:val="16"/>
          <w:szCs w:val="16"/>
          <w:color w:val="auto"/>
        </w:rPr>
      </w:pPr>
      <w:r>
        <w:rPr>
          <w:rFonts w:ascii="Arial" w:cs="Arial" w:eastAsia="Arial" w:hAnsi="Arial"/>
          <w:sz w:val="16"/>
          <w:szCs w:val="16"/>
          <w:color w:val="auto"/>
        </w:rPr>
        <w:t>includes an admission of fault of Indemnitee; (ii) does not include, as an unconditional term thereof, (A) the full release with prejudice of Indemnitee from all liability in respect of such Proceeding, which release shall be in form and substance reasonably satisfactory to Indemnitee and (B) the complete dismissal of all claims against the Indemnitee with prejudice; or</w:t>
      </w:r>
    </w:p>
    <w:p>
      <w:pPr>
        <w:spacing w:after="0" w:line="2" w:lineRule="exact"/>
        <w:rPr>
          <w:rFonts w:ascii="Arial" w:cs="Arial" w:eastAsia="Arial" w:hAnsi="Arial"/>
          <w:sz w:val="16"/>
          <w:szCs w:val="16"/>
          <w:color w:val="auto"/>
        </w:rPr>
      </w:pPr>
    </w:p>
    <w:p>
      <w:pPr>
        <w:jc w:val="both"/>
        <w:ind w:left="1509" w:right="60" w:hanging="8"/>
        <w:spacing w:after="0" w:line="246" w:lineRule="auto"/>
        <w:tabs>
          <w:tab w:leader="none" w:pos="1817" w:val="left"/>
        </w:tabs>
        <w:numPr>
          <w:ilvl w:val="2"/>
          <w:numId w:val="69"/>
        </w:numPr>
        <w:rPr>
          <w:rFonts w:ascii="Arial" w:cs="Arial" w:eastAsia="Arial" w:hAnsi="Arial"/>
          <w:sz w:val="18"/>
          <w:szCs w:val="18"/>
          <w:color w:val="auto"/>
        </w:rPr>
      </w:pPr>
      <w:r>
        <w:rPr>
          <w:rFonts w:ascii="Arial" w:cs="Arial" w:eastAsia="Arial" w:hAnsi="Arial"/>
          <w:sz w:val="18"/>
          <w:szCs w:val="18"/>
          <w:color w:val="auto"/>
        </w:rPr>
        <w:t>would impose any Expense, judgment, fine, penalty or limitation on Indemnitee. This Section 13(b) shall not apply to a Proceeding brought by Indemnitee under Section 12 of this Agreement, a Proceeding by or in the right of the Company or in the case of clause (ii) of Section 13(c).</w:t>
      </w:r>
    </w:p>
    <w:p>
      <w:pPr>
        <w:spacing w:after="0" w:line="129"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09"/>
          </w:cols>
          <w:pgMar w:left="991" w:top="272" w:right="599" w:bottom="1440" w:gutter="0" w:footer="0" w:header="0"/>
        </w:sectPr>
      </w:pPr>
    </w:p>
    <w:bookmarkStart w:id="79" w:name="page80"/>
    <w:bookmarkEnd w:id="79"/>
    <w:p>
      <w:pPr>
        <w:ind w:left="1509" w:right="20" w:hanging="534"/>
        <w:spacing w:after="0" w:line="278" w:lineRule="auto"/>
        <w:tabs>
          <w:tab w:leader="none" w:pos="1509" w:val="left"/>
        </w:tabs>
        <w:numPr>
          <w:ilvl w:val="1"/>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Notwithstanding the provisions of Section 13(b) above, if in a Proceeding to which Indemnitee is a party, (i) Indemnitee reasonably concludes, based upon advice of counsel approved by the Company, which approval shall not be unreasonably withheld or delayed, that Indemnitee may have separate defenses or counterclaims to assert with respect to any issue which may not be consistent with other defendants in such Proceeding, (ii) Indemnitee reasonably concludes, based upon advice of counsel approved by the Company, which approval shall not be unreasonably withheld or delayed, that an actual or apparent conflict of interest or potential conflict of interest exists between Indemnitee and the Company, or (iii) if the Company fails to assume the defense of such Proceeding in a timely manner, Indemnitee shall be entitled to be represented by separate legal counsel of Indemnitee’s choice, subject, except in the case of (ii) or (iii) above, to the prior approval of the Company, which approval shall not be unreasonably withheld or delayed, at the expense of the Company. In addition, if the Company fails to comply with any of its obligations under this Agreement or in the event that the Company or any other person takes any action to declare this Agreement void or unenforceable, or institutes any Proceeding to deny or to recover from Indemnitee the benefits intended to be provided to Indemnitee hereunder, Indemnitee shall have the right to retain counsel of Indemnitee’s choice at the expense of the Company (subject to Section 12(d) of this Agreement), to represent Indemnitee in connection with any such matter.</w:t>
      </w:r>
    </w:p>
    <w:p>
      <w:pPr>
        <w:spacing w:after="0" w:line="85" w:lineRule="exact"/>
        <w:rPr>
          <w:rFonts w:ascii="Arial" w:cs="Arial" w:eastAsia="Arial" w:hAnsi="Arial"/>
          <w:sz w:val="16"/>
          <w:szCs w:val="16"/>
          <w:color w:val="auto"/>
        </w:rPr>
      </w:pPr>
    </w:p>
    <w:p>
      <w:pPr>
        <w:ind w:left="529" w:hanging="529"/>
        <w:spacing w:after="0" w:line="278" w:lineRule="auto"/>
        <w:tabs>
          <w:tab w:leader="none" w:pos="52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Given that certain Jointly Indemnifiable Claims may arise, the Company acknowledges and agrees that the Company shall, and to the extent applicable shall cause any Enterprise to (i) be fully and primarily responsible for, and be the indemnitor of first resort with respect to, payment to or payment on behalf of the Indemnitee in respect of indemnification or advancement of Expenses in connection with any such Jointly Indemnifiable Claim, irrespective of any right of recovery the Indemnitee may have from the Third-Party Indemnitors, and (ii) be required to advance the full amount of Expenses incurred by the Indemnitee and shall be liable for the full amount of all Expenses, judgments, fines, penalties and amounts paid in settlement to the extent not prohibited by (and not merely to the extent affirmatively permitted by) applicable law and as required by the terms of this Agreement, without regard to any rights the Indemnitee may have against the Third-Party Indemnitors. Under no circumstance shall the Company or any Enterprise be entitled to, and the Company hereby irrevocably waives, relinquishes and releases, any claims against the Third-Party Indemnitors for subrogation, contribution or recovery of any kind and no right of advancement or recovery the Indemnitee may have from the Third-Party Indemnitors shall reduce or otherwise alter the rights of the Indemnitee or the obligations of the Company or any Enterprise. The Company further agrees that no advancement or payment by any Third-Party Indemnitor on behalf of Indemnitee with respect to any Proceeding for which Indemnitee has sought indemnification, exoneration or hold harmless rights from the Company shall affect the foregoing and the Third-Party Indemnitor(s) shall have a right to receive from the Company, contribution and/or be subrogated, to the extent of such advancement or payment to all of the rights of recovery of Indemnitee against the Company. The Company and the Indemnitee agree that each of the Third-Party Indemnitors shall be third-party beneficiaries with respect to this Agreement entitled to enforce this Section 14 as though each such Third-Party Indemnitor were a party to this Agreement.</w:t>
      </w:r>
    </w:p>
    <w:p>
      <w:pPr>
        <w:spacing w:after="0" w:line="105" w:lineRule="exact"/>
        <w:rPr>
          <w:sz w:val="20"/>
          <w:szCs w:val="20"/>
          <w:color w:val="auto"/>
        </w:rPr>
      </w:pPr>
    </w:p>
    <w:p>
      <w:pPr>
        <w:jc w:val="center"/>
        <w:ind w:right="3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09"/>
          </w:cols>
          <w:pgMar w:left="991" w:top="272" w:right="599" w:bottom="1440" w:gutter="0" w:footer="0" w:header="0"/>
        </w:sectPr>
      </w:pPr>
    </w:p>
    <w:bookmarkStart w:id="80" w:name="page81"/>
    <w:bookmarkEnd w:id="80"/>
    <w:p>
      <w:pPr>
        <w:ind w:left="529" w:hanging="529"/>
        <w:spacing w:after="0"/>
        <w:tabs>
          <w:tab w:leader="none" w:pos="52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Non-Exclusivity; Survival of Rights; Subrogation</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right="60" w:hanging="534"/>
        <w:spacing w:after="0" w:line="279" w:lineRule="auto"/>
        <w:tabs>
          <w:tab w:leader="none" w:pos="1509"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rights of indemnification and advancement of Expenses as provided by this Agreement shall not be deemed exclusive of any other rights to which Indemnitee may at any time be entitled under (i) applicable law (including, but not limited to, the MGCL), (ii) the charter or bylaws of the Company, (iii) any agreement or (iv) a resolution of (A) the stockholders entitled to vote generally in the election of directors or (B) the Board of Directors, or otherwise. Unless consented to in writing by Indemnitee,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regardless of whether a claim with respect to such action or inaction is raised prior or subsequent to such amendment, alteration or repeal. No right or remedy herein conferred is intended to be exclusive of any other right or remedy, and every other right or remedy shall be cumulative and in addition to every other right or remedy given hereunder or now or hereafter existing at law or in equity or otherwise. The assertion of any right or remedy hereunder, or otherwise, shall not prohibit the concurrent assertion or employment of any other right or remedy.</w:t>
      </w:r>
    </w:p>
    <w:p>
      <w:pPr>
        <w:spacing w:after="0" w:line="84" w:lineRule="exact"/>
        <w:rPr>
          <w:rFonts w:ascii="Arial" w:cs="Arial" w:eastAsia="Arial" w:hAnsi="Arial"/>
          <w:sz w:val="16"/>
          <w:szCs w:val="16"/>
          <w:color w:val="auto"/>
        </w:rPr>
      </w:pPr>
    </w:p>
    <w:p>
      <w:pPr>
        <w:ind w:left="1509" w:hanging="534"/>
        <w:spacing w:after="0" w:line="250" w:lineRule="auto"/>
        <w:tabs>
          <w:tab w:leader="none" w:pos="1509"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Except as set forth in Section 14,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99" w:lineRule="exact"/>
        <w:rPr>
          <w:rFonts w:ascii="Arial" w:cs="Arial" w:eastAsia="Arial" w:hAnsi="Arial"/>
          <w:sz w:val="18"/>
          <w:szCs w:val="18"/>
          <w:color w:val="auto"/>
        </w:rPr>
      </w:pPr>
    </w:p>
    <w:p>
      <w:pPr>
        <w:ind w:left="529" w:hanging="529"/>
        <w:spacing w:after="0"/>
        <w:tabs>
          <w:tab w:leader="none" w:pos="52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right="80" w:hanging="534"/>
        <w:spacing w:after="0" w:line="280" w:lineRule="auto"/>
        <w:tabs>
          <w:tab w:leader="none" w:pos="1509"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Company shall purchase and maintain a policy or policies of directors and officers insurance with reputable insurance companies. The Company shall continue to provide such insurance coverage to Indemnitee and such insurance policies shall have coverage terms and policy limits at least as favorable to Indemnitee as the insurance coverage provided to any other director or officer of the Company. If the Company has such insurance in effect at the time it receives from Indemnitee any notice of the commencement of an action, suit, proceeding or other claim, the Company shall give prompt notice of the commencement of such action, suit, proceeding or other claim to the insurers and take such other actions in accordance with the procedures set forth in the policy as required or appropriate to secure coverage of Indemnitee for such action, suit, proceeding or other claim. The Company shall thereafter take all reasonably necessary or desirable action to cause such insurers to pay, on behalf of Indemnitee, all amounts payable as a result of such action, suit, proceeding or other claim in accordance with the terms of such</w:t>
      </w:r>
    </w:p>
    <w:p>
      <w:pPr>
        <w:spacing w:after="0" w:line="106"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29"/>
          </w:cols>
          <w:pgMar w:left="991" w:top="272" w:right="579" w:bottom="1440" w:gutter="0" w:footer="0" w:header="0"/>
        </w:sectPr>
      </w:pPr>
    </w:p>
    <w:bookmarkStart w:id="81" w:name="page82"/>
    <w:bookmarkEnd w:id="81"/>
    <w:p>
      <w:pPr>
        <w:ind w:left="150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policy. In the event of a Change in Control that would result in a loss or cancellation of the Company directors’ and officers’ insurance policy or policies, the Company shall purchase a directors and officers “Tail” insurance policy or policies to provide coverage to the Company’s directors and officers for a period of six (6) years after such Change in Control, but only with respect to coverage for claims arising from wrongful acts, errors or omissions occurring before such Change in Control.</w:t>
      </w:r>
    </w:p>
    <w:p>
      <w:pPr>
        <w:spacing w:after="0" w:line="69" w:lineRule="exact"/>
        <w:rPr>
          <w:sz w:val="20"/>
          <w:szCs w:val="20"/>
          <w:color w:val="auto"/>
        </w:rPr>
      </w:pPr>
    </w:p>
    <w:p>
      <w:pPr>
        <w:ind w:left="1509" w:hanging="534"/>
        <w:spacing w:after="0" w:line="279" w:lineRule="auto"/>
        <w:tabs>
          <w:tab w:leader="none" w:pos="1509" w:val="left"/>
        </w:tabs>
        <w:numPr>
          <w:ilvl w:val="1"/>
          <w:numId w:val="73"/>
        </w:numPr>
        <w:rPr>
          <w:rFonts w:ascii="Arial" w:cs="Arial" w:eastAsia="Arial" w:hAnsi="Arial"/>
          <w:sz w:val="16"/>
          <w:szCs w:val="16"/>
          <w:color w:val="auto"/>
        </w:rPr>
      </w:pPr>
      <w:r>
        <w:rPr>
          <w:rFonts w:ascii="Arial" w:cs="Arial" w:eastAsia="Arial" w:hAnsi="Arial"/>
          <w:sz w:val="16"/>
          <w:szCs w:val="16"/>
          <w:color w:val="auto"/>
        </w:rPr>
        <w:t>Without in any way limiting any other obligation under this Agreement, the Company shall indemnify Indemnitee for any payment by Indemnitee which would otherwise be indemnifiable hereunder arising out of the amount of any deductible or retention and the amount of any excess of the aggregate of all judgments, penalties, fines, settlements and Expenses incurred by Indemnitee in connection with a Proceeding over the coverage of any insurance referred to in Section 16(a). The purchase, establishment and maintenance of any such insurance shall not in any way limit or affect the rights or obligations of the Company or Indemnitee under this Agreement except as expressly provided herein, and the execution and delivery of this Agreement by the Company and Indemnitee shall not in any way limit or affect the rights or obligations of the Company under any such insurance policies. If, at the time the Company receives notice from any source of a Proceeding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w:t>
      </w:r>
    </w:p>
    <w:p>
      <w:pPr>
        <w:spacing w:after="0" w:line="84" w:lineRule="exact"/>
        <w:rPr>
          <w:rFonts w:ascii="Arial" w:cs="Arial" w:eastAsia="Arial" w:hAnsi="Arial"/>
          <w:sz w:val="16"/>
          <w:szCs w:val="16"/>
          <w:color w:val="auto"/>
        </w:rPr>
      </w:pPr>
    </w:p>
    <w:p>
      <w:pPr>
        <w:ind w:left="529" w:right="40" w:hanging="529"/>
        <w:spacing w:after="0" w:line="280" w:lineRule="auto"/>
        <w:tabs>
          <w:tab w:leader="none" w:pos="52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Other Sources; Investment Company Act</w:t>
      </w:r>
      <w:r>
        <w:rPr>
          <w:rFonts w:ascii="Arial" w:cs="Arial" w:eastAsia="Arial" w:hAnsi="Arial"/>
          <w:sz w:val="16"/>
          <w:szCs w:val="16"/>
          <w:color w:val="auto"/>
        </w:rPr>
        <w:t>. Notwithstanding any other provision of this Agreement, the Company shall not be liable under this Agreement to make any payment of amounts otherwise indemnifiable or payable or reimbursable as Expenses hereunder if and to the extent that (i) Indemnitee has otherwise actually received such payment under any insurance policy, contract, agreement or otherwise, except as otherwise provided in Section 14 to this Agreement, or (ii) for so long as the Company is subject to the Investment Company Act, indemnification or payment or reimbursement of Expenses would not be permissible under the Investment Company Act, whether pursuant to Section 17(h) of the Investment Company Act or otherwise. In addition, for so long as the Company is subject to the Investment Company Act of 1940, the presumptions, considerations and similar provisions set forth in Section 11(d) and (e) of this Agreement shall be of no force or effect to the extent inconsistent with the Investment Company Act and shall otherwise be construed in a manner to include any additional conditions, restrictions or references required to be contained therein by the Investment Company Act, including, without limitation, the disabling conduct set forth in Section 17(h) of the Investment Company Act.</w:t>
      </w:r>
    </w:p>
    <w:p>
      <w:pPr>
        <w:spacing w:after="0" w:line="79" w:lineRule="exact"/>
        <w:rPr>
          <w:rFonts w:ascii="Arial" w:cs="Arial" w:eastAsia="Arial" w:hAnsi="Arial"/>
          <w:sz w:val="16"/>
          <w:szCs w:val="16"/>
          <w:color w:val="auto"/>
        </w:rPr>
      </w:pPr>
    </w:p>
    <w:p>
      <w:pPr>
        <w:ind w:left="529" w:right="20" w:hanging="529"/>
        <w:spacing w:after="0" w:line="291" w:lineRule="auto"/>
        <w:tabs>
          <w:tab w:leader="none" w:pos="52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in this Agreement is unavailable in whole or in part and may not be paid to Indemnitee for any reason, other than for failure to satisfy the standard of conduct set forth in Section 4 or due to the provisions of Section 5, then, with respect to any Proceeding in which the Company is jointly liable with Indemnitee (or would be if joined in such Proceeding), to the fullest extent permissible under applicable law, the Company, in lieu of indemnifying and holding harmless Indemnitee, shall pay, in</w:t>
      </w:r>
    </w:p>
    <w:p>
      <w:pPr>
        <w:spacing w:after="0" w:line="96"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69"/>
          </w:cols>
          <w:pgMar w:left="991" w:top="272" w:right="639" w:bottom="1440" w:gutter="0" w:footer="0" w:header="0"/>
        </w:sectPr>
      </w:pPr>
    </w:p>
    <w:bookmarkStart w:id="82" w:name="page83"/>
    <w:bookmarkEnd w:id="82"/>
    <w:p>
      <w:pPr>
        <w:ind w:left="549"/>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first instance, the entire amount incurred by Indemnitee, whether for Expenses, judgments, penalties, and/or amounts paid or to be paid in settlement, in connection with any Proceeding without requiring Indemnitee to contribute to such payment, and the Company hereby waives and relinquishes any right of contribution it may have at any time against Indemnitee.</w:t>
      </w:r>
    </w:p>
    <w:p>
      <w:pPr>
        <w:spacing w:after="0" w:line="61" w:lineRule="exact"/>
        <w:rPr>
          <w:sz w:val="20"/>
          <w:szCs w:val="20"/>
          <w:color w:val="auto"/>
        </w:rPr>
      </w:pPr>
    </w:p>
    <w:p>
      <w:pPr>
        <w:ind w:left="529" w:hanging="529"/>
        <w:spacing w:after="0"/>
        <w:tabs>
          <w:tab w:leader="none" w:pos="52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1509" w:right="180" w:hanging="534"/>
        <w:spacing w:after="0" w:line="291" w:lineRule="auto"/>
        <w:tabs>
          <w:tab w:leader="none" w:pos="1509"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This Agreement shall be effective as of the Effective Date and shall apply to acts or omissions of Indemnitee taken in or in connection with Indemnitee’s Corporate Status which occurred prior to such date if Indemnitee was an officer, director, employee or agent of the Company or was a director, trustee, officer, partner, manager, managing member, fiduciary, employee or agent of any Enterprise at the time such act or omission occurred.</w:t>
      </w:r>
    </w:p>
    <w:p>
      <w:pPr>
        <w:spacing w:after="0" w:line="69" w:lineRule="exact"/>
        <w:rPr>
          <w:rFonts w:ascii="Arial" w:cs="Arial" w:eastAsia="Arial" w:hAnsi="Arial"/>
          <w:sz w:val="16"/>
          <w:szCs w:val="16"/>
          <w:color w:val="auto"/>
        </w:rPr>
      </w:pPr>
    </w:p>
    <w:p>
      <w:pPr>
        <w:ind w:left="1509" w:right="40" w:hanging="534"/>
        <w:spacing w:after="0" w:line="307" w:lineRule="auto"/>
        <w:tabs>
          <w:tab w:leader="none" w:pos="1509"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This Agreement shall continue until and terminate on the later of: (i) the date that Indemnitee shall have ceased to serve as a director, officer, employee or agent of the Company or as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and (ii) the date that Indemnitee is no longer subject to any actual or possible Proceeding (including any rights of appeal thereto and any Proceeding commenced by Indemnitee pursuant to Section 12 of this Agreement).</w:t>
      </w:r>
    </w:p>
    <w:p>
      <w:pPr>
        <w:spacing w:after="0" w:line="59" w:lineRule="exact"/>
        <w:rPr>
          <w:rFonts w:ascii="Arial" w:cs="Arial" w:eastAsia="Arial" w:hAnsi="Arial"/>
          <w:sz w:val="15"/>
          <w:szCs w:val="15"/>
          <w:color w:val="auto"/>
        </w:rPr>
      </w:pPr>
    </w:p>
    <w:p>
      <w:pPr>
        <w:ind w:left="1509" w:right="60" w:hanging="534"/>
        <w:spacing w:after="0" w:line="303" w:lineRule="auto"/>
        <w:tabs>
          <w:tab w:leader="none" w:pos="1509"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substantially all or a substantial part, of the business and/or assets of the Company), shall continue as to an Indemnitee who has ceased to be a director, officer, employee or agent of the Company or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and shall inure to the benefit of Indemnitee and Indemnitee’s spouse, assigns, heirs, devisees, executors and administrators and other legal representatives.</w:t>
      </w:r>
    </w:p>
    <w:p>
      <w:pPr>
        <w:spacing w:after="0" w:line="62" w:lineRule="exact"/>
        <w:rPr>
          <w:rFonts w:ascii="Arial" w:cs="Arial" w:eastAsia="Arial" w:hAnsi="Arial"/>
          <w:sz w:val="15"/>
          <w:szCs w:val="15"/>
          <w:color w:val="auto"/>
        </w:rPr>
      </w:pPr>
    </w:p>
    <w:p>
      <w:pPr>
        <w:ind w:left="1509" w:right="60" w:hanging="534"/>
        <w:spacing w:after="0" w:line="287" w:lineRule="auto"/>
        <w:tabs>
          <w:tab w:leader="none" w:pos="1509"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by reason of Indemnitee’s Corporate Status, Indemnitee’s spouse is made a party to any Proceeding, the Company shall indemnify and hold harmless Indemnitee’s spouse against all judgments, penalties, fines and amounts paid in settlement and all Expenses actually and reasonably incurred by Indemnitee’s spouse in connection with any such Proceeding unless (and only to the extent) it is ultimately Adjudged that (a) the act or omission of Indemnitee was material to the matter giving rise to the Proceeding and (i) was committed in bad faith or (ii) was the result</w:t>
      </w:r>
    </w:p>
    <w:p>
      <w:pPr>
        <w:spacing w:after="0" w:line="99"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89"/>
          </w:cols>
          <w:pgMar w:left="991" w:top="272" w:right="619" w:bottom="1440" w:gutter="0" w:footer="0" w:header="0"/>
        </w:sectPr>
      </w:pPr>
    </w:p>
    <w:bookmarkStart w:id="83" w:name="page84"/>
    <w:bookmarkEnd w:id="83"/>
    <w:p>
      <w:pPr>
        <w:ind w:left="106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of active and deliberate dishonesty; (b) Indemnitee actually received an improper personal benefit in money, property or services; or (c) in the case of any criminal Proceeding, Indemnitee had reasonable cause to believe that his conduct was unlawful. Further, Indemnitee’s spouse shall not be entitled to (x) indemnification hereunder if the Proceeding was one by or in the right of the Company and Indemnitee is Adjudged to be liable to the Company; (y) indemnification hereunder if Indemnitee is Adjudged to be liable on the basis that personal benefit was improperly received in any Proceeding charging improper personal benefit to Indemnitee; or (z) indemnification or advancement of Expenses hereunder if the Proceeding was brought by Indemnitee, unless: (i) the Proceeding was brought to establish or enforce indemnification rights under this Agreement, and then only to the extent in accordance with and as authorized by Section 12 of this Agreement, or (ii) the Company’s charter or bylaws, a resolution of the stockholders entitled to vote generally in the election of directors or of the Board of Directors or an agreement approved by the Board of Directors to which the Company is a party, expressly provides otherwise. The foregoing right to indemnification shall include, without limitation, any Proceeding that seeks damages recoverable from marital community property, jointly-owned property or property purported to have been transferred from the Indemnitee to his or her spouse (or former spouse); provided that Indemnitee is indemnified and held harmless for the same pursuant to this Agreement. The Indemnitee’s spouse or former spouse also shall be entitled to advancement of Expenses to the same extent that Indemnitee is entitled to advancement of Expenses herein. The Company may maintain insurance to cover its obligation hereunder with respect to Indemnitee’s spouse (or former spouse) or set aside assets in a trust or escrow fund for that purpose.</w:t>
      </w:r>
    </w:p>
    <w:p>
      <w:pPr>
        <w:spacing w:after="0" w:line="79" w:lineRule="exact"/>
        <w:rPr>
          <w:sz w:val="20"/>
          <w:szCs w:val="20"/>
          <w:color w:val="auto"/>
        </w:rPr>
      </w:pPr>
    </w:p>
    <w:p>
      <w:pPr>
        <w:ind w:left="1060" w:right="60" w:hanging="534"/>
        <w:spacing w:after="0" w:line="291"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69" w:lineRule="exact"/>
        <w:rPr>
          <w:rFonts w:ascii="Arial" w:cs="Arial" w:eastAsia="Arial" w:hAnsi="Arial"/>
          <w:sz w:val="16"/>
          <w:szCs w:val="16"/>
          <w:color w:val="auto"/>
        </w:rPr>
      </w:pPr>
    </w:p>
    <w:p>
      <w:pPr>
        <w:ind w:left="1060" w:right="20" w:hanging="534"/>
        <w:spacing w:after="0" w:line="280"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and Indemnitee agree that a monetary remedy for breach of this Agreement, at some later date, may be inadequate, impracticable and difficult to prove,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Indemnitee shall further be entitled to such injunctive relief and/or specific performance,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a court, and the Company hereby waives any such requirement of such a bond or undertaking.</w:t>
      </w:r>
    </w:p>
    <w:p>
      <w:pPr>
        <w:spacing w:after="0" w:line="1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880"/>
          </w:cols>
          <w:pgMar w:left="1440" w:top="272" w:right="579" w:bottom="1440" w:gutter="0" w:footer="0" w:header="0"/>
        </w:sectPr>
      </w:pPr>
    </w:p>
    <w:bookmarkStart w:id="84" w:name="page85"/>
    <w:bookmarkEnd w:id="84"/>
    <w:p>
      <w:pPr>
        <w:ind w:left="1060" w:hanging="534"/>
        <w:spacing w:after="0" w:line="280"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any provision or provisions of this Agreement shall be held to be invalid, void, illegal or otherwise unenforceable for any reason whatsoever: (i)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79" w:lineRule="exact"/>
        <w:rPr>
          <w:rFonts w:ascii="Arial" w:cs="Arial" w:eastAsia="Arial" w:hAnsi="Arial"/>
          <w:sz w:val="16"/>
          <w:szCs w:val="16"/>
          <w:color w:val="auto"/>
        </w:rPr>
      </w:pPr>
    </w:p>
    <w:p>
      <w:pPr>
        <w:ind w:left="1060" w:right="20" w:hanging="534"/>
        <w:spacing w:after="0" w:line="250"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unless otherwise expressly stated, shall such waiver constitute a continuing waiver.</w:t>
      </w:r>
    </w:p>
    <w:p>
      <w:pPr>
        <w:spacing w:after="0" w:line="99" w:lineRule="exact"/>
        <w:rPr>
          <w:rFonts w:ascii="Arial" w:cs="Arial" w:eastAsia="Arial" w:hAnsi="Arial"/>
          <w:sz w:val="18"/>
          <w:szCs w:val="18"/>
          <w:color w:val="auto"/>
        </w:rPr>
      </w:pPr>
    </w:p>
    <w:p>
      <w:pPr>
        <w:ind w:left="1060" w:right="20" w:hanging="534"/>
        <w:spacing w:after="0" w:line="283"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notices, requests, demands and other communications hereunder shall be in writing and shall be deemed to have been duly given if (i) delivered by hand or overnight courier service and receipted for by the party to whom said notice, request, demand or other communication shall have been directed, on the day of such delivery, or (ii) mailed by certified or registered mail with postage prepaid, on the third business day after the date on which it is so mailed: (i) if to Indemnitee, to the address set forth on the signature page hereto; or (ii) if to the Company, to 1603 Orrington Avenue, Suite 1005, Evanston, Illinois, Attn: Shelby Sherard; or to such other address as may have been furnished in writing to Indemnitee by the Company or to the Company by Indemnitee, as the case may be.</w:t>
      </w:r>
    </w:p>
    <w:p>
      <w:pPr>
        <w:spacing w:after="0" w:line="75" w:lineRule="exact"/>
        <w:rPr>
          <w:rFonts w:ascii="Arial" w:cs="Arial" w:eastAsia="Arial" w:hAnsi="Arial"/>
          <w:sz w:val="16"/>
          <w:szCs w:val="16"/>
          <w:color w:val="auto"/>
        </w:rPr>
      </w:pPr>
    </w:p>
    <w:p>
      <w:pPr>
        <w:ind w:left="1060" w:right="340" w:hanging="534"/>
        <w:spacing w:after="0" w:line="262"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Maryland, without regard to its conflicts of laws rules.</w:t>
      </w:r>
    </w:p>
    <w:p>
      <w:pPr>
        <w:spacing w:after="0" w:line="88" w:lineRule="exact"/>
        <w:rPr>
          <w:rFonts w:ascii="Arial" w:cs="Arial" w:eastAsia="Arial" w:hAnsi="Arial"/>
          <w:sz w:val="18"/>
          <w:szCs w:val="18"/>
          <w:color w:val="auto"/>
        </w:rPr>
      </w:pPr>
    </w:p>
    <w:p>
      <w:pPr>
        <w:ind w:left="1060" w:hanging="534"/>
        <w:spacing w:after="0" w:line="250"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(delivery of which may be in electronic format), each of which shall for all purposes be deemed to be an original and all of which together shall constitute one and the same Agreement. One such counterpart signed by the party against whom enforceability is sought shall be sufficient to evidence the existence of this Agreement.</w:t>
      </w:r>
    </w:p>
    <w:p>
      <w:pPr>
        <w:spacing w:after="0" w:line="1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880"/>
          </w:cols>
          <w:pgMar w:left="1440" w:top="272" w:right="57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Agreement as of the day and year first above written:</w:t>
      </w:r>
    </w:p>
    <w:p>
      <w:pPr>
        <w:spacing w:after="0" w:line="26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FIDUS INVESTMENT CORPORATION</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10160</wp:posOffset>
            </wp:positionV>
            <wp:extent cx="25349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53492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23926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39268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10160</wp:posOffset>
            </wp:positionV>
            <wp:extent cx="24511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451100" cy="8255"/>
                    </a:xfrm>
                    <a:prstGeom prst="rect">
                      <a:avLst/>
                    </a:prstGeom>
                    <a:noFill/>
                  </pic:spPr>
                </pic:pic>
              </a:graphicData>
            </a:graphic>
          </wp:anchor>
        </w:drawing>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278130</wp:posOffset>
            </wp:positionV>
            <wp:extent cx="2727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72732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286385</wp:posOffset>
            </wp:positionV>
            <wp:extent cx="2727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727325"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144145</wp:posOffset>
            </wp:positionV>
            <wp:extent cx="2727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727325" cy="8255"/>
                    </a:xfrm>
                    <a:prstGeom prst="rect">
                      <a:avLst/>
                    </a:prstGeom>
                    <a:noFill/>
                  </pic:spPr>
                </pic:pic>
              </a:graphicData>
            </a:graphic>
          </wp:anchor>
        </w:drawing>
        <w:drawing>
          <wp:anchor simplePos="0" relativeHeight="251657728" behindDoc="1" locked="0" layoutInCell="0" allowOverlap="1">
            <wp:simplePos x="0" y="0"/>
            <wp:positionH relativeFrom="column">
              <wp:posOffset>4264660</wp:posOffset>
            </wp:positionH>
            <wp:positionV relativeFrom="paragraph">
              <wp:posOffset>10160</wp:posOffset>
            </wp:positionV>
            <wp:extent cx="22923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459"/>
          </w:cols>
          <w:pgMar w:left="1000" w:top="272"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AFFIRMATION AND UNDERTAKING TO REPAY EXPENSES ADVANCED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Fidus Investment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 Affirmation and Undertaking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5" w:lineRule="exact"/>
        <w:rPr>
          <w:sz w:val="20"/>
          <w:szCs w:val="20"/>
          <w:color w:val="auto"/>
        </w:rPr>
      </w:pPr>
    </w:p>
    <w:p>
      <w:pPr>
        <w:ind w:right="320" w:firstLine="430"/>
        <w:spacing w:after="0" w:line="300" w:lineRule="auto"/>
        <w:rPr>
          <w:sz w:val="20"/>
          <w:szCs w:val="20"/>
          <w:color w:val="auto"/>
        </w:rPr>
      </w:pPr>
      <w:r>
        <w:rPr>
          <w:rFonts w:ascii="Arial" w:cs="Arial" w:eastAsia="Arial" w:hAnsi="Arial"/>
          <w:sz w:val="16"/>
          <w:szCs w:val="16"/>
          <w:color w:val="auto"/>
        </w:rPr>
        <w:t>This Affirmation and Undertaking is being provided pursuant to the Indemnification Agreement, dated as of the [EFFECTIVE DATE], by and between Fidus Investment Corporation, a Maryland corporation (the “Company”), and me as the undersigned Indemnitee (the “Indemnification Agreement”), pursuant to which I am entitled to advancement of Expenses in connection with [</w:t>
      </w:r>
      <w:r>
        <w:rPr>
          <w:rFonts w:ascii="Arial" w:cs="Arial" w:eastAsia="Arial" w:hAnsi="Arial"/>
          <w:sz w:val="16"/>
          <w:szCs w:val="16"/>
          <w:u w:val="single" w:color="auto"/>
          <w:color w:val="auto"/>
        </w:rPr>
        <w:t>Description of Proceeding</w:t>
      </w:r>
      <w:r>
        <w:rPr>
          <w:rFonts w:ascii="Arial" w:cs="Arial" w:eastAsia="Arial" w:hAnsi="Arial"/>
          <w:sz w:val="16"/>
          <w:szCs w:val="16"/>
          <w:color w:val="auto"/>
        </w:rPr>
        <w:t>] (the “Proceeding”).</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used herein and not otherwise defined shall have the meanings specified in the Indemnification Agreement.</w:t>
      </w:r>
    </w:p>
    <w:p>
      <w:pPr>
        <w:spacing w:after="0" w:line="215" w:lineRule="exact"/>
        <w:rPr>
          <w:sz w:val="20"/>
          <w:szCs w:val="20"/>
          <w:color w:val="auto"/>
        </w:rPr>
      </w:pPr>
    </w:p>
    <w:p>
      <w:pPr>
        <w:ind w:right="80" w:firstLine="430"/>
        <w:spacing w:after="0" w:line="287" w:lineRule="auto"/>
        <w:rPr>
          <w:sz w:val="20"/>
          <w:szCs w:val="20"/>
          <w:color w:val="auto"/>
        </w:rPr>
      </w:pPr>
      <w:r>
        <w:rPr>
          <w:rFonts w:ascii="Arial" w:cs="Arial" w:eastAsia="Arial" w:hAnsi="Arial"/>
          <w:sz w:val="16"/>
          <w:szCs w:val="16"/>
          <w:color w:val="auto"/>
        </w:rPr>
        <w:t>I am subject to the Proceeding by reason of my Corporate Status or by reason of alleged actions or omissions by me in such capacity. I hereby affirm my good faith belief that at all times, insofar as I was involved as [a director][an officer] of the Company, in any of the facts or events giving rise to the Proceeding, I (i) did not act with willful misfeasance,* bad faith, gross negligence,* active and deliberate dishonesty or reckless disregard of duties,* (ii) did not receive any improper personal benefit in money, property or services and (iii) in the case of any criminal proceeding, had no reasonable cause to believe that any act or omission by me was unlawful.</w:t>
      </w:r>
    </w:p>
    <w:p>
      <w:pPr>
        <w:spacing w:after="0" w:line="165"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In consideration of the advancement of Expenses by the Company for Expenses incurred by me in connection with the Proceeding (the “Advanced Expenses”), I hereby agree that if, in connection with the Proceeding, it is Adjudged that (i) an act or omission by me was material to the matter giving rise to the Proceeding and (A) was committed in bad faith or (B) was the result of willful misfeasance,* gross negligence,* active and deliberate dishonesty or reckless disregard of duty,* (ii) I actually received an improper personal benefit in money, property or services, or (iii) in the case of any criminal proceeding, I had reasonable cause to believe that the act or omission was unlawful, then I shall promptly reimburse the portion of the Advanced Expenses relating to the claims, issues or matters in the Proceeding as to which the foregoing findings have been established.</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I have executed this Affirmation and Undertaking on this _____ day of _______________, 20____.</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-13970</wp:posOffset>
            </wp:positionV>
            <wp:extent cx="15887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195" w:lineRule="exact"/>
        <w:rPr>
          <w:sz w:val="20"/>
          <w:szCs w:val="20"/>
          <w:color w:val="auto"/>
        </w:rPr>
      </w:pPr>
    </w:p>
    <w:p>
      <w:pPr>
        <w:ind w:right="220" w:firstLine="9"/>
        <w:spacing w:after="0" w:line="262" w:lineRule="auto"/>
        <w:tabs>
          <w:tab w:leader="none" w:pos="1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references can be deleted in any Affirmation and Undertaking if at the time of the submission thereof the Company is no longer subject to the Investment Company Act of 1940.</w:t>
      </w:r>
    </w:p>
    <w:p>
      <w:pPr>
        <w:sectPr>
          <w:pgSz w:w="11900" w:h="16838" w:orient="portrait"/>
          <w:cols w:equalWidth="0" w:num="1">
            <w:col w:w="10760"/>
          </w:cols>
          <w:pgMar w:left="560" w:top="266" w:right="5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22" w:lineRule="exact"/>
        <w:rPr>
          <w:sz w:val="20"/>
          <w:szCs w:val="20"/>
          <w:color w:val="auto"/>
        </w:rPr>
      </w:pPr>
    </w:p>
    <w:p>
      <w:pPr>
        <w:ind w:left="440" w:hanging="431"/>
        <w:spacing w:after="0"/>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22" w:lineRule="exact"/>
        <w:rPr>
          <w:rFonts w:ascii="Arial" w:cs="Arial" w:eastAsia="Arial" w:hAnsi="Arial"/>
          <w:sz w:val="18"/>
          <w:szCs w:val="18"/>
          <w:color w:val="auto"/>
        </w:rPr>
      </w:pPr>
    </w:p>
    <w:p>
      <w:pPr>
        <w:jc w:val="both"/>
        <w:ind w:left="440" w:right="120" w:hanging="431"/>
        <w:spacing w:after="0" w:line="253"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8"/>
          <w:szCs w:val="18"/>
          <w:color w:val="auto"/>
        </w:rPr>
      </w:pPr>
    </w:p>
    <w:p>
      <w:pPr>
        <w:ind w:left="440" w:right="80" w:hanging="431"/>
        <w:spacing w:after="0" w:line="325"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6"/>
          <w:szCs w:val="16"/>
          <w:color w:val="auto"/>
        </w:rPr>
      </w:pPr>
    </w:p>
    <w:p>
      <w:pPr>
        <w:ind w:left="440" w:right="120" w:hanging="431"/>
        <w:spacing w:after="0" w:line="282"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0" w:lineRule="exact"/>
        <w:rPr>
          <w:rFonts w:ascii="Arial" w:cs="Arial" w:eastAsia="Arial" w:hAnsi="Arial"/>
          <w:sz w:val="16"/>
          <w:szCs w:val="16"/>
          <w:color w:val="auto"/>
        </w:rPr>
      </w:pPr>
    </w:p>
    <w:p>
      <w:pPr>
        <w:ind w:left="960" w:right="20" w:hanging="529"/>
        <w:spacing w:after="0" w:line="253" w:lineRule="auto"/>
        <w:tabs>
          <w:tab w:leader="none" w:pos="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ind w:left="960" w:right="140" w:hanging="529"/>
        <w:spacing w:after="0" w:line="253" w:lineRule="auto"/>
        <w:tabs>
          <w:tab w:leader="none" w:pos="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960" w:right="320" w:hanging="529"/>
        <w:spacing w:after="0" w:line="362" w:lineRule="auto"/>
        <w:tabs>
          <w:tab w:leader="none" w:pos="960" w:val="left"/>
        </w:tabs>
        <w:numPr>
          <w:ilvl w:val="1"/>
          <w:numId w:val="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960" w:right="20" w:hanging="529"/>
        <w:spacing w:after="0" w:line="253" w:lineRule="auto"/>
        <w:tabs>
          <w:tab w:leader="none" w:pos="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ind w:left="440" w:right="80" w:hanging="431"/>
        <w:spacing w:after="0" w:line="325"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6"/>
          <w:szCs w:val="16"/>
          <w:color w:val="auto"/>
        </w:rPr>
      </w:pPr>
    </w:p>
    <w:p>
      <w:pPr>
        <w:ind w:left="960" w:right="540" w:hanging="529"/>
        <w:spacing w:after="0" w:line="325" w:lineRule="auto"/>
        <w:tabs>
          <w:tab w:leader="none" w:pos="9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960" w:right="240" w:hanging="529"/>
        <w:spacing w:after="0" w:line="262" w:lineRule="auto"/>
        <w:tabs>
          <w:tab w:leader="none" w:pos="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EDWARD H. ROSS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760"/>
          </w:cols>
          <w:pgMar w:left="560" w:top="121" w:right="5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22" w:lineRule="exact"/>
        <w:rPr>
          <w:sz w:val="20"/>
          <w:szCs w:val="20"/>
          <w:color w:val="auto"/>
        </w:rPr>
      </w:pPr>
    </w:p>
    <w:p>
      <w:pPr>
        <w:ind w:left="440" w:hanging="431"/>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22" w:lineRule="exact"/>
        <w:rPr>
          <w:rFonts w:ascii="Arial" w:cs="Arial" w:eastAsia="Arial" w:hAnsi="Arial"/>
          <w:sz w:val="18"/>
          <w:szCs w:val="18"/>
          <w:color w:val="auto"/>
        </w:rPr>
      </w:pPr>
    </w:p>
    <w:p>
      <w:pPr>
        <w:jc w:val="both"/>
        <w:ind w:left="440" w:right="120" w:hanging="431"/>
        <w:spacing w:after="0" w:line="253" w:lineRule="auto"/>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8"/>
          <w:szCs w:val="18"/>
          <w:color w:val="auto"/>
        </w:rPr>
      </w:pPr>
    </w:p>
    <w:p>
      <w:pPr>
        <w:ind w:left="440" w:right="80" w:hanging="431"/>
        <w:spacing w:after="0" w:line="325"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6"/>
          <w:szCs w:val="16"/>
          <w:color w:val="auto"/>
        </w:rPr>
      </w:pPr>
    </w:p>
    <w:p>
      <w:pPr>
        <w:ind w:left="440" w:right="120" w:hanging="431"/>
        <w:spacing w:after="0" w:line="282"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0" w:lineRule="exact"/>
        <w:rPr>
          <w:rFonts w:ascii="Arial" w:cs="Arial" w:eastAsia="Arial" w:hAnsi="Arial"/>
          <w:sz w:val="16"/>
          <w:szCs w:val="16"/>
          <w:color w:val="auto"/>
        </w:rPr>
      </w:pPr>
    </w:p>
    <w:p>
      <w:pPr>
        <w:ind w:left="960" w:right="20" w:hanging="529"/>
        <w:spacing w:after="0" w:line="253" w:lineRule="auto"/>
        <w:tabs>
          <w:tab w:leader="none" w:pos="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ind w:left="960" w:right="140" w:hanging="529"/>
        <w:spacing w:after="0" w:line="253" w:lineRule="auto"/>
        <w:tabs>
          <w:tab w:leader="none" w:pos="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960" w:right="320" w:hanging="529"/>
        <w:spacing w:after="0" w:line="362" w:lineRule="auto"/>
        <w:tabs>
          <w:tab w:leader="none" w:pos="960" w:val="left"/>
        </w:tabs>
        <w:numPr>
          <w:ilvl w:val="1"/>
          <w:numId w:val="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960" w:right="20" w:hanging="529"/>
        <w:spacing w:after="0" w:line="253" w:lineRule="auto"/>
        <w:tabs>
          <w:tab w:leader="none" w:pos="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ind w:left="440" w:right="80" w:hanging="431"/>
        <w:spacing w:after="0" w:line="325"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6"/>
          <w:szCs w:val="16"/>
          <w:color w:val="auto"/>
        </w:rPr>
      </w:pPr>
    </w:p>
    <w:p>
      <w:pPr>
        <w:ind w:left="960" w:right="540" w:hanging="529"/>
        <w:spacing w:after="0" w:line="325" w:lineRule="auto"/>
        <w:tabs>
          <w:tab w:leader="none" w:pos="9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960" w:right="240" w:hanging="529"/>
        <w:spacing w:after="0" w:line="262" w:lineRule="auto"/>
        <w:tabs>
          <w:tab w:leader="none" w:pos="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SHELBY E. SHERARD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Shelby E. Sherard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60"/>
          </w:cols>
          <w:pgMar w:left="560" w:top="121" w:right="5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June 30, 2021,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9" w:lineRule="exact"/>
        <w:rPr>
          <w:sz w:val="20"/>
          <w:szCs w:val="20"/>
          <w:color w:val="auto"/>
        </w:rPr>
      </w:pPr>
    </w:p>
    <w:p>
      <w:pPr>
        <w:ind w:left="960" w:hanging="529"/>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2" w:lineRule="exact"/>
        <w:rPr>
          <w:rFonts w:ascii="Arial" w:cs="Arial" w:eastAsia="Arial" w:hAnsi="Arial"/>
          <w:sz w:val="18"/>
          <w:szCs w:val="18"/>
          <w:color w:val="auto"/>
        </w:rPr>
      </w:pPr>
    </w:p>
    <w:p>
      <w:pPr>
        <w:ind w:left="960" w:right="380" w:hanging="529"/>
        <w:spacing w:after="0" w:line="262"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20"/>
                <w:szCs w:val="20"/>
                <w:color w:val="auto"/>
              </w:rPr>
            </w:pPr>
            <w:r>
              <w:rPr>
                <w:rFonts w:ascii="Arial" w:cs="Arial" w:eastAsia="Arial" w:hAnsi="Arial"/>
                <w:sz w:val="18"/>
                <w:szCs w:val="18"/>
                <w:color w:val="auto"/>
              </w:rPr>
              <w:t>Date: August 5, 2021</w:t>
            </w:r>
          </w:p>
        </w:tc>
        <w:tc>
          <w:tcPr>
            <w:tcW w:w="3160" w:type="dxa"/>
            <w:vAlign w:val="bottom"/>
            <w:gridSpan w:val="3"/>
          </w:tcPr>
          <w:p>
            <w:pPr>
              <w:spacing w:after="0"/>
              <w:rPr>
                <w:sz w:val="20"/>
                <w:szCs w:val="20"/>
                <w:color w:val="auto"/>
              </w:rPr>
            </w:pPr>
            <w:r>
              <w:rPr>
                <w:rFonts w:ascii="Arial" w:cs="Arial" w:eastAsia="Arial" w:hAnsi="Arial"/>
                <w:sz w:val="18"/>
                <w:szCs w:val="18"/>
                <w:color w:val="auto"/>
              </w:rPr>
              <w:t>/s/ EDWARD H. ROSS</w:t>
            </w:r>
          </w:p>
        </w:tc>
      </w:tr>
      <w:tr>
        <w:trPr>
          <w:trHeight w:val="218"/>
        </w:trPr>
        <w:tc>
          <w:tcPr>
            <w:tcW w:w="614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Edward H. Ross</w:t>
            </w:r>
          </w:p>
        </w:tc>
        <w:tc>
          <w:tcPr>
            <w:tcW w:w="1500" w:type="dxa"/>
            <w:vAlign w:val="bottom"/>
            <w:gridSpan w:val="2"/>
          </w:tcPr>
          <w:p>
            <w:pPr>
              <w:spacing w:after="0"/>
              <w:rPr>
                <w:sz w:val="18"/>
                <w:szCs w:val="18"/>
                <w:color w:val="auto"/>
              </w:rPr>
            </w:pPr>
          </w:p>
        </w:tc>
      </w:tr>
      <w:tr>
        <w:trPr>
          <w:trHeight w:val="211"/>
        </w:trPr>
        <w:tc>
          <w:tcPr>
            <w:tcW w:w="614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6140" w:type="dxa"/>
            <w:vAlign w:val="bottom"/>
          </w:tcPr>
          <w:p>
            <w:pPr>
              <w:spacing w:after="0"/>
              <w:rPr>
                <w:sz w:val="19"/>
                <w:szCs w:val="19"/>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83"/>
        </w:trPr>
        <w:tc>
          <w:tcPr>
            <w:tcW w:w="6140" w:type="dxa"/>
            <w:vAlign w:val="bottom"/>
          </w:tcPr>
          <w:p>
            <w:pPr>
              <w:spacing w:after="0"/>
              <w:rPr>
                <w:sz w:val="24"/>
                <w:szCs w:val="24"/>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SHELBY E. SHERARD</w:t>
            </w:r>
          </w:p>
        </w:tc>
        <w:tc>
          <w:tcPr>
            <w:tcW w:w="1200" w:type="dxa"/>
            <w:vAlign w:val="bottom"/>
          </w:tcPr>
          <w:p>
            <w:pPr>
              <w:spacing w:after="0"/>
              <w:rPr>
                <w:sz w:val="24"/>
                <w:szCs w:val="24"/>
                <w:color w:val="auto"/>
              </w:rPr>
            </w:pPr>
          </w:p>
        </w:tc>
      </w:tr>
      <w:tr>
        <w:trPr>
          <w:trHeight w:val="218"/>
        </w:trPr>
        <w:tc>
          <w:tcPr>
            <w:tcW w:w="614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Shelby E. Sherard</w:t>
            </w:r>
          </w:p>
        </w:tc>
      </w:tr>
      <w:tr>
        <w:trPr>
          <w:trHeight w:val="211"/>
        </w:trPr>
        <w:tc>
          <w:tcPr>
            <w:tcW w:w="614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6140" w:type="dxa"/>
            <w:vAlign w:val="bottom"/>
          </w:tcPr>
          <w:p>
            <w:pPr>
              <w:spacing w:after="0"/>
              <w:rPr>
                <w:sz w:val="19"/>
                <w:szCs w:val="19"/>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w w:val="90"/>
              </w:rPr>
              <w:t>(Principal Financial and Accounting Officer)</w:t>
            </w:r>
          </w:p>
        </w:tc>
      </w:tr>
    </w:tbl>
    <w:p>
      <w:pPr>
        <w:spacing w:after="0" w:line="1" w:lineRule="exact"/>
        <w:rPr>
          <w:sz w:val="20"/>
          <w:szCs w:val="20"/>
          <w:color w:val="auto"/>
        </w:rPr>
      </w:pPr>
    </w:p>
    <w:sectPr>
      <w:pgSz w:w="11900" w:h="16838" w:orient="portrait"/>
      <w:cols w:equalWidth="0" w:num="1">
        <w:col w:w="10760"/>
      </w:cols>
      <w:pgMar w:left="560" w:top="12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1)"/>
      <w:numFmt w:val="lowerLetter"/>
      <w:start w:val="23"/>
    </w:lvl>
  </w:abstractNum>
  <w:abstractNum w:abstractNumId="4">
    <w:nsid w:val="2A487CB0"/>
    <w:multiLevelType w:val="hybridMultilevel"/>
    <w:lvl w:ilvl="0">
      <w:lvlJc w:val="left"/>
      <w:lvlText w:val="(%1)"/>
      <w:numFmt w:val="lowerLetter"/>
      <w:start w:val="27"/>
    </w:lvl>
  </w:abstractNum>
  <w:abstractNum w:abstractNumId="5">
    <w:nsid w:val="1D4ED43B"/>
    <w:multiLevelType w:val="hybridMultilevel"/>
    <w:lvl w:ilvl="0">
      <w:lvlJc w:val="left"/>
      <w:lvlText w:val="(%1)"/>
      <w:numFmt w:val="lowerLetter"/>
      <w:start w:val="1"/>
    </w:lvl>
  </w:abstractNum>
  <w:abstractNum w:abstractNumId="6">
    <w:nsid w:val="725A06FB"/>
    <w:multiLevelType w:val="hybridMultilevel"/>
    <w:lvl w:ilvl="0">
      <w:lvlJc w:val="left"/>
      <w:lvlText w:val="(%1)"/>
      <w:numFmt w:val="lowerLetter"/>
      <w:start w:val="25"/>
    </w:lvl>
  </w:abstractNum>
  <w:abstractNum w:abstractNumId="7">
    <w:nsid w:val="2CD89A32"/>
    <w:multiLevelType w:val="hybridMultilevel"/>
    <w:lvl w:ilvl="0">
      <w:lvlJc w:val="left"/>
      <w:lvlText w:val="(%1)"/>
      <w:numFmt w:val="lowerLetter"/>
      <w:start w:val="27"/>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lowerRoman"/>
      <w:start w:val="1"/>
    </w:lvl>
  </w:abstractNum>
  <w:abstractNum w:abstractNumId="20">
    <w:nsid w:val="1BA026FA"/>
    <w:multiLevelType w:val="hybridMultilevel"/>
    <w:lvl w:ilvl="0">
      <w:lvlJc w:val="left"/>
      <w:lvlText w:val="(%1)"/>
      <w:numFmt w:val="upperLetter"/>
      <w:start w:val="3"/>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upperLetter"/>
      <w:start w:val="3"/>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1"/>
    </w:lvl>
    <w:lvl w:ilvl="1">
      <w:lvlJc w:val="left"/>
      <w:lvlText w:val="%2."/>
      <w:numFmt w:val="lowerLetter"/>
      <w:start w:val="1"/>
    </w:lvl>
  </w:abstractNum>
  <w:abstractNum w:abstractNumId="54">
    <w:nsid w:val="5DB70AE5"/>
    <w:multiLevelType w:val="hybridMultilevel"/>
    <w:lvl w:ilvl="0">
      <w:lvlJc w:val="left"/>
      <w:lvlText w:val="%1."/>
      <w:numFmt w:val="lowerLetter"/>
      <w:start w:val="3"/>
    </w:lvl>
  </w:abstractNum>
  <w:abstractNum w:abstractNumId="55">
    <w:nsid w:val="100F8FCA"/>
    <w:multiLevelType w:val="hybridMultilevel"/>
    <w:lvl w:ilvl="0">
      <w:lvlJc w:val="left"/>
      <w:lvlText w:val="%1."/>
      <w:numFmt w:val="lowerLetter"/>
      <w:start w:val="7"/>
    </w:lvl>
  </w:abstractNum>
  <w:abstractNum w:abstractNumId="56">
    <w:nsid w:val="6590700B"/>
    <w:multiLevelType w:val="hybridMultilevel"/>
    <w:lvl w:ilvl="0">
      <w:lvlJc w:val="left"/>
      <w:lvlText w:val="%1"/>
      <w:numFmt w:val="decimal"/>
      <w:start w:val="1"/>
    </w:lvl>
    <w:lvl w:ilvl="1">
      <w:lvlJc w:val="left"/>
      <w:lvlText w:val="%2."/>
      <w:numFmt w:val="lowerLetter"/>
      <w:start w:val="11"/>
    </w:lvl>
  </w:abstractNum>
  <w:abstractNum w:abstractNumId="57">
    <w:nsid w:val="15014ACB"/>
    <w:multiLevelType w:val="hybridMultilevel"/>
    <w:lvl w:ilvl="0">
      <w:lvlJc w:val="left"/>
      <w:lvlText w:val="%1."/>
      <w:numFmt w:val="decimal"/>
      <w:start w:val="2"/>
    </w:lvl>
    <w:lvl w:ilvl="1">
      <w:lvlJc w:val="left"/>
      <w:lvlText w:val="%2"/>
      <w:numFmt w:val="lowerLetter"/>
      <w:start w:val="1"/>
    </w:lvl>
  </w:abstractNum>
  <w:abstractNum w:abstractNumId="58">
    <w:nsid w:val="5F5E7FD0"/>
    <w:multiLevelType w:val="hybridMultilevel"/>
    <w:lvl w:ilvl="0">
      <w:lvlJc w:val="left"/>
      <w:lvlText w:val="%1."/>
      <w:numFmt w:val="decimal"/>
      <w:start w:val="4"/>
    </w:lvl>
    <w:lvl w:ilvl="1">
      <w:lvlJc w:val="left"/>
      <w:lvlText w:val="%2."/>
      <w:numFmt w:val="lowerLetter"/>
      <w:start w:val="1"/>
    </w:lvl>
  </w:abstractNum>
  <w:abstractNum w:abstractNumId="59">
    <w:nsid w:val="98A3148"/>
    <w:multiLevelType w:val="hybridMultilevel"/>
    <w:lvl w:ilvl="0">
      <w:lvlJc w:val="left"/>
      <w:lvlText w:val="%1."/>
      <w:numFmt w:val="decimal"/>
      <w:start w:val="7"/>
    </w:lvl>
  </w:abstractNum>
  <w:abstractNum w:abstractNumId="60">
    <w:nsid w:val="799D024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2"/>
    </w:lvl>
  </w:abstractNum>
  <w:abstractNum w:abstractNumId="61">
    <w:nsid w:val="6B94764"/>
    <w:multiLevelType w:val="hybridMultilevel"/>
    <w:lvl w:ilvl="0">
      <w:lvlJc w:val="left"/>
      <w:lvlText w:val="%1"/>
      <w:numFmt w:val="decimal"/>
      <w:start w:val="1"/>
    </w:lvl>
    <w:lvl w:ilvl="1">
      <w:lvlJc w:val="left"/>
      <w:lvlText w:val="%2."/>
      <w:numFmt w:val="lowerLetter"/>
      <w:start w:val="3"/>
    </w:lvl>
  </w:abstractNum>
  <w:abstractNum w:abstractNumId="62">
    <w:nsid w:val="42C296BD"/>
    <w:multiLevelType w:val="hybridMultilevel"/>
    <w:lvl w:ilvl="0">
      <w:lvlJc w:val="left"/>
      <w:lvlText w:val="%1."/>
      <w:numFmt w:val="decimal"/>
      <w:start w:val="11"/>
    </w:lvl>
    <w:lvl w:ilvl="1">
      <w:lvlJc w:val="left"/>
      <w:lvlText w:val="%2."/>
      <w:numFmt w:val="lowerLetter"/>
      <w:start w:val="1"/>
    </w:lvl>
  </w:abstractNum>
  <w:abstractNum w:abstractNumId="63">
    <w:nsid w:val="168E121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4">
    <w:nsid w:val="1EBA5D2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3"/>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7">
    <w:nsid w:val="540A471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8">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9">
    <w:nsid w:val="51D9C564"/>
    <w:multiLevelType w:val="hybridMultilevel"/>
    <w:lvl w:ilvl="0">
      <w:lvlJc w:val="left"/>
      <w:lvlText w:val="%1"/>
      <w:numFmt w:val="decimal"/>
      <w:start w:val="1"/>
    </w:lvl>
    <w:lvl w:ilvl="1">
      <w:lvlJc w:val="left"/>
      <w:lvlText w:val="%2."/>
      <w:numFmt w:val="lowerLetter"/>
      <w:start w:val="3"/>
    </w:lvl>
  </w:abstractNum>
  <w:abstractNum w:abstractNumId="70">
    <w:nsid w:val="613EFDC5"/>
    <w:multiLevelType w:val="hybridMultilevel"/>
    <w:lvl w:ilvl="0">
      <w:lvlJc w:val="left"/>
      <w:lvlText w:val="%1."/>
      <w:numFmt w:val="decimal"/>
      <w:start w:val="14"/>
    </w:lvl>
    <w:lvl w:ilvl="1">
      <w:lvlJc w:val="left"/>
      <w:lvlText w:val="%2"/>
      <w:numFmt w:val="lowerLetter"/>
      <w:start w:val="1"/>
    </w:lvl>
  </w:abstractNum>
  <w:abstractNum w:abstractNumId="71">
    <w:nsid w:val="BF72B14"/>
    <w:multiLevelType w:val="hybridMultilevel"/>
    <w:lvl w:ilvl="0">
      <w:lvlJc w:val="left"/>
      <w:lvlText w:val="%1."/>
      <w:numFmt w:val="decimal"/>
      <w:start w:val="15"/>
    </w:lvl>
    <w:lvl w:ilvl="1">
      <w:lvlJc w:val="left"/>
      <w:lvlText w:val="%2."/>
      <w:numFmt w:val="lowerLetter"/>
      <w:start w:val="1"/>
    </w:lvl>
  </w:abstractNum>
  <w:abstractNum w:abstractNumId="72">
    <w:nsid w:val="11447B73"/>
    <w:multiLevelType w:val="hybridMultilevel"/>
    <w:lvl w:ilvl="0">
      <w:lvlJc w:val="left"/>
      <w:lvlText w:val="%1"/>
      <w:numFmt w:val="decimal"/>
      <w:start w:val="1"/>
    </w:lvl>
    <w:lvl w:ilvl="1">
      <w:lvlJc w:val="left"/>
      <w:lvlText w:val="%2."/>
      <w:numFmt w:val="lowerLetter"/>
      <w:start w:val="2"/>
    </w:lvl>
  </w:abstractNum>
  <w:abstractNum w:abstractNumId="73">
    <w:nsid w:val="42963E5A"/>
    <w:multiLevelType w:val="hybridMultilevel"/>
    <w:lvl w:ilvl="0">
      <w:lvlJc w:val="left"/>
      <w:lvlText w:val="%1."/>
      <w:numFmt w:val="decimal"/>
      <w:start w:val="17"/>
    </w:lvl>
    <w:lvl w:ilvl="1">
      <w:lvlJc w:val="left"/>
      <w:lvlText w:val="%2"/>
      <w:numFmt w:val="lowerLetter"/>
      <w:start w:val="1"/>
    </w:lvl>
  </w:abstractNum>
  <w:abstractNum w:abstractNumId="74">
    <w:nsid w:val="A0382C5"/>
    <w:multiLevelType w:val="hybridMultilevel"/>
    <w:lvl w:ilvl="0">
      <w:lvlJc w:val="left"/>
      <w:lvlText w:val="%1."/>
      <w:numFmt w:val="decimal"/>
      <w:start w:val="19"/>
    </w:lvl>
    <w:lvl w:ilvl="1">
      <w:lvlJc w:val="left"/>
      <w:lvlText w:val="%2."/>
      <w:numFmt w:val="lowerLetter"/>
      <w:start w:val="1"/>
    </w:lvl>
  </w:abstractNum>
  <w:abstractNum w:abstractNumId="75">
    <w:nsid w:val="8F2B15E"/>
    <w:multiLevelType w:val="hybridMultilevel"/>
    <w:lvl w:ilvl="0">
      <w:lvlJc w:val="left"/>
      <w:lvlText w:val="%1."/>
      <w:numFmt w:val="lowerLetter"/>
      <w:start w:val="5"/>
    </w:lvl>
  </w:abstractNum>
  <w:abstractNum w:abstractNumId="76">
    <w:nsid w:val="1A32234B"/>
    <w:multiLevelType w:val="hybridMultilevel"/>
    <w:lvl w:ilvl="0">
      <w:lvlJc w:val="left"/>
      <w:lvlText w:val="%1."/>
      <w:numFmt w:val="lowerLetter"/>
      <w:start w:val="7"/>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89" Type="http://schemas.openxmlformats.org/officeDocument/2006/relationships/hyperlink" Target="http://www.sec.gov/Archives/edgar/data/1513363/000095012311041885/w81466a2exv99wxayx1y.htm" TargetMode="External"/><Relationship Id="rId90" Type="http://schemas.openxmlformats.org/officeDocument/2006/relationships/hyperlink" Target="http://www.sec.gov/Archives/edgar/data/1513363/000095012311041885/w81466a2exv99wxbyx1y.htm" TargetMode="External"/><Relationship Id="rId91" Type="http://schemas.openxmlformats.org/officeDocument/2006/relationships/hyperlink" Target="http://www.sec.gov/Archives/edgar/data/1513363/000095012311041885/w81466a2exv99wxd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2021-08-05T15:59:55Z</dcterms:created>
  <dcterms:modified xsi:type="dcterms:W3CDTF">2021-08-05T15:59:55Z</dcterms:modified>
</cp:coreProperties>
</file>