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65"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814-00861</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Fidus Investment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618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98"/>
              </w:rPr>
              <w:t>Maryland</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27-5017321</w:t>
            </w:r>
          </w:p>
        </w:tc>
      </w:tr>
      <w:tr>
        <w:trPr>
          <w:trHeight w:val="149"/>
        </w:trPr>
        <w:tc>
          <w:tcPr>
            <w:tcW w:w="6180" w:type="dxa"/>
            <w:vAlign w:val="bottom"/>
            <w:gridSpan w:val="3"/>
          </w:tcPr>
          <w:p>
            <w:pPr>
              <w:jc w:val="center"/>
              <w:ind w:right="34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80" w:type="dxa"/>
            <w:vAlign w:val="bottom"/>
            <w:gridSpan w:val="3"/>
          </w:tcPr>
          <w:p>
            <w:pPr>
              <w:jc w:val="center"/>
              <w:ind w:right="3480"/>
              <w:spacing w:after="0"/>
              <w:rPr>
                <w:sz w:val="20"/>
                <w:szCs w:val="20"/>
                <w:color w:val="auto"/>
              </w:rPr>
            </w:pPr>
            <w:r>
              <w:rPr>
                <w:rFonts w:ascii="Arial" w:cs="Arial" w:eastAsia="Arial" w:hAnsi="Arial"/>
                <w:sz w:val="14"/>
                <w:szCs w:val="14"/>
                <w:b w:val="1"/>
                <w:bCs w:val="1"/>
                <w:color w:val="auto"/>
                <w:w w:val="95"/>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18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90"/>
              </w:rPr>
              <w:t>1603 Orrington Avenue, Suite 1005</w:t>
            </w:r>
          </w:p>
        </w:tc>
        <w:tc>
          <w:tcPr>
            <w:tcW w:w="1500" w:type="dxa"/>
            <w:vAlign w:val="bottom"/>
          </w:tcPr>
          <w:p>
            <w:pPr>
              <w:spacing w:after="0"/>
              <w:rPr>
                <w:sz w:val="24"/>
                <w:szCs w:val="24"/>
                <w:color w:val="auto"/>
              </w:rPr>
            </w:pPr>
          </w:p>
        </w:tc>
      </w:tr>
      <w:tr>
        <w:trPr>
          <w:trHeight w:val="225"/>
        </w:trPr>
        <w:tc>
          <w:tcPr>
            <w:tcW w:w="618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90"/>
              </w:rPr>
              <w:t>Evanston, Illinois</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60201</w:t>
            </w:r>
          </w:p>
        </w:tc>
      </w:tr>
      <w:tr>
        <w:trPr>
          <w:trHeight w:val="186"/>
        </w:trPr>
        <w:tc>
          <w:tcPr>
            <w:tcW w:w="6180" w:type="dxa"/>
            <w:vAlign w:val="bottom"/>
            <w:gridSpan w:val="3"/>
          </w:tcPr>
          <w:p>
            <w:pPr>
              <w:jc w:val="center"/>
              <w:ind w:right="348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5360" w:type="dxa"/>
            <w:vAlign w:val="bottom"/>
            <w:gridSpan w:val="2"/>
          </w:tcPr>
          <w:p>
            <w:pPr>
              <w:jc w:val="center"/>
              <w:ind w:left="2919"/>
              <w:spacing w:after="0"/>
              <w:rPr>
                <w:sz w:val="20"/>
                <w:szCs w:val="20"/>
                <w:color w:val="auto"/>
              </w:rPr>
            </w:pPr>
            <w:r>
              <w:rPr>
                <w:rFonts w:ascii="Arial" w:cs="Arial" w:eastAsia="Arial" w:hAnsi="Arial"/>
                <w:sz w:val="18"/>
                <w:szCs w:val="18"/>
                <w:b w:val="1"/>
                <w:bCs w:val="1"/>
                <w:color w:val="auto"/>
                <w:w w:val="90"/>
              </w:rPr>
              <w:t>(847) 859-3940</w:t>
            </w: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6"/>
        </w:trPr>
        <w:tc>
          <w:tcPr>
            <w:tcW w:w="6180" w:type="dxa"/>
            <w:vAlign w:val="bottom"/>
            <w:gridSpan w:val="3"/>
          </w:tcPr>
          <w:p>
            <w:pPr>
              <w:jc w:val="center"/>
              <w:ind w:left="207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r>
        <w:trPr>
          <w:trHeight w:val="336"/>
        </w:trPr>
        <w:tc>
          <w:tcPr>
            <w:tcW w:w="29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19"/>
        </w:trPr>
        <w:tc>
          <w:tcPr>
            <w:tcW w:w="2980" w:type="dxa"/>
            <w:vAlign w:val="bottom"/>
          </w:tcPr>
          <w:p>
            <w:pPr>
              <w:spacing w:after="0"/>
              <w:rPr>
                <w:sz w:val="24"/>
                <w:szCs w:val="24"/>
                <w:color w:val="auto"/>
              </w:rPr>
            </w:pPr>
          </w:p>
        </w:tc>
        <w:tc>
          <w:tcPr>
            <w:tcW w:w="320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2"/>
              </w:rPr>
              <w:t>n/a</w:t>
            </w:r>
          </w:p>
        </w:tc>
        <w:tc>
          <w:tcPr>
            <w:tcW w:w="150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96" w:lineRule="exact"/>
        <w:rPr>
          <w:sz w:val="24"/>
          <w:szCs w:val="24"/>
          <w:color w:val="auto"/>
        </w:rPr>
      </w:pPr>
    </w:p>
    <w:p>
      <w:pPr>
        <w:ind w:right="2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4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80" w:val="left"/>
          <w:tab w:leader="none" w:pos="90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July 31, 2017, the Registrant had outstanding 24,480,624 shares of 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694"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360" w:type="dxa"/>
            <w:vAlign w:val="bottom"/>
            <w:gridSpan w:val="21"/>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000" w:type="dxa"/>
            <w:vAlign w:val="bottom"/>
          </w:tcPr>
          <w:p>
            <w:pPr>
              <w:spacing w:after="0"/>
              <w:rPr>
                <w:sz w:val="17"/>
                <w:szCs w:val="17"/>
                <w:color w:val="auto"/>
              </w:rPr>
            </w:pPr>
          </w:p>
        </w:tc>
      </w:tr>
      <w:tr>
        <w:trPr>
          <w:trHeight w:val="515"/>
        </w:trPr>
        <w:tc>
          <w:tcPr>
            <w:tcW w:w="7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20" w:type="dxa"/>
            <w:vAlign w:val="bottom"/>
            <w:gridSpan w:val="10"/>
          </w:tcPr>
          <w:p>
            <w:pPr>
              <w:jc w:val="center"/>
              <w:ind w:right="2060"/>
              <w:spacing w:after="0"/>
              <w:rPr>
                <w:sz w:val="20"/>
                <w:szCs w:val="20"/>
                <w:color w:val="auto"/>
              </w:rPr>
            </w:pPr>
            <w:r>
              <w:rPr>
                <w:rFonts w:ascii="Arial" w:cs="Arial" w:eastAsia="Arial" w:hAnsi="Arial"/>
                <w:sz w:val="18"/>
                <w:szCs w:val="18"/>
                <w:b w:val="1"/>
                <w:bCs w:val="1"/>
                <w:color w:val="auto"/>
              </w:rPr>
              <w:t>FIDUS INVESTMENT CORPORATION</w:t>
            </w:r>
          </w:p>
        </w:tc>
        <w:tc>
          <w:tcPr>
            <w:tcW w:w="100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20" w:type="dxa"/>
            <w:vAlign w:val="bottom"/>
            <w:gridSpan w:val="10"/>
          </w:tcPr>
          <w:p>
            <w:pPr>
              <w:jc w:val="center"/>
              <w:ind w:right="2060"/>
              <w:spacing w:after="0"/>
              <w:rPr>
                <w:sz w:val="20"/>
                <w:szCs w:val="20"/>
                <w:color w:val="auto"/>
              </w:rPr>
            </w:pPr>
            <w:r>
              <w:rPr>
                <w:rFonts w:ascii="Arial" w:cs="Arial" w:eastAsia="Arial" w:hAnsi="Arial"/>
                <w:sz w:val="18"/>
                <w:szCs w:val="18"/>
                <w:b w:val="1"/>
                <w:bCs w:val="1"/>
                <w:color w:val="auto"/>
                <w:w w:val="98"/>
              </w:rPr>
              <w:t>TABLE OF CONTENTS</w:t>
            </w:r>
          </w:p>
        </w:tc>
        <w:tc>
          <w:tcPr>
            <w:tcW w:w="100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20" w:type="dxa"/>
            <w:vAlign w:val="bottom"/>
            <w:gridSpan w:val="10"/>
          </w:tcPr>
          <w:p>
            <w:pPr>
              <w:jc w:val="center"/>
              <w:ind w:right="2080"/>
              <w:spacing w:after="0"/>
              <w:rPr>
                <w:sz w:val="20"/>
                <w:szCs w:val="20"/>
                <w:color w:val="auto"/>
              </w:rPr>
            </w:pPr>
            <w:r>
              <w:rPr>
                <w:rFonts w:ascii="Arial" w:cs="Arial" w:eastAsia="Arial" w:hAnsi="Arial"/>
                <w:sz w:val="18"/>
                <w:szCs w:val="18"/>
                <w:b w:val="1"/>
                <w:bCs w:val="1"/>
                <w:color w:val="auto"/>
                <w:w w:val="99"/>
              </w:rPr>
              <w:t>QUARTERLY REPORT ON FORM 10-Q</w:t>
            </w:r>
          </w:p>
        </w:tc>
        <w:tc>
          <w:tcPr>
            <w:tcW w:w="1000" w:type="dxa"/>
            <w:vAlign w:val="bottom"/>
          </w:tcPr>
          <w:p>
            <w:pPr>
              <w:spacing w:after="0"/>
              <w:rPr>
                <w:sz w:val="20"/>
                <w:szCs w:val="20"/>
                <w:color w:val="auto"/>
              </w:rPr>
            </w:pPr>
          </w:p>
        </w:tc>
      </w:tr>
      <w:tr>
        <w:trPr>
          <w:trHeight w:val="445"/>
        </w:trPr>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20" w:type="dxa"/>
            <w:vAlign w:val="bottom"/>
            <w:gridSpan w:val="10"/>
          </w:tcPr>
          <w:p>
            <w:pPr>
              <w:jc w:val="center"/>
              <w:ind w:right="1700"/>
              <w:spacing w:after="0"/>
              <w:rPr>
                <w:sz w:val="20"/>
                <w:szCs w:val="20"/>
                <w:color w:val="auto"/>
              </w:rPr>
            </w:pPr>
            <w:r>
              <w:rPr>
                <w:rFonts w:ascii="Arial" w:cs="Arial" w:eastAsia="Arial" w:hAnsi="Arial"/>
                <w:sz w:val="18"/>
                <w:szCs w:val="18"/>
                <w:b w:val="1"/>
                <w:bCs w:val="1"/>
                <w:color w:val="auto"/>
              </w:rPr>
              <w:t>PART I — FINANCIAL INFORMATION</w:t>
            </w:r>
          </w:p>
        </w:tc>
        <w:tc>
          <w:tcPr>
            <w:tcW w:w="1000" w:type="dxa"/>
            <w:vAlign w:val="bottom"/>
          </w:tcPr>
          <w:p>
            <w:pPr>
              <w:spacing w:after="0"/>
              <w:rPr>
                <w:sz w:val="24"/>
                <w:szCs w:val="24"/>
                <w:color w:val="auto"/>
              </w:rPr>
            </w:pPr>
          </w:p>
        </w:tc>
      </w:tr>
      <w:tr>
        <w:trPr>
          <w:trHeight w:val="190"/>
        </w:trPr>
        <w:tc>
          <w:tcPr>
            <w:tcW w:w="78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9580" w:type="dxa"/>
            <w:vAlign w:val="bottom"/>
            <w:gridSpan w:val="19"/>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00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Statements of Assets and Liabilities — June 30, 2017 (unaudited) and December 31, 2016</w:t>
              </w:r>
            </w:hyperlink>
          </w:p>
        </w:tc>
        <w:tc>
          <w:tcPr>
            <w:tcW w:w="2040" w:type="dxa"/>
            <w:vAlign w:val="bottom"/>
            <w:gridSpan w:val="4"/>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19"/>
          </w:tcPr>
          <w:p>
            <w:pPr>
              <w:spacing w:after="0" w:line="196"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Consolidated Statements of Operations — Three and Six Months Ended June 30, 2017 (unaudited) and 2016 (unaudited)</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19"/>
          </w:tcPr>
          <w:p>
            <w:pPr>
              <w:spacing w:after="0" w:line="196"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Consolidated Statements of Changes in Net Assets — Six Months Ended June 30, 2017 (unaudited) and 2016 (unaudited)</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Cash Flows — Six Months Ended June 30, 2017 (unaudited) and 2016 (unaudited)</w:t>
              </w:r>
            </w:hyperlink>
          </w:p>
        </w:tc>
        <w:tc>
          <w:tcPr>
            <w:tcW w:w="720" w:type="dxa"/>
            <w:vAlign w:val="bottom"/>
            <w:tcBorders>
              <w:top w:val="single" w:sz="8" w:color="0000EE"/>
            </w:tcBorders>
            <w:gridSpan w:val="2"/>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Schedules of Investments — June 30, 2017 (unaudited) and December 31, 2016</w:t>
              </w:r>
            </w:hyperlink>
          </w:p>
        </w:tc>
        <w:tc>
          <w:tcPr>
            <w:tcW w:w="2780" w:type="dxa"/>
            <w:vAlign w:val="bottom"/>
            <w:gridSpan w:val="5"/>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1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Notes to Consolidated Financial Statements (unaudited)</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580" w:type="dxa"/>
            <w:vAlign w:val="bottom"/>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 Operations.</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7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65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 .</w:t>
              </w:r>
            </w:hyperlink>
          </w:p>
        </w:tc>
        <w:tc>
          <w:tcPr>
            <w:tcW w:w="3080" w:type="dxa"/>
            <w:vAlign w:val="bottom"/>
            <w:gridSpan w:val="6"/>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7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4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Controls and Procedures.</w:t>
              </w:r>
            </w:hyperlink>
          </w:p>
        </w:tc>
        <w:tc>
          <w:tcPr>
            <w:tcW w:w="5140" w:type="dxa"/>
            <w:vAlign w:val="bottom"/>
            <w:gridSpan w:val="7"/>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22"/>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540" w:type="dxa"/>
            <w:vAlign w:val="bottom"/>
          </w:tcPr>
          <w:p>
            <w:pPr>
              <w:spacing w:after="0"/>
              <w:rPr>
                <w:sz w:val="19"/>
                <w:szCs w:val="19"/>
                <w:color w:val="auto"/>
              </w:rPr>
            </w:pPr>
          </w:p>
        </w:tc>
        <w:tc>
          <w:tcPr>
            <w:tcW w:w="7220" w:type="dxa"/>
            <w:vAlign w:val="bottom"/>
            <w:gridSpan w:val="10"/>
          </w:tcPr>
          <w:p>
            <w:pPr>
              <w:jc w:val="center"/>
              <w:ind w:right="1720"/>
              <w:spacing w:after="0"/>
              <w:rPr>
                <w:sz w:val="20"/>
                <w:szCs w:val="20"/>
                <w:color w:val="auto"/>
              </w:rPr>
            </w:pPr>
            <w:r>
              <w:rPr>
                <w:rFonts w:ascii="Arial" w:cs="Arial" w:eastAsia="Arial" w:hAnsi="Arial"/>
                <w:sz w:val="18"/>
                <w:szCs w:val="18"/>
                <w:b w:val="1"/>
                <w:bCs w:val="1"/>
                <w:color w:val="auto"/>
              </w:rPr>
              <w:t>PART II — OTHER INFORMATION</w:t>
            </w:r>
          </w:p>
        </w:tc>
        <w:tc>
          <w:tcPr>
            <w:tcW w:w="1000" w:type="dxa"/>
            <w:vAlign w:val="bottom"/>
          </w:tcPr>
          <w:p>
            <w:pPr>
              <w:spacing w:after="0"/>
              <w:rPr>
                <w:sz w:val="19"/>
                <w:szCs w:val="19"/>
                <w:color w:val="auto"/>
              </w:rPr>
            </w:pPr>
          </w:p>
        </w:tc>
      </w:tr>
      <w:tr>
        <w:trPr>
          <w:trHeight w:val="190"/>
        </w:trPr>
        <w:tc>
          <w:tcPr>
            <w:tcW w:w="78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1380" w:type="dxa"/>
            <w:vAlign w:val="bottom"/>
            <w:tcBorders>
              <w:bottom w:val="single" w:sz="8" w:color="0000EE"/>
            </w:tcBorders>
            <w:gridSpan w:val="6"/>
          </w:tcPr>
          <w:p>
            <w:pPr>
              <w:spacing w:after="0" w:line="190"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Legal Proceedings.</w:t>
              </w:r>
            </w:hyperlink>
          </w:p>
        </w:tc>
        <w:tc>
          <w:tcPr>
            <w:tcW w:w="8200" w:type="dxa"/>
            <w:vAlign w:val="bottom"/>
            <w:gridSpan w:val="13"/>
          </w:tcPr>
          <w:p>
            <w:pPr>
              <w:spacing w:after="0"/>
              <w:rPr>
                <w:sz w:val="16"/>
                <w:szCs w:val="16"/>
                <w:color w:val="auto"/>
              </w:rPr>
            </w:pPr>
          </w:p>
        </w:tc>
        <w:tc>
          <w:tcPr>
            <w:tcW w:w="1000" w:type="dxa"/>
            <w:vAlign w:val="bottom"/>
          </w:tcPr>
          <w:p>
            <w:pPr>
              <w:jc w:val="right"/>
              <w:spacing w:after="0" w:line="190" w:lineRule="exact"/>
              <w:rPr>
                <w:sz w:val="20"/>
                <w:szCs w:val="20"/>
                <w:color w:val="auto"/>
              </w:rPr>
            </w:pPr>
            <w:r>
              <w:rPr>
                <w:rFonts w:ascii="Arial" w:cs="Arial" w:eastAsia="Arial" w:hAnsi="Arial"/>
                <w:sz w:val="18"/>
                <w:szCs w:val="18"/>
                <w:color w:val="auto"/>
              </w:rPr>
              <w:t>54</w:t>
            </w:r>
          </w:p>
        </w:tc>
      </w:tr>
      <w:tr>
        <w:trPr>
          <w:trHeight w:val="196"/>
        </w:trPr>
        <w:tc>
          <w:tcPr>
            <w:tcW w:w="78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580" w:type="dxa"/>
            <w:vAlign w:val="bottom"/>
            <w:gridSpan w:val="1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Risk Factors.</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4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Unregistered Sales of Equity Securities and Use of Proceeds.</w:t>
              </w:r>
            </w:hyperlink>
          </w:p>
        </w:tc>
        <w:tc>
          <w:tcPr>
            <w:tcW w:w="5180" w:type="dxa"/>
            <w:vAlign w:val="bottom"/>
            <w:gridSpan w:val="8"/>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7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580" w:type="dxa"/>
            <w:vAlign w:val="bottom"/>
            <w:gridSpan w:val="1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Defaults Upon Senior Securities.</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7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Mine Safety Disclosures.</w:t>
              </w:r>
            </w:hyperlink>
          </w:p>
        </w:tc>
        <w:tc>
          <w:tcPr>
            <w:tcW w:w="540" w:type="dxa"/>
            <w:vAlign w:val="bottom"/>
            <w:tcBorders>
              <w:top w:val="single" w:sz="8" w:color="0000EE"/>
            </w:tcBorders>
          </w:tcPr>
          <w:p>
            <w:pPr>
              <w:spacing w:after="0"/>
              <w:rPr>
                <w:sz w:val="17"/>
                <w:szCs w:val="17"/>
                <w:color w:val="auto"/>
              </w:rPr>
            </w:pPr>
          </w:p>
        </w:tc>
        <w:tc>
          <w:tcPr>
            <w:tcW w:w="7220" w:type="dxa"/>
            <w:vAlign w:val="bottom"/>
            <w:gridSpan w:val="10"/>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78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3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57">
              <w:r>
                <w:rPr>
                  <w:rFonts w:ascii="Arial" w:cs="Arial" w:eastAsia="Arial" w:hAnsi="Arial"/>
                  <w:sz w:val="18"/>
                  <w:szCs w:val="18"/>
                  <w:color w:val="0000EE"/>
                  <w:w w:val="92"/>
                </w:rPr>
                <w:t>Other Information.</w:t>
              </w:r>
            </w:hyperlink>
          </w:p>
        </w:tc>
        <w:tc>
          <w:tcPr>
            <w:tcW w:w="8220" w:type="dxa"/>
            <w:vAlign w:val="bottom"/>
            <w:gridSpan w:val="14"/>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78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580" w:type="dxa"/>
            <w:vAlign w:val="bottom"/>
            <w:gridSpan w:val="19"/>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Exhibits.</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780" w:type="dxa"/>
            <w:vAlign w:val="bottom"/>
            <w:gridSpan w:val="2"/>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Signatures</w:t>
              </w:r>
            </w:hyperlink>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360" w:type="dxa"/>
            <w:vAlign w:val="bottom"/>
            <w:gridSpan w:val="18"/>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60">
              <w:r>
                <w:rPr>
                  <w:rFonts w:ascii="Arial" w:cs="Arial" w:eastAsia="Arial" w:hAnsi="Arial"/>
                  <w:sz w:val="18"/>
                  <w:szCs w:val="18"/>
                  <w:color w:val="0000EE"/>
                  <w:w w:val="95"/>
                </w:rPr>
                <w:t>Exhibit Index</w:t>
              </w:r>
            </w:hyperlink>
          </w:p>
        </w:tc>
        <w:tc>
          <w:tcPr>
            <w:tcW w:w="9360" w:type="dxa"/>
            <w:vAlign w:val="bottom"/>
            <w:gridSpan w:val="18"/>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bl>
    <w:p>
      <w:pPr>
        <w:jc w:val="right"/>
        <w:spacing w:after="0" w:line="196" w:lineRule="exact"/>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June 30, 2017</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9"/>
              </w:rPr>
              <w:t>(unaudited)</w:t>
            </w:r>
          </w:p>
        </w:tc>
        <w:tc>
          <w:tcPr>
            <w:tcW w:w="160" w:type="dxa"/>
            <w:vAlign w:val="bottom"/>
          </w:tcPr>
          <w:p>
            <w:pPr>
              <w:spacing w:after="0"/>
              <w:rPr>
                <w:sz w:val="14"/>
                <w:szCs w:val="14"/>
                <w:color w:val="auto"/>
              </w:rPr>
            </w:pPr>
          </w:p>
        </w:tc>
        <w:tc>
          <w:tcPr>
            <w:tcW w:w="680" w:type="dxa"/>
            <w:vAlign w:val="bottom"/>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Affiliate investments (cost: $121,032 and $113,995, respectively)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139,800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Non-control/non-affiliate investments (cost: $410,312 and $386,519 respectively)</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413,460</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(cost: $531,344 and $500,514, respectively)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553,260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50,819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57,083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Proceeds receivable from stock offering</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4,234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614,113</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SBA debentures, net of deferred financing costs (Note 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212,916</w:t>
            </w:r>
          </w:p>
        </w:tc>
        <w:tc>
          <w:tcPr>
            <w:tcW w:w="4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219,901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Credit Facility, net of deferred financing costs (Note 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Accrued interest and fees payable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2,612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Management and incentive fees payable – due to affiliate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Administration fee payable and other – due to affiliate</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Accounts payable and other liabilities</w:t>
            </w:r>
          </w:p>
        </w:tc>
        <w:tc>
          <w:tcPr>
            <w:tcW w:w="18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385</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225,690</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200" w:type="dxa"/>
            <w:vAlign w:val="bottom"/>
            <w:gridSpan w:val="2"/>
          </w:tcPr>
          <w:p>
            <w:pPr>
              <w:spacing w:after="0"/>
              <w:rPr>
                <w:sz w:val="20"/>
                <w:szCs w:val="20"/>
                <w:color w:val="auto"/>
              </w:rPr>
            </w:pPr>
            <w:r>
              <w:rPr>
                <w:rFonts w:ascii="Arial" w:cs="Arial" w:eastAsia="Arial" w:hAnsi="Arial"/>
                <w:sz w:val="18"/>
                <w:szCs w:val="18"/>
                <w:color w:val="auto"/>
              </w:rPr>
              <w:t>Commitments and contingencies (Note 7)</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spacing w:after="0" w:line="201" w:lineRule="exact"/>
              <w:rPr>
                <w:sz w:val="20"/>
                <w:szCs w:val="20"/>
                <w:color w:val="auto"/>
              </w:rPr>
            </w:pPr>
            <w:r>
              <w:rPr>
                <w:rFonts w:ascii="Arial" w:cs="Arial" w:eastAsia="Arial" w:hAnsi="Arial"/>
                <w:sz w:val="18"/>
                <w:szCs w:val="18"/>
                <w:color w:val="auto"/>
              </w:rPr>
              <w:t>Common stock, $0.001 par value (100,000,000 shares authorized, 24,480,624 and 22,446,076, shares issued and</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outstanding at June 30, 2017 and December 31, 2016, respectively)</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372,760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8,915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net of taxes and distributions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(15,196)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Accumulated net unrealized appreciation on investments</w:t>
            </w:r>
          </w:p>
        </w:tc>
        <w:tc>
          <w:tcPr>
            <w:tcW w:w="18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21,920</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assets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388,423</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net assets</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614,113</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common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Investment Income:</w:t>
            </w: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340"/>
              <w:spacing w:after="0"/>
              <w:rPr>
                <w:sz w:val="20"/>
                <w:szCs w:val="20"/>
                <w:color w:val="auto"/>
              </w:rPr>
            </w:pPr>
            <w:r>
              <w:rPr>
                <w:rFonts w:ascii="Arial" w:cs="Arial" w:eastAsia="Arial" w:hAnsi="Arial"/>
                <w:sz w:val="17"/>
                <w:szCs w:val="17"/>
                <w:color w:val="auto"/>
              </w:rPr>
              <w:t>Interest income</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Affiliate investments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2,909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2,763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5,583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680"/>
              <w:spacing w:after="0"/>
              <w:rPr>
                <w:sz w:val="20"/>
                <w:szCs w:val="20"/>
                <w:color w:val="auto"/>
              </w:rPr>
            </w:pPr>
            <w:r>
              <w:rPr>
                <w:rFonts w:ascii="Arial" w:cs="Arial" w:eastAsia="Arial" w:hAnsi="Arial"/>
                <w:sz w:val="17"/>
                <w:szCs w:val="17"/>
                <w:color w:val="auto"/>
              </w:rPr>
              <w:t>Non-control/non-affiliate investments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12,325</w:t>
            </w:r>
          </w:p>
        </w:tc>
        <w:tc>
          <w:tcPr>
            <w:tcW w:w="2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10,034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24,399</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20,637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interest income</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15,234</w:t>
            </w:r>
          </w:p>
        </w:tc>
        <w:tc>
          <w:tcPr>
            <w:tcW w:w="20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12,797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29,982</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26,244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340"/>
              <w:spacing w:after="0"/>
              <w:rPr>
                <w:sz w:val="20"/>
                <w:szCs w:val="20"/>
                <w:color w:val="auto"/>
              </w:rPr>
            </w:pPr>
            <w:r>
              <w:rPr>
                <w:rFonts w:ascii="Arial" w:cs="Arial" w:eastAsia="Arial" w:hAnsi="Arial"/>
                <w:sz w:val="17"/>
                <w:szCs w:val="17"/>
                <w:color w:val="auto"/>
              </w:rPr>
              <w:t>Dividend income</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Affiliate investments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680"/>
              <w:spacing w:after="0"/>
              <w:rPr>
                <w:sz w:val="20"/>
                <w:szCs w:val="20"/>
                <w:color w:val="auto"/>
              </w:rPr>
            </w:pPr>
            <w:r>
              <w:rPr>
                <w:rFonts w:ascii="Arial" w:cs="Arial" w:eastAsia="Arial" w:hAnsi="Arial"/>
                <w:sz w:val="17"/>
                <w:szCs w:val="17"/>
                <w:color w:val="auto"/>
              </w:rPr>
              <w:t>Non-control/non-affiliate investments</w:t>
            </w:r>
          </w:p>
        </w:tc>
        <w:tc>
          <w:tcPr>
            <w:tcW w:w="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dividend income</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748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1,273</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340"/>
              <w:spacing w:after="0"/>
              <w:rPr>
                <w:sz w:val="20"/>
                <w:szCs w:val="20"/>
                <w:color w:val="auto"/>
              </w:rPr>
            </w:pPr>
            <w:r>
              <w:rPr>
                <w:rFonts w:ascii="Arial" w:cs="Arial" w:eastAsia="Arial" w:hAnsi="Arial"/>
                <w:sz w:val="17"/>
                <w:szCs w:val="17"/>
                <w:color w:val="auto"/>
              </w:rPr>
              <w:t>Fee income</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Affiliate investments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680"/>
              <w:spacing w:after="0"/>
              <w:rPr>
                <w:sz w:val="20"/>
                <w:szCs w:val="20"/>
                <w:color w:val="auto"/>
              </w:rPr>
            </w:pPr>
            <w:r>
              <w:rPr>
                <w:rFonts w:ascii="Arial" w:cs="Arial" w:eastAsia="Arial" w:hAnsi="Arial"/>
                <w:sz w:val="17"/>
                <w:szCs w:val="17"/>
                <w:color w:val="auto"/>
              </w:rPr>
              <w:t>Non-control/non-affiliate investments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1,254</w:t>
            </w:r>
          </w:p>
        </w:tc>
        <w:tc>
          <w:tcPr>
            <w:tcW w:w="2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244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2,030</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1,212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fee income</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w:t>
            </w:r>
          </w:p>
        </w:tc>
        <w:tc>
          <w:tcPr>
            <w:tcW w:w="20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2,177</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7"/>
                <w:szCs w:val="17"/>
                <w:color w:val="auto"/>
              </w:rPr>
              <w:t>Interest on idle funds and other income</w:t>
            </w:r>
          </w:p>
        </w:tc>
        <w:tc>
          <w:tcPr>
            <w:tcW w:w="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Total investment income</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17,271</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13,832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33,499</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28,523</w:t>
            </w:r>
          </w:p>
        </w:tc>
        <w:tc>
          <w:tcPr>
            <w:tcW w:w="0" w:type="dxa"/>
            <w:vAlign w:val="bottom"/>
          </w:tcPr>
          <w:p>
            <w:pPr>
              <w:spacing w:after="0"/>
              <w:rPr>
                <w:sz w:val="1"/>
                <w:szCs w:val="1"/>
                <w:color w:val="auto"/>
              </w:rPr>
            </w:pPr>
          </w:p>
        </w:tc>
      </w:tr>
      <w:tr>
        <w:trPr>
          <w:trHeight w:val="208"/>
        </w:trPr>
        <w:tc>
          <w:tcPr>
            <w:tcW w:w="6420" w:type="dxa"/>
            <w:vAlign w:val="bottom"/>
            <w:gridSpan w:val="2"/>
          </w:tcPr>
          <w:p>
            <w:pPr>
              <w:spacing w:after="0"/>
              <w:rPr>
                <w:sz w:val="20"/>
                <w:szCs w:val="20"/>
                <w:color w:val="auto"/>
              </w:rPr>
            </w:pPr>
            <w:r>
              <w:rPr>
                <w:rFonts w:ascii="Arial" w:cs="Arial" w:eastAsia="Arial" w:hAnsi="Arial"/>
                <w:sz w:val="17"/>
                <w:szCs w:val="17"/>
                <w:color w:val="auto"/>
              </w:rPr>
              <w:t>Expenses:</w:t>
            </w:r>
          </w:p>
        </w:tc>
        <w:tc>
          <w:tcPr>
            <w:tcW w:w="8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and financing expenses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2,401</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2,654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4,985</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340"/>
              <w:spacing w:after="0"/>
              <w:rPr>
                <w:sz w:val="20"/>
                <w:szCs w:val="20"/>
                <w:color w:val="auto"/>
              </w:rPr>
            </w:pPr>
            <w:r>
              <w:rPr>
                <w:rFonts w:ascii="Arial" w:cs="Arial" w:eastAsia="Arial" w:hAnsi="Arial"/>
                <w:sz w:val="17"/>
                <w:szCs w:val="17"/>
                <w:color w:val="auto"/>
              </w:rPr>
              <w:t>Base management fee</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7"/>
                <w:szCs w:val="17"/>
                <w:color w:val="auto"/>
              </w:rPr>
              <w:t>2,403</w:t>
            </w:r>
          </w:p>
        </w:tc>
        <w:tc>
          <w:tcPr>
            <w:tcW w:w="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2,005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4,716</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3,988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Incentive fee</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2,484</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4,862</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340"/>
              <w:spacing w:after="0"/>
              <w:rPr>
                <w:sz w:val="20"/>
                <w:szCs w:val="20"/>
                <w:color w:val="auto"/>
              </w:rPr>
            </w:pPr>
            <w:r>
              <w:rPr>
                <w:rFonts w:ascii="Arial" w:cs="Arial" w:eastAsia="Arial" w:hAnsi="Arial"/>
                <w:sz w:val="17"/>
                <w:szCs w:val="17"/>
                <w:color w:val="auto"/>
              </w:rPr>
              <w:t>Administrative service expenses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340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367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691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688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Professional fees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7"/>
                <w:szCs w:val="17"/>
                <w:color w:val="auto"/>
              </w:rPr>
              <w:t>Other general and administrative expenses</w:t>
            </w:r>
          </w:p>
        </w:tc>
        <w:tc>
          <w:tcPr>
            <w:tcW w:w="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709</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Total expenses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8,300</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8,868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16,673</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16,452</w:t>
            </w:r>
          </w:p>
        </w:tc>
        <w:tc>
          <w:tcPr>
            <w:tcW w:w="0" w:type="dxa"/>
            <w:vAlign w:val="bottom"/>
          </w:tcPr>
          <w:p>
            <w:pPr>
              <w:spacing w:after="0"/>
              <w:rPr>
                <w:sz w:val="1"/>
                <w:szCs w:val="1"/>
                <w:color w:val="auto"/>
              </w:rPr>
            </w:pPr>
          </w:p>
        </w:tc>
      </w:tr>
      <w:tr>
        <w:trPr>
          <w:trHeight w:val="210"/>
        </w:trPr>
        <w:tc>
          <w:tcPr>
            <w:tcW w:w="6420" w:type="dxa"/>
            <w:vAlign w:val="bottom"/>
            <w:gridSpan w:val="2"/>
          </w:tcPr>
          <w:p>
            <w:pPr>
              <w:spacing w:after="0"/>
              <w:rPr>
                <w:sz w:val="20"/>
                <w:szCs w:val="20"/>
                <w:color w:val="auto"/>
              </w:rPr>
            </w:pPr>
            <w:r>
              <w:rPr>
                <w:rFonts w:ascii="Arial" w:cs="Arial" w:eastAsia="Arial" w:hAnsi="Arial"/>
                <w:sz w:val="17"/>
                <w:szCs w:val="17"/>
                <w:color w:val="auto"/>
              </w:rPr>
              <w:t>Net investment income before income taxes</w:t>
            </w:r>
          </w:p>
        </w:tc>
        <w:tc>
          <w:tcPr>
            <w:tcW w:w="8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8,971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16,826</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Income tax provision</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7"/>
        </w:trPr>
        <w:tc>
          <w:tcPr>
            <w:tcW w:w="6420" w:type="dxa"/>
            <w:vAlign w:val="bottom"/>
            <w:gridSpan w:val="2"/>
          </w:tcPr>
          <w:p>
            <w:pPr>
              <w:spacing w:after="0"/>
              <w:rPr>
                <w:sz w:val="20"/>
                <w:szCs w:val="20"/>
                <w:color w:val="auto"/>
              </w:rPr>
            </w:pPr>
            <w:r>
              <w:rPr>
                <w:rFonts w:ascii="Arial" w:cs="Arial" w:eastAsia="Arial" w:hAnsi="Arial"/>
                <w:sz w:val="17"/>
                <w:szCs w:val="17"/>
                <w:b w:val="1"/>
                <w:bCs w:val="1"/>
                <w:color w:val="auto"/>
              </w:rPr>
              <w:t>Net investment income</w:t>
            </w:r>
          </w:p>
        </w:tc>
        <w:tc>
          <w:tcPr>
            <w:tcW w:w="8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16,801</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Net realized and unrealized gains (losses) on investments: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340"/>
              <w:spacing w:after="0"/>
              <w:rPr>
                <w:sz w:val="20"/>
                <w:szCs w:val="20"/>
                <w:color w:val="auto"/>
              </w:rPr>
            </w:pPr>
            <w:r>
              <w:rPr>
                <w:rFonts w:ascii="Arial" w:cs="Arial" w:eastAsia="Arial" w:hAnsi="Arial"/>
                <w:sz w:val="17"/>
                <w:szCs w:val="17"/>
                <w:color w:val="auto"/>
              </w:rPr>
              <w:t>Net realized gains on affiliate investments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458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458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realized (losses) gains on non-control/ non-affiliate investments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(367)</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6,071</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340"/>
              <w:spacing w:after="0"/>
              <w:rPr>
                <w:sz w:val="20"/>
                <w:szCs w:val="20"/>
                <w:color w:val="auto"/>
              </w:rPr>
            </w:pPr>
            <w:r>
              <w:rPr>
                <w:rFonts w:ascii="Arial" w:cs="Arial" w:eastAsia="Arial" w:hAnsi="Arial"/>
                <w:sz w:val="17"/>
                <w:szCs w:val="17"/>
                <w:color w:val="auto"/>
              </w:rPr>
              <w:t>Net change in unrealized appreciation (depreciation) on investments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7"/>
                <w:szCs w:val="17"/>
                <w:color w:val="auto"/>
              </w:rPr>
              <w:t>1,382</w:t>
            </w:r>
          </w:p>
        </w:tc>
        <w:tc>
          <w:tcPr>
            <w:tcW w:w="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7,485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8,253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Income tax provision from realized gains on investments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(1,385)</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17"/>
        </w:trPr>
        <w:tc>
          <w:tcPr>
            <w:tcW w:w="6420" w:type="dxa"/>
            <w:vAlign w:val="bottom"/>
            <w:gridSpan w:val="2"/>
          </w:tcPr>
          <w:p>
            <w:pPr>
              <w:spacing w:after="0"/>
              <w:rPr>
                <w:sz w:val="20"/>
                <w:szCs w:val="20"/>
                <w:color w:val="auto"/>
              </w:rPr>
            </w:pPr>
            <w:r>
              <w:rPr>
                <w:rFonts w:ascii="Arial" w:cs="Arial" w:eastAsia="Arial" w:hAnsi="Arial"/>
                <w:sz w:val="17"/>
                <w:szCs w:val="17"/>
                <w:b w:val="1"/>
                <w:bCs w:val="1"/>
                <w:color w:val="auto"/>
              </w:rPr>
              <w:t>Net gain on investments</w:t>
            </w:r>
          </w:p>
        </w:tc>
        <w:tc>
          <w:tcPr>
            <w:tcW w:w="8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2,688</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increase in net assets resulting from operations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9,957</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12,793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19,489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20,333</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Per common share data:</w:t>
            </w: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42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Net investment income per share-basic and diluted</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200" w:type="dxa"/>
            <w:vAlign w:val="bottom"/>
            <w:gridSpan w:val="2"/>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0.75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0.72</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7"/>
                <w:szCs w:val="17"/>
                <w:color w:val="auto"/>
              </w:rPr>
              <w:t>Net increase in net assets resulting from operations per share — basic and diluted</w:t>
            </w: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0.86</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Dividends declared per share</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200" w:type="dxa"/>
            <w:vAlign w:val="bottom"/>
            <w:gridSpan w:val="2"/>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0.78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0.78</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7"/>
                <w:szCs w:val="17"/>
                <w:color w:val="auto"/>
              </w:rPr>
              <w:t>Weighted average number of shares outstanding — basic and diluted</w:t>
            </w: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22,653,580</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17,329,685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22,550,846</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16,815,592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net realized</w:t>
            </w: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(loss) on</w:t>
            </w: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net unrealized</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5200" w:type="dxa"/>
            <w:vAlign w:val="bottom"/>
          </w:tcPr>
          <w:p>
            <w:pPr>
              <w:spacing w:after="0"/>
              <w:rPr>
                <w:sz w:val="11"/>
                <w:szCs w:val="11"/>
                <w:color w:val="auto"/>
              </w:rPr>
            </w:pPr>
          </w:p>
        </w:tc>
        <w:tc>
          <w:tcPr>
            <w:tcW w:w="1200" w:type="dxa"/>
            <w:vAlign w:val="bottom"/>
            <w:tcBorders>
              <w:bottom w:val="single" w:sz="8" w:color="auto"/>
            </w:tcBorders>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Additional</w:t>
            </w:r>
          </w:p>
        </w:tc>
        <w:tc>
          <w:tcPr>
            <w:tcW w:w="102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Undistributed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88"/>
              </w:rPr>
              <w:t>investments,</w:t>
            </w:r>
          </w:p>
        </w:tc>
        <w:tc>
          <w:tcPr>
            <w:tcW w:w="108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92"/>
              </w:rPr>
              <w:t>(depreciation)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80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40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7" w:lineRule="exact"/>
              <w:rPr>
                <w:sz w:val="20"/>
                <w:szCs w:val="20"/>
                <w:color w:val="auto"/>
              </w:rPr>
            </w:pPr>
            <w:r>
              <w:rPr>
                <w:rFonts w:ascii="Arial" w:cs="Arial" w:eastAsia="Arial" w:hAnsi="Arial"/>
                <w:sz w:val="14"/>
                <w:szCs w:val="14"/>
                <w:b w:val="1"/>
                <w:bCs w:val="1"/>
                <w:color w:val="auto"/>
                <w:w w:val="91"/>
              </w:rPr>
              <w:t>paid-in</w:t>
            </w:r>
          </w:p>
        </w:tc>
        <w:tc>
          <w:tcPr>
            <w:tcW w:w="102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w w:val="99"/>
              </w:rPr>
              <w:t>net investment</w:t>
            </w:r>
          </w:p>
        </w:tc>
        <w:tc>
          <w:tcPr>
            <w:tcW w:w="60" w:type="dxa"/>
            <w:vAlign w:val="bottom"/>
          </w:tcPr>
          <w:p>
            <w:pPr>
              <w:spacing w:after="0"/>
              <w:rPr>
                <w:sz w:val="12"/>
                <w:szCs w:val="12"/>
                <w:color w:val="auto"/>
              </w:rPr>
            </w:pPr>
          </w:p>
        </w:tc>
        <w:tc>
          <w:tcPr>
            <w:tcW w:w="116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net of taxes and</w:t>
            </w:r>
          </w:p>
        </w:tc>
        <w:tc>
          <w:tcPr>
            <w:tcW w:w="10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appreciation on</w:t>
            </w:r>
          </w:p>
        </w:tc>
        <w:tc>
          <w:tcPr>
            <w:tcW w:w="60" w:type="dxa"/>
            <w:vAlign w:val="bottom"/>
          </w:tcPr>
          <w:p>
            <w:pPr>
              <w:spacing w:after="0"/>
              <w:rPr>
                <w:sz w:val="12"/>
                <w:szCs w:val="12"/>
                <w:color w:val="auto"/>
              </w:rPr>
            </w:pPr>
          </w:p>
        </w:tc>
        <w:tc>
          <w:tcPr>
            <w:tcW w:w="680" w:type="dxa"/>
            <w:vAlign w:val="bottom"/>
            <w:gridSpan w:val="2"/>
          </w:tcPr>
          <w:p>
            <w:pPr>
              <w:jc w:val="right"/>
              <w:ind w:right="120"/>
              <w:spacing w:after="0" w:line="147" w:lineRule="exact"/>
              <w:rPr>
                <w:sz w:val="20"/>
                <w:szCs w:val="20"/>
                <w:color w:val="auto"/>
              </w:rPr>
            </w:pPr>
            <w:r>
              <w:rPr>
                <w:rFonts w:ascii="Arial" w:cs="Arial" w:eastAsia="Arial" w:hAnsi="Arial"/>
                <w:sz w:val="14"/>
                <w:szCs w:val="14"/>
                <w:b w:val="1"/>
                <w:bCs w:val="1"/>
                <w:color w:val="auto"/>
                <w:w w:val="92"/>
              </w:rPr>
              <w:t>Total net</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800" w:type="dxa"/>
            <w:vAlign w:val="bottom"/>
            <w:gridSpan w:val="3"/>
          </w:tcPr>
          <w:p>
            <w:pPr>
              <w:ind w:left="1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value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distributions</w:t>
            </w: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investments</w:t>
            </w:r>
          </w:p>
        </w:tc>
        <w:tc>
          <w:tcPr>
            <w:tcW w:w="6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56"/>
        </w:trPr>
        <w:tc>
          <w:tcPr>
            <w:tcW w:w="52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Balances at December 31, 2015</w:t>
            </w: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3"/>
              </w:rPr>
              <w:t>16,300,732</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16</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246,307</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13,887</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(6,145)</w:t>
            </w: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(6,703)</w:t>
            </w: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89"/>
              </w:rPr>
              <w:t>$247,362</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line="162" w:lineRule="exact"/>
              <w:rPr>
                <w:sz w:val="20"/>
                <w:szCs w:val="20"/>
                <w:color w:val="auto"/>
              </w:rPr>
            </w:pPr>
            <w:r>
              <w:rPr>
                <w:rFonts w:ascii="Arial" w:cs="Arial" w:eastAsia="Arial" w:hAnsi="Arial"/>
                <w:sz w:val="15"/>
                <w:szCs w:val="15"/>
                <w:color w:val="auto"/>
              </w:rPr>
              <w:t>Public offerings of common stock, net of expenses (Note 8)</w:t>
            </w:r>
          </w:p>
        </w:tc>
        <w:tc>
          <w:tcPr>
            <w:tcW w:w="74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2,875,000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43,667</w:t>
            </w:r>
          </w:p>
        </w:tc>
        <w:tc>
          <w:tcPr>
            <w:tcW w:w="160" w:type="dxa"/>
            <w:vAlign w:val="bottom"/>
          </w:tcPr>
          <w:p>
            <w:pPr>
              <w:spacing w:after="0"/>
              <w:rPr>
                <w:sz w:val="14"/>
                <w:szCs w:val="14"/>
                <w:color w:val="auto"/>
              </w:rPr>
            </w:pPr>
          </w:p>
        </w:tc>
        <w:tc>
          <w:tcPr>
            <w:tcW w:w="86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43,670</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Shares issued under dividend reinvestment plan</w:t>
            </w:r>
          </w:p>
        </w:tc>
        <w:tc>
          <w:tcPr>
            <w:tcW w:w="800" w:type="dxa"/>
            <w:vAlign w:val="bottom"/>
            <w:gridSpan w:val="3"/>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24,353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center"/>
              <w:ind w:right="1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374</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3"/>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374</w:t>
            </w:r>
          </w:p>
        </w:tc>
        <w:tc>
          <w:tcPr>
            <w:tcW w:w="0" w:type="dxa"/>
            <w:vAlign w:val="bottom"/>
          </w:tcPr>
          <w:p>
            <w:pPr>
              <w:spacing w:after="0"/>
              <w:rPr>
                <w:sz w:val="1"/>
                <w:szCs w:val="1"/>
                <w:color w:val="auto"/>
              </w:rPr>
            </w:pPr>
          </w:p>
        </w:tc>
      </w:tr>
      <w:tr>
        <w:trPr>
          <w:trHeight w:val="162"/>
        </w:trPr>
        <w:tc>
          <w:tcPr>
            <w:tcW w:w="5200" w:type="dxa"/>
            <w:vAlign w:val="bottom"/>
          </w:tcPr>
          <w:p>
            <w:pPr>
              <w:spacing w:after="0" w:line="162" w:lineRule="exact"/>
              <w:rPr>
                <w:sz w:val="20"/>
                <w:szCs w:val="20"/>
                <w:color w:val="auto"/>
              </w:rPr>
            </w:pPr>
            <w:r>
              <w:rPr>
                <w:rFonts w:ascii="Arial" w:cs="Arial" w:eastAsia="Arial" w:hAnsi="Arial"/>
                <w:sz w:val="15"/>
                <w:szCs w:val="15"/>
                <w:color w:val="auto"/>
              </w:rPr>
              <w:t>Net increase in net assets resulting from operations</w:t>
            </w:r>
          </w:p>
        </w:tc>
        <w:tc>
          <w:tcPr>
            <w:tcW w:w="800" w:type="dxa"/>
            <w:vAlign w:val="bottom"/>
            <w:gridSpan w:val="3"/>
          </w:tcPr>
          <w:p>
            <w:pPr>
              <w:ind w:left="50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center"/>
              <w:ind w:right="1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12,025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(174)</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8,482</w:t>
            </w:r>
          </w:p>
        </w:tc>
        <w:tc>
          <w:tcPr>
            <w:tcW w:w="74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20,333</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Dividends declared</w:t>
            </w:r>
          </w:p>
        </w:tc>
        <w:tc>
          <w:tcPr>
            <w:tcW w:w="720" w:type="dxa"/>
            <w:vAlign w:val="bottom"/>
            <w:shd w:val="clear" w:color="auto" w:fill="CCEEFF"/>
          </w:tcPr>
          <w:p>
            <w:pPr>
              <w:ind w:left="500"/>
              <w:spacing w:after="0" w:line="162" w:lineRule="exact"/>
              <w:rPr>
                <w:sz w:val="20"/>
                <w:szCs w:val="20"/>
                <w:color w:val="auto"/>
              </w:rPr>
            </w:pPr>
            <w:r>
              <w:rPr>
                <w:rFonts w:ascii="Arial" w:cs="Arial" w:eastAsia="Arial" w:hAnsi="Arial"/>
                <w:sz w:val="15"/>
                <w:szCs w:val="15"/>
                <w:color w:val="auto"/>
              </w:rPr>
              <w:t>—</w:t>
            </w:r>
          </w:p>
        </w:tc>
        <w:tc>
          <w:tcPr>
            <w:tcW w:w="8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(13,694)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3"/>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(13,694)</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5"/>
                <w:szCs w:val="15"/>
                <w:b w:val="1"/>
                <w:bCs w:val="1"/>
                <w:color w:val="auto"/>
              </w:rPr>
              <w:t>Balances at June 30, 2016</w:t>
            </w: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0" w:type="dxa"/>
            <w:vAlign w:val="bottom"/>
            <w:vMerge w:val="continue"/>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w w:val="93"/>
              </w:rPr>
              <w:t>19,200,085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32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19</w:t>
            </w:r>
          </w:p>
        </w:tc>
        <w:tc>
          <w:tcPr>
            <w:tcW w:w="180" w:type="dxa"/>
            <w:vAlign w:val="bottom"/>
            <w:gridSpan w:val="2"/>
          </w:tcPr>
          <w:p>
            <w:pPr>
              <w:ind w:left="80"/>
              <w:spacing w:after="0" w:line="169" w:lineRule="exact"/>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w w:val="99"/>
              </w:rPr>
              <w:t>290,348</w:t>
            </w:r>
          </w:p>
        </w:tc>
        <w:tc>
          <w:tcPr>
            <w:tcW w:w="140" w:type="dxa"/>
            <w:vAlign w:val="bottom"/>
          </w:tcPr>
          <w:p>
            <w:pPr>
              <w:spacing w:after="0"/>
              <w:rPr>
                <w:sz w:val="14"/>
                <w:szCs w:val="14"/>
                <w:color w:val="auto"/>
              </w:rPr>
            </w:pPr>
          </w:p>
        </w:tc>
        <w:tc>
          <w:tcPr>
            <w:tcW w:w="16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12,218</w:t>
            </w:r>
          </w:p>
        </w:tc>
        <w:tc>
          <w:tcPr>
            <w:tcW w:w="140" w:type="dxa"/>
            <w:vAlign w:val="bottom"/>
            <w:gridSpan w:val="2"/>
          </w:tcPr>
          <w:p>
            <w:pPr>
              <w:ind w:left="60"/>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(6,319)</w:t>
            </w:r>
          </w:p>
        </w:tc>
        <w:tc>
          <w:tcPr>
            <w:tcW w:w="80" w:type="dxa"/>
            <w:vAlign w:val="bottom"/>
          </w:tcPr>
          <w:p>
            <w:pPr>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1,779</w:t>
            </w:r>
          </w:p>
        </w:tc>
        <w:tc>
          <w:tcPr>
            <w:tcW w:w="640" w:type="dxa"/>
            <w:vAlign w:val="bottom"/>
            <w:gridSpan w:val="2"/>
          </w:tcPr>
          <w:p>
            <w:pPr>
              <w:jc w:val="right"/>
              <w:spacing w:after="0" w:line="169" w:lineRule="exact"/>
              <w:rPr>
                <w:sz w:val="20"/>
                <w:szCs w:val="20"/>
                <w:color w:val="auto"/>
              </w:rPr>
            </w:pPr>
            <w:r>
              <w:rPr>
                <w:rFonts w:ascii="Arial" w:cs="Arial" w:eastAsia="Arial" w:hAnsi="Arial"/>
                <w:sz w:val="15"/>
                <w:szCs w:val="15"/>
                <w:u w:val="single" w:color="auto"/>
                <w:color w:val="auto"/>
                <w:w w:val="99"/>
              </w:rPr>
              <w:t>$</w:t>
            </w:r>
            <w:r>
              <w:rPr>
                <w:rFonts w:ascii="Arial" w:cs="Arial" w:eastAsia="Arial" w:hAnsi="Arial"/>
                <w:sz w:val="15"/>
                <w:szCs w:val="15"/>
                <w:color w:val="auto"/>
                <w:w w:val="99"/>
              </w:rPr>
              <w:t>298,045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Balances at December 31, 2016</w:t>
            </w:r>
          </w:p>
        </w:tc>
        <w:tc>
          <w:tcPr>
            <w:tcW w:w="74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5"/>
                <w:szCs w:val="15"/>
                <w:color w:val="auto"/>
                <w:w w:val="93"/>
              </w:rPr>
              <w:t>22,446,076</w:t>
            </w:r>
          </w:p>
        </w:tc>
        <w:tc>
          <w:tcPr>
            <w:tcW w:w="6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32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5"/>
                <w:szCs w:val="15"/>
                <w:color w:val="auto"/>
              </w:rPr>
              <w:t>22</w:t>
            </w:r>
          </w:p>
        </w:tc>
        <w:tc>
          <w:tcPr>
            <w:tcW w:w="180" w:type="dxa"/>
            <w:vAlign w:val="bottom"/>
            <w:gridSpan w:val="2"/>
            <w:shd w:val="clear" w:color="auto" w:fill="CCEEFF"/>
          </w:tcPr>
          <w:p>
            <w:pPr>
              <w:ind w:left="80"/>
              <w:spacing w:after="0" w:line="156" w:lineRule="exact"/>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340,101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5"/>
                <w:szCs w:val="15"/>
                <w:color w:val="auto"/>
              </w:rPr>
              <w:t>9,626</w:t>
            </w:r>
          </w:p>
        </w:tc>
        <w:tc>
          <w:tcPr>
            <w:tcW w:w="140" w:type="dxa"/>
            <w:vAlign w:val="bottom"/>
            <w:gridSpan w:val="2"/>
            <w:shd w:val="clear" w:color="auto" w:fill="CCEEFF"/>
          </w:tcPr>
          <w:p>
            <w:pPr>
              <w:ind w:left="60"/>
              <w:spacing w:after="0" w:line="156" w:lineRule="exact"/>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5"/>
                <w:szCs w:val="15"/>
                <w:color w:val="auto"/>
              </w:rPr>
              <w:t>(19,908)</w:t>
            </w:r>
          </w:p>
        </w:tc>
        <w:tc>
          <w:tcPr>
            <w:tcW w:w="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5"/>
                <w:szCs w:val="15"/>
                <w:color w:val="auto"/>
              </w:rPr>
              <w:t>23,944</w:t>
            </w:r>
          </w:p>
        </w:tc>
        <w:tc>
          <w:tcPr>
            <w:tcW w:w="64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$353,785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line="162" w:lineRule="exact"/>
              <w:rPr>
                <w:sz w:val="20"/>
                <w:szCs w:val="20"/>
                <w:color w:val="auto"/>
              </w:rPr>
            </w:pPr>
            <w:r>
              <w:rPr>
                <w:rFonts w:ascii="Arial" w:cs="Arial" w:eastAsia="Arial" w:hAnsi="Arial"/>
                <w:sz w:val="15"/>
                <w:szCs w:val="15"/>
                <w:color w:val="auto"/>
              </w:rPr>
              <w:t>Public offerings of common stock, net of expenses (Note 8)</w:t>
            </w:r>
          </w:p>
        </w:tc>
        <w:tc>
          <w:tcPr>
            <w:tcW w:w="74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2,012,500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32,285</w:t>
            </w:r>
          </w:p>
        </w:tc>
        <w:tc>
          <w:tcPr>
            <w:tcW w:w="160" w:type="dxa"/>
            <w:vAlign w:val="bottom"/>
          </w:tcPr>
          <w:p>
            <w:pPr>
              <w:spacing w:after="0"/>
              <w:rPr>
                <w:sz w:val="14"/>
                <w:szCs w:val="14"/>
                <w:color w:val="auto"/>
              </w:rPr>
            </w:pPr>
          </w:p>
        </w:tc>
        <w:tc>
          <w:tcPr>
            <w:tcW w:w="86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32,287</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Shares issued under dividend reinvestment plan</w:t>
            </w:r>
          </w:p>
        </w:tc>
        <w:tc>
          <w:tcPr>
            <w:tcW w:w="800" w:type="dxa"/>
            <w:vAlign w:val="bottom"/>
            <w:gridSpan w:val="3"/>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22,048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center"/>
              <w:ind w:right="1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374</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3"/>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374</w:t>
            </w:r>
          </w:p>
        </w:tc>
        <w:tc>
          <w:tcPr>
            <w:tcW w:w="0" w:type="dxa"/>
            <w:vAlign w:val="bottom"/>
          </w:tcPr>
          <w:p>
            <w:pPr>
              <w:spacing w:after="0"/>
              <w:rPr>
                <w:sz w:val="1"/>
                <w:szCs w:val="1"/>
                <w:color w:val="auto"/>
              </w:rPr>
            </w:pPr>
          </w:p>
        </w:tc>
      </w:tr>
      <w:tr>
        <w:trPr>
          <w:trHeight w:val="162"/>
        </w:trPr>
        <w:tc>
          <w:tcPr>
            <w:tcW w:w="5200" w:type="dxa"/>
            <w:vAlign w:val="bottom"/>
          </w:tcPr>
          <w:p>
            <w:pPr>
              <w:spacing w:after="0" w:line="162" w:lineRule="exact"/>
              <w:rPr>
                <w:sz w:val="20"/>
                <w:szCs w:val="20"/>
                <w:color w:val="auto"/>
              </w:rPr>
            </w:pPr>
            <w:r>
              <w:rPr>
                <w:rFonts w:ascii="Arial" w:cs="Arial" w:eastAsia="Arial" w:hAnsi="Arial"/>
                <w:sz w:val="15"/>
                <w:szCs w:val="15"/>
                <w:color w:val="auto"/>
              </w:rPr>
              <w:t>Net increase in net assets resulting from operations</w:t>
            </w:r>
          </w:p>
        </w:tc>
        <w:tc>
          <w:tcPr>
            <w:tcW w:w="800" w:type="dxa"/>
            <w:vAlign w:val="bottom"/>
            <w:gridSpan w:val="3"/>
          </w:tcPr>
          <w:p>
            <w:pPr>
              <w:ind w:left="50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center"/>
              <w:ind w:right="1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16,801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4,712</w:t>
            </w:r>
          </w:p>
        </w:tc>
        <w:tc>
          <w:tcPr>
            <w:tcW w:w="80" w:type="dxa"/>
            <w:vAlign w:val="bottom"/>
          </w:tcPr>
          <w:p>
            <w:pPr>
              <w:spacing w:after="0"/>
              <w:rPr>
                <w:sz w:val="14"/>
                <w:szCs w:val="14"/>
                <w:color w:val="auto"/>
              </w:rPr>
            </w:pPr>
          </w:p>
        </w:tc>
        <w:tc>
          <w:tcPr>
            <w:tcW w:w="10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(2,024)</w:t>
            </w:r>
          </w:p>
        </w:tc>
        <w:tc>
          <w:tcPr>
            <w:tcW w:w="74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19,489</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Dividends declared</w:t>
            </w:r>
          </w:p>
        </w:tc>
        <w:tc>
          <w:tcPr>
            <w:tcW w:w="720" w:type="dxa"/>
            <w:vAlign w:val="bottom"/>
            <w:shd w:val="clear" w:color="auto" w:fill="CCEEFF"/>
          </w:tcPr>
          <w:p>
            <w:pPr>
              <w:ind w:left="500"/>
              <w:spacing w:after="0" w:line="162" w:lineRule="exact"/>
              <w:rPr>
                <w:sz w:val="20"/>
                <w:szCs w:val="20"/>
                <w:color w:val="auto"/>
              </w:rPr>
            </w:pPr>
            <w:r>
              <w:rPr>
                <w:rFonts w:ascii="Arial" w:cs="Arial" w:eastAsia="Arial" w:hAnsi="Arial"/>
                <w:sz w:val="15"/>
                <w:szCs w:val="15"/>
                <w:color w:val="auto"/>
              </w:rPr>
              <w:t>—</w:t>
            </w:r>
          </w:p>
        </w:tc>
        <w:tc>
          <w:tcPr>
            <w:tcW w:w="8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(17,512)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3"/>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(17,512)</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5"/>
                <w:szCs w:val="15"/>
                <w:b w:val="1"/>
                <w:bCs w:val="1"/>
                <w:color w:val="auto"/>
              </w:rPr>
              <w:t>Balances at June 30, 2017</w:t>
            </w: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0" w:type="dxa"/>
            <w:vAlign w:val="bottom"/>
            <w:vMerge w:val="continue"/>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w w:val="93"/>
              </w:rPr>
              <w:t>24,480,624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32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24</w:t>
            </w:r>
          </w:p>
        </w:tc>
        <w:tc>
          <w:tcPr>
            <w:tcW w:w="180" w:type="dxa"/>
            <w:vAlign w:val="bottom"/>
            <w:gridSpan w:val="2"/>
          </w:tcPr>
          <w:p>
            <w:pPr>
              <w:ind w:left="80"/>
              <w:spacing w:after="0" w:line="169" w:lineRule="exact"/>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w w:val="99"/>
              </w:rPr>
              <w:t>372,760</w:t>
            </w:r>
          </w:p>
        </w:tc>
        <w:tc>
          <w:tcPr>
            <w:tcW w:w="140" w:type="dxa"/>
            <w:vAlign w:val="bottom"/>
          </w:tcPr>
          <w:p>
            <w:pPr>
              <w:spacing w:after="0"/>
              <w:rPr>
                <w:sz w:val="14"/>
                <w:szCs w:val="14"/>
                <w:color w:val="auto"/>
              </w:rPr>
            </w:pPr>
          </w:p>
        </w:tc>
        <w:tc>
          <w:tcPr>
            <w:tcW w:w="16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8,915</w:t>
            </w:r>
          </w:p>
        </w:tc>
        <w:tc>
          <w:tcPr>
            <w:tcW w:w="140" w:type="dxa"/>
            <w:vAlign w:val="bottom"/>
            <w:gridSpan w:val="2"/>
          </w:tcPr>
          <w:p>
            <w:pPr>
              <w:ind w:left="60"/>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(15,196)</w:t>
            </w:r>
          </w:p>
        </w:tc>
        <w:tc>
          <w:tcPr>
            <w:tcW w:w="80" w:type="dxa"/>
            <w:vAlign w:val="bottom"/>
          </w:tcPr>
          <w:p>
            <w:pPr>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21,920</w:t>
            </w:r>
          </w:p>
        </w:tc>
        <w:tc>
          <w:tcPr>
            <w:tcW w:w="640" w:type="dxa"/>
            <w:vAlign w:val="bottom"/>
            <w:gridSpan w:val="2"/>
          </w:tcPr>
          <w:p>
            <w:pPr>
              <w:jc w:val="right"/>
              <w:spacing w:after="0" w:line="169" w:lineRule="exact"/>
              <w:rPr>
                <w:sz w:val="20"/>
                <w:szCs w:val="20"/>
                <w:color w:val="auto"/>
              </w:rPr>
            </w:pPr>
            <w:r>
              <w:rPr>
                <w:rFonts w:ascii="Arial" w:cs="Arial" w:eastAsia="Arial" w:hAnsi="Arial"/>
                <w:sz w:val="15"/>
                <w:szCs w:val="15"/>
                <w:u w:val="single" w:color="auto"/>
                <w:color w:val="auto"/>
                <w:w w:val="99"/>
              </w:rPr>
              <w:t>$</w:t>
            </w:r>
            <w:r>
              <w:rPr>
                <w:rFonts w:ascii="Arial" w:cs="Arial" w:eastAsia="Arial" w:hAnsi="Arial"/>
                <w:sz w:val="15"/>
                <w:szCs w:val="15"/>
                <w:color w:val="auto"/>
                <w:w w:val="99"/>
              </w:rPr>
              <w:t>388,423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Six Months Ended</w:t>
      </w:r>
    </w:p>
    <w:p>
      <w:pPr>
        <w:jc w:val="center"/>
        <w:ind w:left="95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3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9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Net increase in net assets resulting from operations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19,489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20,333</w:t>
            </w:r>
          </w:p>
        </w:tc>
      </w:tr>
      <w:tr>
        <w:trPr>
          <w:trHeight w:val="202"/>
        </w:trPr>
        <w:tc>
          <w:tcPr>
            <w:tcW w:w="9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Adjustments to reconcile net increase in net assets resulting from operations to net cash (used for) provided by operating</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activities:</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9360" w:type="dxa"/>
            <w:vAlign w:val="bottom"/>
          </w:tcPr>
          <w:p>
            <w:pPr>
              <w:ind w:left="72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(8,253)</w:t>
            </w: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realized (gain) on 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(6,097)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r>
      <w:tr>
        <w:trPr>
          <w:trHeight w:val="216"/>
        </w:trPr>
        <w:tc>
          <w:tcPr>
            <w:tcW w:w="9360" w:type="dxa"/>
            <w:vAlign w:val="bottom"/>
          </w:tcPr>
          <w:p>
            <w:pPr>
              <w:ind w:left="720"/>
              <w:spacing w:after="0"/>
              <w:rPr>
                <w:sz w:val="20"/>
                <w:szCs w:val="20"/>
                <w:color w:val="auto"/>
              </w:rPr>
            </w:pPr>
            <w:r>
              <w:rPr>
                <w:rFonts w:ascii="Arial" w:cs="Arial" w:eastAsia="Arial" w:hAnsi="Arial"/>
                <w:sz w:val="18"/>
                <w:szCs w:val="18"/>
                <w:color w:val="auto"/>
              </w:rPr>
              <w:t>Interest and dividend income paid-in-kind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(3,864)</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(2,201)</w:t>
            </w: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Accretion of original issue discount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r>
      <w:tr>
        <w:trPr>
          <w:trHeight w:val="216"/>
        </w:trPr>
        <w:tc>
          <w:tcPr>
            <w:tcW w:w="9360" w:type="dxa"/>
            <w:vAlign w:val="bottom"/>
          </w:tcPr>
          <w:p>
            <w:pPr>
              <w:ind w:left="720"/>
              <w:spacing w:after="0"/>
              <w:rPr>
                <w:sz w:val="20"/>
                <w:szCs w:val="20"/>
                <w:color w:val="auto"/>
              </w:rPr>
            </w:pPr>
            <w:r>
              <w:rPr>
                <w:rFonts w:ascii="Arial" w:cs="Arial" w:eastAsia="Arial" w:hAnsi="Arial"/>
                <w:sz w:val="18"/>
                <w:szCs w:val="18"/>
                <w:color w:val="auto"/>
              </w:rPr>
              <w:t>Accretion of loan origination fees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(528)</w:t>
            </w: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 of 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(87,087)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(44,422)</w:t>
            </w:r>
          </w:p>
        </w:tc>
      </w:tr>
      <w:tr>
        <w:trPr>
          <w:trHeight w:val="216"/>
        </w:trPr>
        <w:tc>
          <w:tcPr>
            <w:tcW w:w="9360" w:type="dxa"/>
            <w:vAlign w:val="bottom"/>
          </w:tcPr>
          <w:p>
            <w:pPr>
              <w:ind w:left="720"/>
              <w:spacing w:after="0"/>
              <w:rPr>
                <w:sz w:val="20"/>
                <w:szCs w:val="20"/>
                <w:color w:val="auto"/>
              </w:rPr>
            </w:pPr>
            <w:r>
              <w:rPr>
                <w:rFonts w:ascii="Arial" w:cs="Arial" w:eastAsia="Arial" w:hAnsi="Arial"/>
                <w:sz w:val="18"/>
                <w:szCs w:val="18"/>
                <w:color w:val="auto"/>
              </w:rPr>
              <w:t>Proceeds from sales and repayments of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66,733</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46,034</w:t>
            </w: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loan origination fees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r>
      <w:tr>
        <w:trPr>
          <w:trHeight w:val="216"/>
        </w:trPr>
        <w:tc>
          <w:tcPr>
            <w:tcW w:w="9360" w:type="dxa"/>
            <w:vAlign w:val="bottom"/>
          </w:tcPr>
          <w:p>
            <w:pPr>
              <w:ind w:left="72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ind w:left="1080"/>
              <w:spacing w:after="0"/>
              <w:rPr>
                <w:sz w:val="20"/>
                <w:szCs w:val="20"/>
                <w:color w:val="auto"/>
              </w:rPr>
            </w:pPr>
            <w:r>
              <w:rPr>
                <w:rFonts w:ascii="Arial" w:cs="Arial" w:eastAsia="Arial" w:hAnsi="Arial"/>
                <w:sz w:val="18"/>
                <w:szCs w:val="18"/>
                <w:color w:val="auto"/>
              </w:rPr>
              <w:t>Interest receivable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(575)</w:t>
            </w:r>
          </w:p>
        </w:tc>
      </w:tr>
      <w:tr>
        <w:trPr>
          <w:trHeight w:val="216"/>
        </w:trPr>
        <w:tc>
          <w:tcPr>
            <w:tcW w:w="9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r>
      <w:tr>
        <w:trPr>
          <w:trHeight w:val="216"/>
        </w:trPr>
        <w:tc>
          <w:tcPr>
            <w:tcW w:w="9360" w:type="dxa"/>
            <w:vAlign w:val="bottom"/>
          </w:tcPr>
          <w:p>
            <w:pPr>
              <w:ind w:left="1080"/>
              <w:spacing w:after="0"/>
              <w:rPr>
                <w:sz w:val="20"/>
                <w:szCs w:val="20"/>
                <w:color w:val="auto"/>
              </w:rPr>
            </w:pPr>
            <w:r>
              <w:rPr>
                <w:rFonts w:ascii="Arial" w:cs="Arial" w:eastAsia="Arial" w:hAnsi="Arial"/>
                <w:sz w:val="18"/>
                <w:szCs w:val="18"/>
                <w:color w:val="auto"/>
              </w:rPr>
              <w:t>Accrued interest and fees 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r>
      <w:tr>
        <w:trPr>
          <w:trHeight w:val="216"/>
        </w:trPr>
        <w:tc>
          <w:tcPr>
            <w:tcW w:w="9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Management and incentive fees payable – due to affiliate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w:t>
            </w:r>
          </w:p>
        </w:tc>
      </w:tr>
      <w:tr>
        <w:trPr>
          <w:trHeight w:val="216"/>
        </w:trPr>
        <w:tc>
          <w:tcPr>
            <w:tcW w:w="9360" w:type="dxa"/>
            <w:vAlign w:val="bottom"/>
          </w:tcPr>
          <w:p>
            <w:pPr>
              <w:ind w:left="1080"/>
              <w:spacing w:after="0"/>
              <w:rPr>
                <w:sz w:val="20"/>
                <w:szCs w:val="20"/>
                <w:color w:val="auto"/>
              </w:rPr>
            </w:pPr>
            <w:r>
              <w:rPr>
                <w:rFonts w:ascii="Arial" w:cs="Arial" w:eastAsia="Arial" w:hAnsi="Arial"/>
                <w:sz w:val="18"/>
                <w:szCs w:val="18"/>
                <w:color w:val="auto"/>
              </w:rPr>
              <w:t>Administration fee payable and other – due to affiliate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(223)</w:t>
            </w:r>
          </w:p>
        </w:tc>
      </w:tr>
      <w:tr>
        <w:trPr>
          <w:trHeight w:val="216"/>
        </w:trPr>
        <w:tc>
          <w:tcPr>
            <w:tcW w:w="9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Taxes payable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r>
      <w:tr>
        <w:trPr>
          <w:trHeight w:val="216"/>
        </w:trPr>
        <w:tc>
          <w:tcPr>
            <w:tcW w:w="9360" w:type="dxa"/>
            <w:vAlign w:val="bottom"/>
          </w:tcPr>
          <w:p>
            <w:pPr>
              <w:ind w:left="1080"/>
              <w:spacing w:after="0"/>
              <w:rPr>
                <w:sz w:val="20"/>
                <w:szCs w:val="20"/>
                <w:color w:val="auto"/>
              </w:rPr>
            </w:pPr>
            <w:r>
              <w:rPr>
                <w:rFonts w:ascii="Arial" w:cs="Arial" w:eastAsia="Arial" w:hAnsi="Arial"/>
                <w:sz w:val="18"/>
                <w:szCs w:val="18"/>
                <w:color w:val="auto"/>
              </w:rPr>
              <w:t>Accounts payable and other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6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(used for) provided by operating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(9,698)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12,194</w:t>
            </w:r>
          </w:p>
        </w:tc>
      </w:tr>
      <w:tr>
        <w:trPr>
          <w:trHeight w:val="223"/>
        </w:trPr>
        <w:tc>
          <w:tcPr>
            <w:tcW w:w="93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stock offering, net of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28,053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43,670</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Proceeds received from SBA debentures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18,000</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SBA debentures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(24,750)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Proceeds received from borrowings under Credit Facility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13,000</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borrowings under Credit Facility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(11,000)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(28,500)</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Payment of deferred financing costs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(731)</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 to stockholders, including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(17,138)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(13,320)</w:t>
            </w:r>
          </w:p>
        </w:tc>
      </w:tr>
      <w:tr>
        <w:trPr>
          <w:trHeight w:val="230"/>
        </w:trPr>
        <w:tc>
          <w:tcPr>
            <w:tcW w:w="9360" w:type="dxa"/>
            <w:vAlign w:val="bottom"/>
          </w:tcPr>
          <w:p>
            <w:pPr>
              <w:ind w:left="1440"/>
              <w:spacing w:after="0"/>
              <w:rPr>
                <w:sz w:val="20"/>
                <w:szCs w:val="20"/>
                <w:color w:val="auto"/>
              </w:rPr>
            </w:pPr>
            <w:r>
              <w:rPr>
                <w:rFonts w:ascii="Arial" w:cs="Arial" w:eastAsia="Arial" w:hAnsi="Arial"/>
                <w:sz w:val="18"/>
                <w:szCs w:val="18"/>
                <w:b w:val="1"/>
                <w:bCs w:val="1"/>
                <w:color w:val="auto"/>
              </w:rPr>
              <w:t>Net cash provided by financing activities</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3,434</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15,292</w:t>
            </w:r>
          </w:p>
        </w:tc>
        <w:tc>
          <w:tcPr>
            <w:tcW w:w="100" w:type="dxa"/>
            <w:vAlign w:val="bottom"/>
          </w:tcPr>
          <w:p>
            <w:pPr>
              <w:spacing w:after="0"/>
              <w:rPr>
                <w:sz w:val="20"/>
                <w:szCs w:val="20"/>
                <w:color w:val="auto"/>
              </w:rPr>
            </w:pPr>
          </w:p>
        </w:tc>
      </w:tr>
      <w:tr>
        <w:trPr>
          <w:trHeight w:val="216"/>
        </w:trPr>
        <w:tc>
          <w:tcPr>
            <w:tcW w:w="936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(6,264)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27,486</w:t>
            </w:r>
          </w:p>
        </w:tc>
      </w:tr>
      <w:tr>
        <w:trPr>
          <w:trHeight w:val="216"/>
        </w:trPr>
        <w:tc>
          <w:tcPr>
            <w:tcW w:w="936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Beginning of period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57,083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31,657</w:t>
            </w:r>
          </w:p>
        </w:tc>
      </w:tr>
      <w:tr>
        <w:trPr>
          <w:trHeight w:val="223"/>
        </w:trPr>
        <w:tc>
          <w:tcPr>
            <w:tcW w:w="9360" w:type="dxa"/>
            <w:vAlign w:val="bottom"/>
          </w:tcPr>
          <w:p>
            <w:pPr>
              <w:ind w:left="360"/>
              <w:spacing w:after="0"/>
              <w:rPr>
                <w:sz w:val="20"/>
                <w:szCs w:val="20"/>
                <w:color w:val="auto"/>
              </w:rPr>
            </w:pPr>
            <w:r>
              <w:rPr>
                <w:rFonts w:ascii="Arial" w:cs="Arial" w:eastAsia="Arial" w:hAnsi="Arial"/>
                <w:sz w:val="18"/>
                <w:szCs w:val="18"/>
                <w:color w:val="auto"/>
              </w:rPr>
              <w:t>End of period</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50,819</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59,143</w:t>
            </w:r>
          </w:p>
        </w:tc>
        <w:tc>
          <w:tcPr>
            <w:tcW w:w="10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Cash payments for interest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4,870</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4,510</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payments for taxes, net of tax refunds received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r>
      <w:tr>
        <w:trPr>
          <w:trHeight w:val="216"/>
        </w:trPr>
        <w:tc>
          <w:tcPr>
            <w:tcW w:w="9360" w:type="dxa"/>
            <w:vAlign w:val="bottom"/>
          </w:tcPr>
          <w:p>
            <w:pPr>
              <w:spacing w:after="0"/>
              <w:rPr>
                <w:sz w:val="20"/>
                <w:szCs w:val="20"/>
                <w:color w:val="auto"/>
              </w:rPr>
            </w:pPr>
            <w:r>
              <w:rPr>
                <w:rFonts w:ascii="Arial" w:cs="Arial" w:eastAsia="Arial" w:hAnsi="Arial"/>
                <w:sz w:val="18"/>
                <w:szCs w:val="18"/>
                <w:b w:val="1"/>
                <w:bCs w:val="1"/>
                <w:color w:val="auto"/>
              </w:rPr>
              <w:t>Non-cash financing activities: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issued under dividend reinvestment plan</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r>
      <w:tr>
        <w:trPr>
          <w:trHeight w:val="230"/>
        </w:trPr>
        <w:tc>
          <w:tcPr>
            <w:tcW w:w="9360" w:type="dxa"/>
            <w:vAlign w:val="bottom"/>
          </w:tcPr>
          <w:p>
            <w:pPr>
              <w:ind w:left="360"/>
              <w:spacing w:after="0"/>
              <w:rPr>
                <w:sz w:val="20"/>
                <w:szCs w:val="20"/>
                <w:color w:val="auto"/>
              </w:rPr>
            </w:pPr>
            <w:r>
              <w:rPr>
                <w:rFonts w:ascii="Arial" w:cs="Arial" w:eastAsia="Arial" w:hAnsi="Arial"/>
                <w:sz w:val="18"/>
                <w:szCs w:val="18"/>
                <w:color w:val="auto"/>
              </w:rPr>
              <w:t>Proceeds receivable from stock offering</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4,234</w:t>
            </w:r>
          </w:p>
        </w:tc>
        <w:tc>
          <w:tcPr>
            <w:tcW w:w="3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60" w:type="dxa"/>
            <w:vAlign w:val="bottom"/>
            <w:gridSpan w:val="3"/>
          </w:tcPr>
          <w:p>
            <w:pPr>
              <w:spacing w:after="0"/>
              <w:rPr>
                <w:sz w:val="20"/>
                <w:szCs w:val="20"/>
                <w:color w:val="auto"/>
              </w:rPr>
            </w:pPr>
            <w:r>
              <w:rPr>
                <w:rFonts w:ascii="Arial" w:cs="Arial" w:eastAsia="Arial" w:hAnsi="Arial"/>
                <w:sz w:val="14"/>
                <w:szCs w:val="14"/>
                <w:b w:val="1"/>
                <w:bCs w:val="1"/>
                <w:color w:val="auto"/>
              </w:rPr>
              <w:t>Industry</w:t>
            </w: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2"/>
                <w:szCs w:val="12"/>
                <w:b w:val="1"/>
                <w:bCs w:val="1"/>
                <w:color w:val="auto"/>
              </w:rPr>
              <w:t>(d)</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9"/>
        </w:trPr>
        <w:tc>
          <w:tcPr>
            <w:tcW w:w="6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2"/>
                <w:szCs w:val="12"/>
                <w:b w:val="1"/>
                <w:bCs w:val="1"/>
                <w:color w:val="auto"/>
              </w:rPr>
              <w:t>(a)(b)</w:t>
            </w:r>
          </w:p>
        </w:tc>
        <w:tc>
          <w:tcPr>
            <w:tcW w:w="1000" w:type="dxa"/>
            <w:vAlign w:val="bottom"/>
            <w:gridSpan w:val="2"/>
            <w:vMerge w:val="continue"/>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2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49"/>
        </w:trPr>
        <w:tc>
          <w:tcPr>
            <w:tcW w:w="63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12"/>
                <w:szCs w:val="12"/>
                <w:b w:val="1"/>
                <w:bCs w:val="1"/>
                <w:color w:val="auto"/>
              </w:rPr>
              <w:t>(c)</w:t>
            </w:r>
          </w:p>
        </w:tc>
        <w:tc>
          <w:tcPr>
            <w:tcW w:w="10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Cash/PIK</w:t>
            </w:r>
          </w:p>
        </w:tc>
        <w:tc>
          <w:tcPr>
            <w:tcW w:w="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4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20"/>
        </w:trPr>
        <w:tc>
          <w:tcPr>
            <w:tcW w:w="1460" w:type="dxa"/>
            <w:vAlign w:val="bottom"/>
            <w:tcBorders>
              <w:top w:val="single" w:sz="8" w:color="auto"/>
              <w:bottom w:val="single" w:sz="8" w:color="auto"/>
            </w:tcBorders>
            <w:gridSpan w:val="2"/>
            <w:vMerge w:val="restart"/>
          </w:tcPr>
          <w:p>
            <w:pPr>
              <w:spacing w:after="0" w:line="155" w:lineRule="exact"/>
              <w:rPr>
                <w:sz w:val="20"/>
                <w:szCs w:val="20"/>
                <w:color w:val="auto"/>
              </w:rPr>
            </w:pPr>
            <w:r>
              <w:rPr>
                <w:rFonts w:ascii="Arial" w:cs="Arial" w:eastAsia="Arial" w:hAnsi="Arial"/>
                <w:sz w:val="14"/>
                <w:szCs w:val="14"/>
                <w:b w:val="1"/>
                <w:bCs w:val="1"/>
                <w:color w:val="auto"/>
              </w:rPr>
              <w:t>Aerospace &amp; Defense</w:t>
            </w:r>
          </w:p>
        </w:tc>
        <w:tc>
          <w:tcPr>
            <w:tcW w:w="4900" w:type="dxa"/>
            <w:vAlign w:val="bottom"/>
            <w:vMerge w:val="restart"/>
          </w:tcPr>
          <w:p>
            <w:pPr>
              <w:spacing w:after="0" w:line="155" w:lineRule="exact"/>
              <w:rPr>
                <w:sz w:val="20"/>
                <w:szCs w:val="20"/>
                <w:color w:val="auto"/>
              </w:rPr>
            </w:pPr>
            <w:r>
              <w:rPr>
                <w:rFonts w:ascii="Arial" w:cs="Arial" w:eastAsia="Arial" w:hAnsi="Arial"/>
                <w:sz w:val="14"/>
                <w:szCs w:val="14"/>
                <w:b w:val="1"/>
                <w:bCs w:val="1"/>
                <w:color w:val="auto"/>
              </w:rPr>
              <w:t>Manufacturing</w:t>
            </w: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460" w:type="dxa"/>
            <w:vAlign w:val="bottom"/>
            <w:gridSpan w:val="2"/>
            <w:vMerge w:val="continue"/>
          </w:tcPr>
          <w:p>
            <w:pPr>
              <w:spacing w:after="0"/>
              <w:rPr>
                <w:sz w:val="10"/>
                <w:szCs w:val="10"/>
                <w:color w:val="auto"/>
              </w:rPr>
            </w:pPr>
          </w:p>
        </w:tc>
        <w:tc>
          <w:tcPr>
            <w:tcW w:w="490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 xml:space="preserve">FDS Avionics Corp. </w:t>
            </w:r>
            <w:r>
              <w:rPr>
                <w:rFonts w:ascii="Arial" w:cs="Arial" w:eastAsia="Arial" w:hAnsi="Arial"/>
                <w:sz w:val="12"/>
                <w:szCs w:val="12"/>
                <w:i w:val="1"/>
                <w:iCs w:val="1"/>
                <w:color w:val="auto"/>
              </w:rPr>
              <w:t>(k)</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(dba Flight Display Systems)</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12.3%/2.8%</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4/1/2020</w:t>
            </w: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   5,367</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$ 5,354</w:t>
            </w:r>
          </w:p>
        </w:tc>
        <w:tc>
          <w:tcPr>
            <w:tcW w:w="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5,005</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Preferred Equity (186 units) </w:t>
            </w:r>
            <w:r>
              <w:rPr>
                <w:rFonts w:ascii="Arial" w:cs="Arial" w:eastAsia="Arial" w:hAnsi="Arial"/>
                <w:sz w:val="12"/>
                <w:szCs w:val="12"/>
                <w:color w:val="auto"/>
              </w:rPr>
              <w:t>(i)(f)</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371</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Common Equity (200 units) </w:t>
            </w:r>
            <w:r>
              <w:rPr>
                <w:rFonts w:ascii="Arial" w:cs="Arial" w:eastAsia="Arial" w:hAnsi="Arial"/>
                <w:sz w:val="12"/>
                <w:szCs w:val="12"/>
                <w:color w:val="auto"/>
              </w:rPr>
              <w:t>(i)</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5,379</w:t>
            </w:r>
          </w:p>
        </w:tc>
        <w:tc>
          <w:tcPr>
            <w:tcW w:w="2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4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 xml:space="preserve">Fiber Materials, Inc. </w:t>
            </w:r>
            <w:r>
              <w:rPr>
                <w:rFonts w:ascii="Arial" w:cs="Arial" w:eastAsia="Arial" w:hAnsi="Arial"/>
                <w:sz w:val="12"/>
                <w:szCs w:val="12"/>
                <w:i w:val="1"/>
                <w:iCs w:val="1"/>
                <w:color w:val="auto"/>
              </w:rPr>
              <w:t>(k)</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Note</w:t>
            </w:r>
          </w:p>
        </w:tc>
        <w:tc>
          <w:tcPr>
            <w:tcW w:w="760" w:type="dxa"/>
            <w:vAlign w:val="bottom"/>
          </w:tcPr>
          <w:p>
            <w:pPr>
              <w:ind w:left="40"/>
              <w:spacing w:after="0" w:line="149" w:lineRule="exact"/>
              <w:rPr>
                <w:sz w:val="20"/>
                <w:szCs w:val="20"/>
                <w:color w:val="auto"/>
              </w:rPr>
            </w:pPr>
            <w:r>
              <w:rPr>
                <w:rFonts w:ascii="Arial" w:cs="Arial" w:eastAsia="Arial" w:hAnsi="Arial"/>
                <w:sz w:val="14"/>
                <w:szCs w:val="14"/>
                <w:color w:val="auto"/>
                <w:w w:val="92"/>
              </w:rPr>
              <w:t>12.0%/1.0%</w:t>
            </w:r>
          </w:p>
        </w:tc>
        <w:tc>
          <w:tcPr>
            <w:tcW w:w="24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5/30/2022</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4,024</w:t>
            </w: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4,006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4,023</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(10 units)</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1,285</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5,006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5,308</w:t>
            </w:r>
          </w:p>
        </w:tc>
        <w:tc>
          <w:tcPr>
            <w:tcW w:w="2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4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Lightning Diversion Systems, LLC</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Senior Secured Loan </w:t>
            </w:r>
            <w:r>
              <w:rPr>
                <w:rFonts w:ascii="Arial" w:cs="Arial" w:eastAsia="Arial" w:hAnsi="Arial"/>
                <w:sz w:val="12"/>
                <w:szCs w:val="12"/>
                <w:color w:val="auto"/>
              </w:rPr>
              <w:t>(j)</w:t>
            </w:r>
          </w:p>
        </w:tc>
        <w:tc>
          <w:tcPr>
            <w:tcW w:w="760" w:type="dxa"/>
            <w:vAlign w:val="bottom"/>
          </w:tcPr>
          <w:p>
            <w:pPr>
              <w:ind w:left="40"/>
              <w:spacing w:after="0" w:line="149" w:lineRule="exact"/>
              <w:rPr>
                <w:sz w:val="20"/>
                <w:szCs w:val="20"/>
                <w:color w:val="auto"/>
              </w:rPr>
            </w:pPr>
            <w:r>
              <w:rPr>
                <w:rFonts w:ascii="Arial" w:cs="Arial" w:eastAsia="Arial" w:hAnsi="Arial"/>
                <w:sz w:val="14"/>
                <w:szCs w:val="14"/>
                <w:color w:val="auto"/>
                <w:w w:val="92"/>
              </w:rPr>
              <w:t>10.5%/0.0%</w:t>
            </w:r>
          </w:p>
        </w:tc>
        <w:tc>
          <w:tcPr>
            <w:tcW w:w="24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9/16/2021</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21,204</w:t>
            </w: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21,124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21,204</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Revolving Loan ($250 commitment) </w:t>
            </w:r>
            <w:r>
              <w:rPr>
                <w:rFonts w:ascii="Arial" w:cs="Arial" w:eastAsia="Arial" w:hAnsi="Arial"/>
                <w:sz w:val="12"/>
                <w:szCs w:val="12"/>
                <w:color w:val="auto"/>
              </w:rPr>
              <w:t>(h)</w:t>
            </w:r>
          </w:p>
        </w:tc>
        <w:tc>
          <w:tcPr>
            <w:tcW w:w="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10.5%/0.0%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9/16/2021</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Common Equity (600,000 units)</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3,760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21,123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24,964</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7"/>
        </w:trPr>
        <w:tc>
          <w:tcPr>
            <w:tcW w:w="6360" w:type="dxa"/>
            <w:vAlign w:val="bottom"/>
            <w:gridSpan w:val="3"/>
          </w:tcPr>
          <w:p>
            <w:pPr>
              <w:spacing w:after="0"/>
              <w:rPr>
                <w:sz w:val="20"/>
                <w:szCs w:val="20"/>
                <w:color w:val="auto"/>
              </w:rPr>
            </w:pPr>
            <w:r>
              <w:rPr>
                <w:rFonts w:ascii="Arial" w:cs="Arial" w:eastAsia="Arial" w:hAnsi="Arial"/>
                <w:sz w:val="14"/>
                <w:szCs w:val="14"/>
                <w:i w:val="1"/>
                <w:iCs w:val="1"/>
                <w:color w:val="auto"/>
              </w:rPr>
              <w:t xml:space="preserve">Malabar International </w:t>
            </w:r>
            <w:r>
              <w:rPr>
                <w:rFonts w:ascii="Arial" w:cs="Arial" w:eastAsia="Arial" w:hAnsi="Arial"/>
                <w:sz w:val="12"/>
                <w:szCs w:val="12"/>
                <w:i w:val="1"/>
                <w:iCs w:val="1"/>
                <w:color w:val="auto"/>
              </w:rPr>
              <w:t>(k)</w:t>
            </w: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11.3%/2.0%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1"/>
              </w:rPr>
              <w:t>11/13/2021</w:t>
            </w: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7,693</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7,684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7,693</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Preferred Equity (1,494 shares) </w:t>
            </w:r>
            <w:r>
              <w:rPr>
                <w:rFonts w:ascii="Arial" w:cs="Arial" w:eastAsia="Arial" w:hAnsi="Arial"/>
                <w:sz w:val="12"/>
                <w:szCs w:val="12"/>
                <w:color w:val="auto"/>
              </w:rPr>
              <w:t>(f)</w:t>
            </w:r>
          </w:p>
        </w:tc>
        <w:tc>
          <w:tcPr>
            <w:tcW w:w="760" w:type="dxa"/>
            <w:vAlign w:val="bottom"/>
          </w:tcPr>
          <w:p>
            <w:pPr>
              <w:ind w:left="40"/>
              <w:spacing w:after="0" w:line="149" w:lineRule="exact"/>
              <w:rPr>
                <w:sz w:val="20"/>
                <w:szCs w:val="20"/>
                <w:color w:val="auto"/>
              </w:rPr>
            </w:pPr>
            <w:r>
              <w:rPr>
                <w:rFonts w:ascii="Arial" w:cs="Arial" w:eastAsia="Arial" w:hAnsi="Arial"/>
                <w:sz w:val="14"/>
                <w:szCs w:val="14"/>
                <w:color w:val="auto"/>
              </w:rPr>
              <w:t>6.0%/0.0%</w:t>
            </w:r>
          </w:p>
        </w:tc>
        <w:tc>
          <w:tcPr>
            <w:tcW w:w="24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5/12/2022</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1,997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6,009</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13,702</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7"/>
        </w:trPr>
        <w:tc>
          <w:tcPr>
            <w:tcW w:w="6360" w:type="dxa"/>
            <w:vAlign w:val="bottom"/>
            <w:gridSpan w:val="3"/>
          </w:tcPr>
          <w:p>
            <w:pPr>
              <w:spacing w:after="0"/>
              <w:rPr>
                <w:sz w:val="20"/>
                <w:szCs w:val="20"/>
                <w:color w:val="auto"/>
              </w:rPr>
            </w:pPr>
            <w:r>
              <w:rPr>
                <w:rFonts w:ascii="Arial" w:cs="Arial" w:eastAsia="Arial" w:hAnsi="Arial"/>
                <w:sz w:val="14"/>
                <w:szCs w:val="14"/>
                <w:i w:val="1"/>
                <w:iCs w:val="1"/>
                <w:color w:val="auto"/>
              </w:rPr>
              <w:t>Simplex Manufacturing Co.</w:t>
            </w: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14.0%/0.0%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11/1/2017</w:t>
            </w: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4,050</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4,050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4,050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Warrant (29 shares) </w:t>
            </w:r>
            <w:r>
              <w:rPr>
                <w:rFonts w:ascii="Arial" w:cs="Arial" w:eastAsia="Arial" w:hAnsi="Arial"/>
                <w:sz w:val="12"/>
                <w:szCs w:val="12"/>
                <w:color w:val="auto"/>
              </w:rPr>
              <w:t>(l)</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1,155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3,539</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7,589</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7"/>
        </w:trPr>
        <w:tc>
          <w:tcPr>
            <w:tcW w:w="6360" w:type="dxa"/>
            <w:vAlign w:val="bottom"/>
            <w:gridSpan w:val="3"/>
          </w:tcPr>
          <w:p>
            <w:pPr>
              <w:spacing w:after="0"/>
              <w:rPr>
                <w:sz w:val="20"/>
                <w:szCs w:val="20"/>
                <w:color w:val="auto"/>
              </w:rPr>
            </w:pPr>
            <w:r>
              <w:rPr>
                <w:rFonts w:ascii="Arial" w:cs="Arial" w:eastAsia="Arial" w:hAnsi="Arial"/>
                <w:sz w:val="14"/>
                <w:szCs w:val="14"/>
                <w:i w:val="1"/>
                <w:iCs w:val="1"/>
                <w:color w:val="auto"/>
              </w:rPr>
              <w:t xml:space="preserve">Steward Holding LLC </w:t>
            </w:r>
            <w:r>
              <w:rPr>
                <w:rFonts w:ascii="Arial" w:cs="Arial" w:eastAsia="Arial" w:hAnsi="Arial"/>
                <w:sz w:val="12"/>
                <w:szCs w:val="12"/>
                <w:i w:val="1"/>
                <w:iCs w:val="1"/>
                <w:color w:val="auto"/>
              </w:rPr>
              <w:t>(k)</w:t>
            </w: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(dba Steward Advanced Materials)</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Note</w:t>
            </w:r>
          </w:p>
        </w:tc>
        <w:tc>
          <w:tcPr>
            <w:tcW w:w="760" w:type="dxa"/>
            <w:vAlign w:val="bottom"/>
          </w:tcPr>
          <w:p>
            <w:pPr>
              <w:ind w:left="40"/>
              <w:spacing w:after="0" w:line="149" w:lineRule="exact"/>
              <w:rPr>
                <w:sz w:val="20"/>
                <w:szCs w:val="20"/>
                <w:color w:val="auto"/>
              </w:rPr>
            </w:pPr>
            <w:r>
              <w:rPr>
                <w:rFonts w:ascii="Arial" w:cs="Arial" w:eastAsia="Arial" w:hAnsi="Arial"/>
                <w:sz w:val="14"/>
                <w:szCs w:val="14"/>
                <w:color w:val="auto"/>
                <w:w w:val="92"/>
              </w:rPr>
              <w:t>12.0%/3.3%</w:t>
            </w:r>
          </w:p>
        </w:tc>
        <w:tc>
          <w:tcPr>
            <w:tcW w:w="24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5/12/2021</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7,262</w:t>
            </w: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7,237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7,262</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(1,000,000 units)</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460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8,237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7,722</w:t>
            </w:r>
          </w:p>
        </w:tc>
        <w:tc>
          <w:tcPr>
            <w:tcW w:w="2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36"/>
        </w:trPr>
        <w:tc>
          <w:tcPr>
            <w:tcW w:w="6360" w:type="dxa"/>
            <w:vAlign w:val="bottom"/>
            <w:gridSpan w:val="3"/>
          </w:tcPr>
          <w:p>
            <w:pPr>
              <w:spacing w:after="0"/>
              <w:rPr>
                <w:sz w:val="20"/>
                <w:szCs w:val="20"/>
                <w:color w:val="auto"/>
              </w:rPr>
            </w:pPr>
            <w:r>
              <w:rPr>
                <w:rFonts w:ascii="Arial" w:cs="Arial" w:eastAsia="Arial" w:hAnsi="Arial"/>
                <w:sz w:val="14"/>
                <w:szCs w:val="14"/>
                <w:b w:val="1"/>
                <w:bCs w:val="1"/>
                <w:color w:val="auto"/>
              </w:rPr>
              <w:t>Apparel Distribution</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Jacob Ash Holdings, Inc.</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760" w:type="dxa"/>
            <w:vAlign w:val="bottom"/>
          </w:tcPr>
          <w:p>
            <w:pPr>
              <w:ind w:left="40"/>
              <w:spacing w:after="0" w:line="149" w:lineRule="exact"/>
              <w:rPr>
                <w:sz w:val="20"/>
                <w:szCs w:val="20"/>
                <w:color w:val="auto"/>
              </w:rPr>
            </w:pPr>
            <w:r>
              <w:rPr>
                <w:rFonts w:ascii="Arial" w:cs="Arial" w:eastAsia="Arial" w:hAnsi="Arial"/>
                <w:sz w:val="14"/>
                <w:szCs w:val="14"/>
                <w:color w:val="auto"/>
                <w:w w:val="92"/>
              </w:rPr>
              <w:t>13.0%/4.0%</w:t>
            </w:r>
          </w:p>
        </w:tc>
        <w:tc>
          <w:tcPr>
            <w:tcW w:w="24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6/30/2018</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4,000</w:t>
            </w: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3,997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4,000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13.0%/0.0%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6/30/2018</w:t>
            </w: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Preferred Equity (66,138 shares) </w:t>
            </w:r>
            <w:r>
              <w:rPr>
                <w:rFonts w:ascii="Arial" w:cs="Arial" w:eastAsia="Arial" w:hAnsi="Arial"/>
                <w:sz w:val="12"/>
                <w:szCs w:val="12"/>
                <w:color w:val="auto"/>
              </w:rPr>
              <w:t>(f)</w:t>
            </w:r>
          </w:p>
        </w:tc>
        <w:tc>
          <w:tcPr>
            <w:tcW w:w="760" w:type="dxa"/>
            <w:vAlign w:val="bottom"/>
          </w:tcPr>
          <w:p>
            <w:pPr>
              <w:ind w:left="40"/>
              <w:spacing w:after="0" w:line="149" w:lineRule="exact"/>
              <w:rPr>
                <w:sz w:val="20"/>
                <w:szCs w:val="20"/>
                <w:color w:val="auto"/>
              </w:rPr>
            </w:pPr>
            <w:r>
              <w:rPr>
                <w:rFonts w:ascii="Arial" w:cs="Arial" w:eastAsia="Arial" w:hAnsi="Arial"/>
                <w:sz w:val="14"/>
                <w:szCs w:val="14"/>
                <w:color w:val="auto"/>
                <w:w w:val="92"/>
              </w:rPr>
              <w:t>0.0%/15.0%</w:t>
            </w:r>
          </w:p>
        </w:tc>
        <w:tc>
          <w:tcPr>
            <w:tcW w:w="24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6/30/2018</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1,149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1,152</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Warrant (63,492 shares) </w:t>
            </w:r>
            <w:r>
              <w:rPr>
                <w:rFonts w:ascii="Arial" w:cs="Arial" w:eastAsia="Arial" w:hAnsi="Arial"/>
                <w:sz w:val="12"/>
                <w:szCs w:val="12"/>
                <w:color w:val="auto"/>
              </w:rPr>
              <w:t>(l)</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5,720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5,662</w:t>
            </w:r>
          </w:p>
        </w:tc>
        <w:tc>
          <w:tcPr>
            <w:tcW w:w="2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4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Building Products Manufacturing</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 xml:space="preserve">SES Investors, LLC </w:t>
            </w:r>
            <w:r>
              <w:rPr>
                <w:rFonts w:ascii="Arial" w:cs="Arial" w:eastAsia="Arial" w:hAnsi="Arial"/>
                <w:sz w:val="12"/>
                <w:szCs w:val="12"/>
                <w:i w:val="1"/>
                <w:iCs w:val="1"/>
                <w:color w:val="auto"/>
              </w:rPr>
              <w:t>(k)</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(dba SES Foam)</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Senior Secured Loan</w:t>
            </w:r>
          </w:p>
        </w:tc>
        <w:tc>
          <w:tcPr>
            <w:tcW w:w="760" w:type="dxa"/>
            <w:vAlign w:val="bottom"/>
          </w:tcPr>
          <w:p>
            <w:pPr>
              <w:ind w:left="40"/>
              <w:spacing w:after="0" w:line="149" w:lineRule="exact"/>
              <w:rPr>
                <w:sz w:val="20"/>
                <w:szCs w:val="20"/>
                <w:color w:val="auto"/>
              </w:rPr>
            </w:pPr>
            <w:r>
              <w:rPr>
                <w:rFonts w:ascii="Arial" w:cs="Arial" w:eastAsia="Arial" w:hAnsi="Arial"/>
                <w:sz w:val="14"/>
                <w:szCs w:val="14"/>
                <w:color w:val="auto"/>
                <w:w w:val="92"/>
              </w:rPr>
              <w:t>11.0%/0.0%</w:t>
            </w:r>
          </w:p>
        </w:tc>
        <w:tc>
          <w:tcPr>
            <w:tcW w:w="24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3/8/2022</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10,448</w:t>
            </w: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10,403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9,340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Revolving Loan ($1,500 commitment)</w:t>
            </w:r>
            <w:r>
              <w:rPr>
                <w:rFonts w:ascii="Arial" w:cs="Arial" w:eastAsia="Arial" w:hAnsi="Arial"/>
                <w:sz w:val="12"/>
                <w:szCs w:val="12"/>
                <w:color w:val="auto"/>
              </w:rPr>
              <w:t>(i)</w:t>
            </w:r>
          </w:p>
        </w:tc>
        <w:tc>
          <w:tcPr>
            <w:tcW w:w="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6.0%/0.0%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3/8/2022</w:t>
            </w: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1,500</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1,494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1,500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Common Equity (6,000 units) </w:t>
            </w:r>
            <w:r>
              <w:rPr>
                <w:rFonts w:ascii="Arial" w:cs="Arial" w:eastAsia="Arial" w:hAnsi="Arial"/>
                <w:sz w:val="12"/>
                <w:szCs w:val="12"/>
                <w:color w:val="auto"/>
              </w:rPr>
              <w:t>(g)(i)</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269</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12,497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11,109</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gridSpan w:val="3"/>
          </w:tcPr>
          <w:p>
            <w:pPr>
              <w:spacing w:after="0"/>
              <w:rPr>
                <w:sz w:val="20"/>
                <w:szCs w:val="20"/>
                <w:color w:val="auto"/>
              </w:rPr>
            </w:pPr>
            <w:r>
              <w:rPr>
                <w:rFonts w:ascii="Arial" w:cs="Arial" w:eastAsia="Arial" w:hAnsi="Arial"/>
                <w:sz w:val="14"/>
                <w:szCs w:val="14"/>
                <w:b w:val="1"/>
                <w:bCs w:val="1"/>
                <w:color w:val="auto"/>
              </w:rPr>
              <w:t>Industry</w:t>
            </w:r>
          </w:p>
        </w:tc>
        <w:tc>
          <w:tcPr>
            <w:tcW w:w="7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2"/>
                <w:szCs w:val="12"/>
                <w:b w:val="1"/>
                <w:bCs w:val="1"/>
                <w:color w:val="auto"/>
              </w:rPr>
              <w:t>(d)</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7"/>
              </w:rPr>
              <w:t>Principal</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9"/>
        </w:trPr>
        <w:tc>
          <w:tcPr>
            <w:tcW w:w="6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2"/>
                <w:szCs w:val="12"/>
                <w:b w:val="1"/>
                <w:bCs w:val="1"/>
                <w:color w:val="auto"/>
              </w:rPr>
              <w:t>(a)(b)</w:t>
            </w: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900" w:type="dxa"/>
            <w:vAlign w:val="bottom"/>
            <w:gridSpan w:val="3"/>
            <w:vMerge w:val="continue"/>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49"/>
        </w:trPr>
        <w:tc>
          <w:tcPr>
            <w:tcW w:w="146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12"/>
                <w:szCs w:val="12"/>
                <w:b w:val="1"/>
                <w:bCs w:val="1"/>
                <w:color w:val="auto"/>
              </w:rPr>
              <w:t>(c)</w:t>
            </w:r>
          </w:p>
        </w:tc>
        <w:tc>
          <w:tcPr>
            <w:tcW w:w="5120" w:type="dxa"/>
            <w:vAlign w:val="bottom"/>
          </w:tcPr>
          <w:p>
            <w:pPr>
              <w:spacing w:after="0"/>
              <w:rPr>
                <w:sz w:val="12"/>
                <w:szCs w:val="12"/>
                <w:color w:val="auto"/>
              </w:rPr>
            </w:pPr>
          </w:p>
        </w:tc>
        <w:tc>
          <w:tcPr>
            <w:tcW w:w="70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Cash/PIK</w:t>
            </w: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00" w:type="dxa"/>
            <w:vAlign w:val="bottom"/>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94"/>
              </w:rPr>
              <w:t>Amount</w:t>
            </w:r>
          </w:p>
        </w:tc>
        <w:tc>
          <w:tcPr>
            <w:tcW w:w="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4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20"/>
        </w:trPr>
        <w:tc>
          <w:tcPr>
            <w:tcW w:w="6580" w:type="dxa"/>
            <w:vAlign w:val="bottom"/>
            <w:gridSpan w:val="3"/>
            <w:vMerge w:val="restart"/>
          </w:tcPr>
          <w:p>
            <w:pPr>
              <w:spacing w:after="0" w:line="155" w:lineRule="exact"/>
              <w:rPr>
                <w:sz w:val="20"/>
                <w:szCs w:val="20"/>
                <w:color w:val="auto"/>
              </w:rPr>
            </w:pPr>
            <w:r>
              <w:rPr>
                <w:rFonts w:ascii="Arial" w:cs="Arial" w:eastAsia="Arial" w:hAnsi="Arial"/>
                <w:sz w:val="14"/>
                <w:szCs w:val="14"/>
                <w:i w:val="1"/>
                <w:iCs w:val="1"/>
                <w:color w:val="auto"/>
              </w:rPr>
              <w:t>The Wolf Organization, LLC</w:t>
            </w: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580" w:type="dxa"/>
            <w:vAlign w:val="bottom"/>
            <w:gridSpan w:val="3"/>
            <w:vMerge w:val="continue"/>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(175 shares)</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1,455</w:t>
            </w:r>
          </w:p>
        </w:tc>
        <w:tc>
          <w:tcPr>
            <w:tcW w:w="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3,321</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7"/>
        </w:trPr>
        <w:tc>
          <w:tcPr>
            <w:tcW w:w="6580" w:type="dxa"/>
            <w:vAlign w:val="bottom"/>
            <w:gridSpan w:val="3"/>
          </w:tcPr>
          <w:p>
            <w:pPr>
              <w:spacing w:after="0"/>
              <w:rPr>
                <w:sz w:val="20"/>
                <w:szCs w:val="20"/>
                <w:color w:val="auto"/>
              </w:rPr>
            </w:pPr>
            <w:r>
              <w:rPr>
                <w:rFonts w:ascii="Arial" w:cs="Arial" w:eastAsia="Arial" w:hAnsi="Arial"/>
                <w:sz w:val="14"/>
                <w:szCs w:val="14"/>
                <w:i w:val="1"/>
                <w:iCs w:val="1"/>
                <w:color w:val="auto"/>
              </w:rPr>
              <w:t>US GreenFiber, LLC</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12.0%/2.0%</w:t>
            </w:r>
          </w:p>
        </w:tc>
        <w:tc>
          <w:tcPr>
            <w:tcW w:w="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3/1/2019</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5"/>
              </w:rPr>
              <w:t>$  14,004</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13,979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13,790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Common Equity (2,522 units) </w:t>
            </w:r>
            <w:r>
              <w:rPr>
                <w:rFonts w:ascii="Arial" w:cs="Arial" w:eastAsia="Arial" w:hAnsi="Arial"/>
                <w:sz w:val="12"/>
                <w:szCs w:val="12"/>
                <w:color w:val="auto"/>
              </w:rPr>
              <w:t>(g)(i)</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586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322</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14,565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14,112</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7"/>
        </w:trPr>
        <w:tc>
          <w:tcPr>
            <w:tcW w:w="6580" w:type="dxa"/>
            <w:vAlign w:val="bottom"/>
            <w:gridSpan w:val="3"/>
          </w:tcPr>
          <w:p>
            <w:pPr>
              <w:spacing w:after="0"/>
              <w:rPr>
                <w:sz w:val="20"/>
                <w:szCs w:val="20"/>
                <w:color w:val="auto"/>
              </w:rPr>
            </w:pPr>
            <w:r>
              <w:rPr>
                <w:rFonts w:ascii="Arial" w:cs="Arial" w:eastAsia="Arial" w:hAnsi="Arial"/>
                <w:sz w:val="14"/>
                <w:szCs w:val="14"/>
                <w:b w:val="1"/>
                <w:bCs w:val="1"/>
                <w:color w:val="auto"/>
              </w:rPr>
              <w:t>Business Services</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Comprehensive Logistics Co., Inc.</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700" w:type="dxa"/>
            <w:vAlign w:val="bottom"/>
          </w:tcPr>
          <w:p>
            <w:pPr>
              <w:spacing w:after="0"/>
              <w:rPr>
                <w:sz w:val="20"/>
                <w:szCs w:val="20"/>
                <w:color w:val="auto"/>
              </w:rPr>
            </w:pPr>
            <w:r>
              <w:rPr>
                <w:rFonts w:ascii="Arial" w:cs="Arial" w:eastAsia="Arial" w:hAnsi="Arial"/>
                <w:sz w:val="14"/>
                <w:szCs w:val="14"/>
                <w:color w:val="auto"/>
                <w:w w:val="90"/>
              </w:rPr>
              <w:t>11.5%/4.5%</w:t>
            </w:r>
          </w:p>
        </w:tc>
        <w:tc>
          <w:tcPr>
            <w:tcW w:w="860" w:type="dxa"/>
            <w:vAlign w:val="bottom"/>
            <w:gridSpan w:val="2"/>
          </w:tcPr>
          <w:p>
            <w:pPr>
              <w:ind w:left="200"/>
              <w:spacing w:after="0"/>
              <w:rPr>
                <w:sz w:val="20"/>
                <w:szCs w:val="20"/>
                <w:color w:val="auto"/>
              </w:rPr>
            </w:pPr>
            <w:r>
              <w:rPr>
                <w:rFonts w:ascii="Arial" w:cs="Arial" w:eastAsia="Arial" w:hAnsi="Arial"/>
                <w:sz w:val="14"/>
                <w:szCs w:val="14"/>
                <w:color w:val="auto"/>
                <w:w w:val="91"/>
              </w:rPr>
              <w:t>11/22/2021</w:t>
            </w:r>
          </w:p>
        </w:tc>
        <w:tc>
          <w:tcPr>
            <w:tcW w:w="2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15,416</w:t>
            </w:r>
          </w:p>
        </w:tc>
        <w:tc>
          <w:tcPr>
            <w:tcW w:w="8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15,352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15,417</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440" w:type="dxa"/>
            <w:vAlign w:val="bottom"/>
          </w:tcPr>
          <w:p>
            <w:pPr>
              <w:spacing w:after="0"/>
              <w:rPr>
                <w:sz w:val="6"/>
                <w:szCs w:val="6"/>
                <w:color w:val="auto"/>
              </w:rPr>
            </w:pPr>
          </w:p>
        </w:tc>
        <w:tc>
          <w:tcPr>
            <w:tcW w:w="5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 xml:space="preserve">Inflexxion, Inc. </w:t>
            </w:r>
            <w:r>
              <w:rPr>
                <w:rFonts w:ascii="Arial" w:cs="Arial" w:eastAsia="Arial" w:hAnsi="Arial"/>
                <w:sz w:val="12"/>
                <w:szCs w:val="12"/>
                <w:i w:val="1"/>
                <w:iCs w:val="1"/>
                <w:color w:val="auto"/>
              </w:rPr>
              <w:t>(k)</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tcPr>
          <w:p>
            <w:pPr>
              <w:spacing w:after="0" w:line="149" w:lineRule="exact"/>
              <w:rPr>
                <w:sz w:val="20"/>
                <w:szCs w:val="20"/>
                <w:color w:val="auto"/>
              </w:rPr>
            </w:pPr>
            <w:r>
              <w:rPr>
                <w:rFonts w:ascii="Arial" w:cs="Arial" w:eastAsia="Arial" w:hAnsi="Arial"/>
                <w:sz w:val="14"/>
                <w:szCs w:val="14"/>
                <w:color w:val="auto"/>
              </w:rPr>
              <w:t>Senior Secured Loan</w:t>
            </w:r>
          </w:p>
        </w:tc>
        <w:tc>
          <w:tcPr>
            <w:tcW w:w="700" w:type="dxa"/>
            <w:vAlign w:val="bottom"/>
          </w:tcPr>
          <w:p>
            <w:pPr>
              <w:spacing w:after="0" w:line="149" w:lineRule="exact"/>
              <w:rPr>
                <w:sz w:val="20"/>
                <w:szCs w:val="20"/>
                <w:color w:val="auto"/>
              </w:rPr>
            </w:pPr>
            <w:r>
              <w:rPr>
                <w:rFonts w:ascii="Arial" w:cs="Arial" w:eastAsia="Arial" w:hAnsi="Arial"/>
                <w:sz w:val="14"/>
                <w:szCs w:val="14"/>
                <w:color w:val="auto"/>
              </w:rPr>
              <w:t>7.0%/6.0%</w:t>
            </w:r>
          </w:p>
        </w:tc>
        <w:tc>
          <w:tcPr>
            <w:tcW w:w="8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1"/>
              </w:rPr>
              <w:t>12/16/2019</w:t>
            </w:r>
          </w:p>
        </w:tc>
        <w:tc>
          <w:tcPr>
            <w:tcW w:w="2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4,324</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4,312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3,537</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Revolving Loan ($500 commitment) </w:t>
            </w:r>
            <w:r>
              <w:rPr>
                <w:rFonts w:ascii="Arial" w:cs="Arial" w:eastAsia="Arial" w:hAnsi="Arial"/>
                <w:sz w:val="12"/>
                <w:szCs w:val="12"/>
                <w:color w:val="auto"/>
              </w:rPr>
              <w:t>(i)</w:t>
            </w:r>
          </w:p>
        </w:tc>
        <w:tc>
          <w:tcPr>
            <w:tcW w:w="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7.0%/6.0%</w:t>
            </w:r>
          </w:p>
        </w:tc>
        <w:tc>
          <w:tcPr>
            <w:tcW w:w="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1"/>
              </w:rPr>
              <w:t>12/16/2019</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365</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299</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tcPr>
          <w:p>
            <w:pPr>
              <w:spacing w:after="0" w:line="149" w:lineRule="exact"/>
              <w:rPr>
                <w:sz w:val="20"/>
                <w:szCs w:val="20"/>
                <w:color w:val="auto"/>
              </w:rPr>
            </w:pPr>
            <w:r>
              <w:rPr>
                <w:rFonts w:ascii="Arial" w:cs="Arial" w:eastAsia="Arial" w:hAnsi="Arial"/>
                <w:sz w:val="14"/>
                <w:szCs w:val="14"/>
                <w:color w:val="auto"/>
              </w:rPr>
              <w:t>Preferred Equity (252,046 units)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149</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Equity (308,987 units)</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182</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60" w:type="dxa"/>
            <w:vAlign w:val="bottom"/>
            <w:gridSpan w:val="2"/>
          </w:tcPr>
          <w:p>
            <w:pPr>
              <w:spacing w:after="0" w:line="149" w:lineRule="exact"/>
              <w:rPr>
                <w:sz w:val="20"/>
                <w:szCs w:val="20"/>
                <w:color w:val="auto"/>
              </w:rPr>
            </w:pPr>
            <w:r>
              <w:rPr>
                <w:rFonts w:ascii="Arial" w:cs="Arial" w:eastAsia="Arial" w:hAnsi="Arial"/>
                <w:sz w:val="14"/>
                <w:szCs w:val="14"/>
                <w:color w:val="auto"/>
              </w:rPr>
              <w:t>Preferred Equity (1,400 units)</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6,637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4,167</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7"/>
        </w:trPr>
        <w:tc>
          <w:tcPr>
            <w:tcW w:w="6580" w:type="dxa"/>
            <w:vAlign w:val="bottom"/>
            <w:gridSpan w:val="3"/>
          </w:tcPr>
          <w:p>
            <w:pPr>
              <w:spacing w:after="0"/>
              <w:rPr>
                <w:sz w:val="20"/>
                <w:szCs w:val="20"/>
                <w:color w:val="auto"/>
              </w:rPr>
            </w:pPr>
            <w:r>
              <w:rPr>
                <w:rFonts w:ascii="Arial" w:cs="Arial" w:eastAsia="Arial" w:hAnsi="Arial"/>
                <w:sz w:val="14"/>
                <w:szCs w:val="14"/>
                <w:i w:val="1"/>
                <w:iCs w:val="1"/>
                <w:color w:val="auto"/>
              </w:rPr>
              <w:t>Plymouth Rock Energy, LLC</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Senior Secured Loan </w:t>
            </w:r>
            <w:r>
              <w:rPr>
                <w:rFonts w:ascii="Arial" w:cs="Arial" w:eastAsia="Arial" w:hAnsi="Arial"/>
                <w:sz w:val="12"/>
                <w:szCs w:val="12"/>
                <w:color w:val="auto"/>
              </w:rPr>
              <w:t>(j)</w:t>
            </w:r>
          </w:p>
        </w:tc>
        <w:tc>
          <w:tcPr>
            <w:tcW w:w="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11.0%/0.0%</w:t>
            </w:r>
          </w:p>
        </w:tc>
        <w:tc>
          <w:tcPr>
            <w:tcW w:w="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6/30/2019</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5,945</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5,945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5,945</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7"/>
        </w:trPr>
        <w:tc>
          <w:tcPr>
            <w:tcW w:w="6580" w:type="dxa"/>
            <w:vAlign w:val="bottom"/>
            <w:gridSpan w:val="3"/>
          </w:tcPr>
          <w:p>
            <w:pPr>
              <w:spacing w:after="0"/>
              <w:rPr>
                <w:sz w:val="20"/>
                <w:szCs w:val="20"/>
                <w:color w:val="auto"/>
              </w:rPr>
            </w:pPr>
            <w:r>
              <w:rPr>
                <w:rFonts w:ascii="Arial" w:cs="Arial" w:eastAsia="Arial" w:hAnsi="Arial"/>
                <w:sz w:val="14"/>
                <w:szCs w:val="14"/>
                <w:i w:val="1"/>
                <w:iCs w:val="1"/>
                <w:color w:val="auto"/>
              </w:rPr>
              <w:t>Vanguard Dealer Services, L.L.C.</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12.3%/0.0%</w:t>
            </w:r>
          </w:p>
        </w:tc>
        <w:tc>
          <w:tcPr>
            <w:tcW w:w="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1/30/2021</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11,450</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11,411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11,450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tcPr>
          <w:p>
            <w:pPr>
              <w:spacing w:after="0" w:line="149" w:lineRule="exact"/>
              <w:rPr>
                <w:sz w:val="20"/>
                <w:szCs w:val="20"/>
                <w:color w:val="auto"/>
              </w:rPr>
            </w:pPr>
            <w:r>
              <w:rPr>
                <w:rFonts w:ascii="Arial" w:cs="Arial" w:eastAsia="Arial" w:hAnsi="Arial"/>
                <w:sz w:val="14"/>
                <w:szCs w:val="14"/>
                <w:color w:val="auto"/>
              </w:rPr>
              <w:t>Common Equity (6,000 shares)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953</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12,011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12,403</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7"/>
        </w:trPr>
        <w:tc>
          <w:tcPr>
            <w:tcW w:w="6580" w:type="dxa"/>
            <w:vAlign w:val="bottom"/>
            <w:gridSpan w:val="3"/>
          </w:tcPr>
          <w:p>
            <w:pPr>
              <w:spacing w:after="0"/>
              <w:rPr>
                <w:sz w:val="20"/>
                <w:szCs w:val="20"/>
                <w:color w:val="auto"/>
              </w:rPr>
            </w:pPr>
            <w:r>
              <w:rPr>
                <w:rFonts w:ascii="Arial" w:cs="Arial" w:eastAsia="Arial" w:hAnsi="Arial"/>
                <w:sz w:val="14"/>
                <w:szCs w:val="14"/>
                <w:b w:val="1"/>
                <w:bCs w:val="1"/>
                <w:color w:val="auto"/>
              </w:rPr>
              <w:t>Capital Equipment Manufacturing</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Thermoforming Technology Group LLC</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Note</w:t>
            </w:r>
          </w:p>
        </w:tc>
        <w:tc>
          <w:tcPr>
            <w:tcW w:w="700" w:type="dxa"/>
            <w:vAlign w:val="bottom"/>
          </w:tcPr>
          <w:p>
            <w:pPr>
              <w:spacing w:after="0" w:line="149" w:lineRule="exact"/>
              <w:rPr>
                <w:sz w:val="20"/>
                <w:szCs w:val="20"/>
                <w:color w:val="auto"/>
              </w:rPr>
            </w:pPr>
            <w:r>
              <w:rPr>
                <w:rFonts w:ascii="Arial" w:cs="Arial" w:eastAsia="Arial" w:hAnsi="Arial"/>
                <w:sz w:val="14"/>
                <w:szCs w:val="14"/>
                <w:color w:val="auto"/>
                <w:w w:val="90"/>
              </w:rPr>
              <w:t>12.5%/0.0%</w:t>
            </w:r>
          </w:p>
        </w:tc>
        <w:tc>
          <w:tcPr>
            <w:tcW w:w="8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9/14/2021</w:t>
            </w:r>
          </w:p>
        </w:tc>
        <w:tc>
          <w:tcPr>
            <w:tcW w:w="2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14,700</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14,643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14,700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Common Equity (3,500 units) </w:t>
            </w:r>
            <w:r>
              <w:rPr>
                <w:rFonts w:ascii="Arial" w:cs="Arial" w:eastAsia="Arial" w:hAnsi="Arial"/>
                <w:sz w:val="12"/>
                <w:szCs w:val="12"/>
                <w:color w:val="auto"/>
              </w:rPr>
              <w:t>(g)(i)</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389</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14,993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15,089</w:t>
            </w:r>
          </w:p>
        </w:tc>
        <w:tc>
          <w:tcPr>
            <w:tcW w:w="2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5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Component Manufacturing</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Hilco Plastics Holdings, LLC</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(dba Hilco Technologies)</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Note</w:t>
            </w:r>
          </w:p>
        </w:tc>
        <w:tc>
          <w:tcPr>
            <w:tcW w:w="700" w:type="dxa"/>
            <w:vAlign w:val="bottom"/>
          </w:tcPr>
          <w:p>
            <w:pPr>
              <w:spacing w:after="0" w:line="149" w:lineRule="exact"/>
              <w:rPr>
                <w:sz w:val="20"/>
                <w:szCs w:val="20"/>
                <w:color w:val="auto"/>
              </w:rPr>
            </w:pPr>
            <w:r>
              <w:rPr>
                <w:rFonts w:ascii="Arial" w:cs="Arial" w:eastAsia="Arial" w:hAnsi="Arial"/>
                <w:sz w:val="14"/>
                <w:szCs w:val="14"/>
                <w:color w:val="auto"/>
                <w:w w:val="90"/>
              </w:rPr>
              <w:t>11.5%/1.0%</w:t>
            </w:r>
          </w:p>
        </w:tc>
        <w:tc>
          <w:tcPr>
            <w:tcW w:w="8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7/15/2022</w:t>
            </w:r>
          </w:p>
        </w:tc>
        <w:tc>
          <w:tcPr>
            <w:tcW w:w="2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8,063</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8,028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8,063</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Common Equity (72,507 units) </w:t>
            </w:r>
            <w:r>
              <w:rPr>
                <w:rFonts w:ascii="Arial" w:cs="Arial" w:eastAsia="Arial" w:hAnsi="Arial"/>
                <w:sz w:val="12"/>
                <w:szCs w:val="12"/>
                <w:color w:val="auto"/>
              </w:rPr>
              <w:t>(g)(i)</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448</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8,511</w:t>
            </w:r>
          </w:p>
        </w:tc>
        <w:tc>
          <w:tcPr>
            <w:tcW w:w="2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5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NGT Acquisition Holdings, LLC</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(dba Techniks Industries)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12.0%/0.0%</w:t>
            </w:r>
          </w:p>
        </w:tc>
        <w:tc>
          <w:tcPr>
            <w:tcW w:w="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3/21/2022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11,000</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10,946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10,946</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Common Equity (378 units) </w:t>
            </w:r>
            <w:r>
              <w:rPr>
                <w:rFonts w:ascii="Arial" w:cs="Arial" w:eastAsia="Arial" w:hAnsi="Arial"/>
                <w:sz w:val="12"/>
                <w:szCs w:val="12"/>
                <w:color w:val="auto"/>
              </w:rPr>
              <w:t>(i)</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11,446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11,446</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7"/>
        </w:trPr>
        <w:tc>
          <w:tcPr>
            <w:tcW w:w="6580" w:type="dxa"/>
            <w:vAlign w:val="bottom"/>
            <w:gridSpan w:val="3"/>
          </w:tcPr>
          <w:p>
            <w:pPr>
              <w:spacing w:after="0"/>
              <w:rPr>
                <w:sz w:val="20"/>
                <w:szCs w:val="20"/>
                <w:color w:val="auto"/>
              </w:rPr>
            </w:pPr>
            <w:r>
              <w:rPr>
                <w:rFonts w:ascii="Arial" w:cs="Arial" w:eastAsia="Arial" w:hAnsi="Arial"/>
                <w:sz w:val="14"/>
                <w:szCs w:val="14"/>
                <w:i w:val="1"/>
                <w:iCs w:val="1"/>
                <w:color w:val="auto"/>
              </w:rPr>
              <w:t>Toledo Molding &amp; Die, Inc.</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(i)</w:t>
            </w:r>
          </w:p>
        </w:tc>
        <w:tc>
          <w:tcPr>
            <w:tcW w:w="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10.5%/0.0%</w:t>
            </w:r>
          </w:p>
        </w:tc>
        <w:tc>
          <w:tcPr>
            <w:tcW w:w="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1"/>
              </w:rPr>
              <w:t>12/18/2018</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10,000</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9,945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10,000</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7"/>
        </w:trPr>
        <w:tc>
          <w:tcPr>
            <w:tcW w:w="6580" w:type="dxa"/>
            <w:vAlign w:val="bottom"/>
            <w:gridSpan w:val="3"/>
          </w:tcPr>
          <w:p>
            <w:pPr>
              <w:spacing w:after="0"/>
              <w:rPr>
                <w:sz w:val="20"/>
                <w:szCs w:val="20"/>
                <w:color w:val="auto"/>
              </w:rPr>
            </w:pPr>
            <w:r>
              <w:rPr>
                <w:rFonts w:ascii="Arial" w:cs="Arial" w:eastAsia="Arial" w:hAnsi="Arial"/>
                <w:sz w:val="14"/>
                <w:szCs w:val="14"/>
                <w:i w:val="1"/>
                <w:iCs w:val="1"/>
                <w:color w:val="auto"/>
              </w:rPr>
              <w:t>TransGo, LLC</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13.3%/0.0%</w:t>
            </w:r>
          </w:p>
        </w:tc>
        <w:tc>
          <w:tcPr>
            <w:tcW w:w="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8/28/2022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9,500</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9,455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9,455</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tcPr>
          <w:p>
            <w:pPr>
              <w:spacing w:after="0" w:line="149" w:lineRule="exact"/>
              <w:rPr>
                <w:sz w:val="20"/>
                <w:szCs w:val="20"/>
                <w:color w:val="auto"/>
              </w:rPr>
            </w:pPr>
            <w:r>
              <w:rPr>
                <w:rFonts w:ascii="Arial" w:cs="Arial" w:eastAsia="Arial" w:hAnsi="Arial"/>
                <w:sz w:val="14"/>
                <w:szCs w:val="14"/>
                <w:color w:val="auto"/>
              </w:rPr>
              <w:t>Common Equity (1,000 units)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1,000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10,455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10,455</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Schedule of Investments (unaudited)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420"/>
          </w:cols>
          <w:pgMar w:left="240" w:top="459" w:right="239" w:bottom="1440" w:gutter="0" w:footer="0" w:header="0"/>
        </w:sectPr>
      </w:pP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w:t>
      </w:r>
    </w:p>
    <w:p>
      <w:pPr>
        <w:spacing w:after="0" w:line="226" w:lineRule="auto"/>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2"/>
          <w:szCs w:val="12"/>
          <w:b w:val="1"/>
          <w:bCs w:val="1"/>
          <w:color w:val="auto"/>
        </w:rPr>
        <w:t>(a)(b)</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12"/>
          <w:szCs w:val="12"/>
          <w:b w:val="1"/>
          <w:bCs w:val="1"/>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9175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Consumer Products</w:t>
      </w:r>
    </w:p>
    <w:p>
      <w:pPr>
        <w:spacing w:after="0" w:line="226" w:lineRule="auto"/>
        <w:rPr>
          <w:sz w:val="20"/>
          <w:szCs w:val="20"/>
          <w:color w:val="auto"/>
        </w:rPr>
      </w:pPr>
      <w:r>
        <w:rPr>
          <w:rFonts w:ascii="Arial" w:cs="Arial" w:eastAsia="Arial" w:hAnsi="Arial"/>
          <w:sz w:val="14"/>
          <w:szCs w:val="14"/>
          <w:i w:val="1"/>
          <w:iCs w:val="1"/>
          <w:color w:val="auto"/>
        </w:rPr>
        <w:t xml:space="preserve">World Wide Packaging, LLC </w:t>
      </w:r>
      <w:r>
        <w:rPr>
          <w:rFonts w:ascii="Arial" w:cs="Arial" w:eastAsia="Arial" w:hAnsi="Arial"/>
          <w:sz w:val="12"/>
          <w:szCs w:val="12"/>
          <w:i w:val="1"/>
          <w:iCs w:val="1"/>
          <w:color w:val="auto"/>
        </w:rPr>
        <w:t>(k)</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Common Equity (1,517,573 units) </w:t>
      </w:r>
      <w:r>
        <w:rPr>
          <w:rFonts w:ascii="Arial" w:cs="Arial" w:eastAsia="Arial" w:hAnsi="Arial"/>
          <w:sz w:val="11"/>
          <w:szCs w:val="11"/>
          <w:color w:val="auto"/>
        </w:rPr>
        <w:t>(g)(i)</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Components Supplier</w:t>
      </w:r>
    </w:p>
    <w:p>
      <w:pPr>
        <w:spacing w:after="0" w:line="226" w:lineRule="auto"/>
        <w:rPr>
          <w:sz w:val="20"/>
          <w:szCs w:val="20"/>
          <w:color w:val="auto"/>
        </w:rPr>
      </w:pPr>
      <w:r>
        <w:rPr>
          <w:rFonts w:ascii="Arial" w:cs="Arial" w:eastAsia="Arial" w:hAnsi="Arial"/>
          <w:sz w:val="14"/>
          <w:szCs w:val="14"/>
          <w:i w:val="1"/>
          <w:iCs w:val="1"/>
          <w:color w:val="auto"/>
        </w:rPr>
        <w:t xml:space="preserve">Apex Microtechnology, Inc. </w:t>
      </w:r>
      <w:r>
        <w:rPr>
          <w:rFonts w:ascii="Arial" w:cs="Arial" w:eastAsia="Arial" w:hAnsi="Arial"/>
          <w:sz w:val="12"/>
          <w:szCs w:val="12"/>
          <w:i w:val="1"/>
          <w:iCs w:val="1"/>
          <w:color w:val="auto"/>
        </w:rPr>
        <w:t>(k)</w:t>
      </w:r>
    </w:p>
    <w:p>
      <w:pPr>
        <w:spacing w:after="0" w:line="222" w:lineRule="auto"/>
        <w:rPr>
          <w:sz w:val="20"/>
          <w:szCs w:val="20"/>
          <w:color w:val="auto"/>
        </w:rPr>
      </w:pPr>
      <w:r>
        <w:rPr>
          <w:rFonts w:ascii="Arial" w:cs="Arial" w:eastAsia="Arial" w:hAnsi="Arial"/>
          <w:sz w:val="14"/>
          <w:szCs w:val="14"/>
          <w:color w:val="auto"/>
        </w:rPr>
        <w:t xml:space="preserve">Warrant (2,293 shares) </w:t>
      </w:r>
      <w:r>
        <w:rPr>
          <w:rFonts w:ascii="Arial" w:cs="Arial" w:eastAsia="Arial" w:hAnsi="Arial"/>
          <w:sz w:val="12"/>
          <w:szCs w:val="12"/>
          <w:color w:val="auto"/>
        </w:rPr>
        <w:t>(l)</w:t>
      </w:r>
    </w:p>
    <w:p>
      <w:pPr>
        <w:spacing w:after="0" w:line="231" w:lineRule="auto"/>
        <w:rPr>
          <w:sz w:val="20"/>
          <w:szCs w:val="20"/>
          <w:color w:val="auto"/>
        </w:rPr>
      </w:pPr>
      <w:r>
        <w:rPr>
          <w:rFonts w:ascii="Arial" w:cs="Arial" w:eastAsia="Arial" w:hAnsi="Arial"/>
          <w:sz w:val="14"/>
          <w:szCs w:val="14"/>
          <w:color w:val="auto"/>
        </w:rPr>
        <w:t>Common Equity (11,690 shares)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 xml:space="preserve">Rate </w:t>
            </w:r>
            <w:r>
              <w:rPr>
                <w:rFonts w:ascii="Arial" w:cs="Arial" w:eastAsia="Arial" w:hAnsi="Arial"/>
                <w:sz w:val="12"/>
                <w:szCs w:val="12"/>
                <w:b w:val="1"/>
                <w:bCs w:val="1"/>
                <w:color w:val="auto"/>
                <w:w w:val="96"/>
              </w:rPr>
              <w:t>(d)</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7"/>
              </w:rPr>
              <w:t>Principal</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49"/>
        </w:trPr>
        <w:tc>
          <w:tcPr>
            <w:tcW w:w="900" w:type="dxa"/>
            <w:vAlign w:val="bottom"/>
            <w:gridSpan w:val="2"/>
            <w:vMerge w:val="continue"/>
          </w:tcPr>
          <w:p>
            <w:pPr>
              <w:spacing w:after="0"/>
              <w:rPr>
                <w:sz w:val="12"/>
                <w:szCs w:val="12"/>
                <w:color w:val="auto"/>
              </w:rPr>
            </w:pPr>
          </w:p>
        </w:tc>
        <w:tc>
          <w:tcPr>
            <w:tcW w:w="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Maturity</w:t>
            </w:r>
          </w:p>
        </w:tc>
        <w:tc>
          <w:tcPr>
            <w:tcW w:w="200" w:type="dxa"/>
            <w:vAlign w:val="bottom"/>
            <w:vMerge w:val="restart"/>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Fair Value</w:t>
            </w:r>
          </w:p>
        </w:tc>
        <w:tc>
          <w:tcPr>
            <w:tcW w:w="240" w:type="dxa"/>
            <w:vAlign w:val="bottom"/>
            <w:vMerge w:val="restart"/>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Net</w:t>
            </w: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Cash/PIK</w:t>
            </w:r>
          </w:p>
        </w:tc>
        <w:tc>
          <w:tcPr>
            <w:tcW w:w="180" w:type="dxa"/>
            <w:vAlign w:val="bottom"/>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Assets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1"/>
        </w:trPr>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499</w:t>
            </w:r>
          </w:p>
        </w:tc>
        <w:tc>
          <w:tcPr>
            <w:tcW w:w="3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3,205</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520"/>
        </w:trPr>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385</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1,169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2,108</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-633730</wp:posOffset>
            </wp:positionV>
            <wp:extent cx="7246620" cy="94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-376555</wp:posOffset>
            </wp:positionV>
            <wp:extent cx="7246620" cy="94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-187960</wp:posOffset>
            </wp:positionV>
            <wp:extent cx="7246620" cy="94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920" w:space="720"/>
            <w:col w:w="47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452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1,389</w:t>
            </w:r>
          </w:p>
        </w:tc>
        <w:tc>
          <w:tcPr>
            <w:tcW w:w="2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4"/>
                <w:szCs w:val="14"/>
                <w:color w:val="auto"/>
              </w:rPr>
              <w:t>2,493</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7"/>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Healthcare Products</w:t>
            </w:r>
          </w:p>
        </w:tc>
        <w:tc>
          <w:tcPr>
            <w:tcW w:w="2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Allied 100 Group, Inc.</w:t>
            </w:r>
          </w:p>
        </w:tc>
        <w:tc>
          <w:tcPr>
            <w:tcW w:w="2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2900" w:type="dxa"/>
            <w:vAlign w:val="bottom"/>
          </w:tcPr>
          <w:p>
            <w:pPr>
              <w:ind w:left="2100"/>
              <w:spacing w:after="0" w:line="149" w:lineRule="exact"/>
              <w:rPr>
                <w:sz w:val="20"/>
                <w:szCs w:val="20"/>
                <w:color w:val="auto"/>
              </w:rPr>
            </w:pPr>
            <w:r>
              <w:rPr>
                <w:rFonts w:ascii="Arial" w:cs="Arial" w:eastAsia="Arial" w:hAnsi="Arial"/>
                <w:sz w:val="14"/>
                <w:szCs w:val="14"/>
                <w:color w:val="auto"/>
              </w:rPr>
              <w:t>11.5%/0.0%</w:t>
            </w: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5/26/2020</w:t>
            </w:r>
          </w:p>
        </w:tc>
        <w:tc>
          <w:tcPr>
            <w:tcW w:w="9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  13,000</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12,966</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13,000</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Common Equity (1,250,000 units) </w:t>
            </w:r>
            <w:r>
              <w:rPr>
                <w:rFonts w:ascii="Arial" w:cs="Arial" w:eastAsia="Arial" w:hAnsi="Arial"/>
                <w:sz w:val="12"/>
                <w:szCs w:val="12"/>
                <w:color w:val="auto"/>
              </w:rPr>
              <w:t>(i)</w:t>
            </w:r>
          </w:p>
        </w:tc>
        <w:tc>
          <w:tcPr>
            <w:tcW w:w="2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1,250</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1,295</w:t>
            </w: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14,216</w:t>
            </w:r>
          </w:p>
        </w:tc>
        <w:tc>
          <w:tcPr>
            <w:tcW w:w="24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14,295</w:t>
            </w: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5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Anatrace Products, LLC</w:t>
            </w:r>
          </w:p>
        </w:tc>
        <w:tc>
          <w:tcPr>
            <w:tcW w:w="2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Subordinated Note</w:t>
            </w:r>
          </w:p>
        </w:tc>
        <w:tc>
          <w:tcPr>
            <w:tcW w:w="2900" w:type="dxa"/>
            <w:vAlign w:val="bottom"/>
          </w:tcPr>
          <w:p>
            <w:pPr>
              <w:ind w:left="2100"/>
              <w:spacing w:after="0" w:line="149" w:lineRule="exact"/>
              <w:rPr>
                <w:sz w:val="20"/>
                <w:szCs w:val="20"/>
                <w:color w:val="auto"/>
              </w:rPr>
            </w:pPr>
            <w:r>
              <w:rPr>
                <w:rFonts w:ascii="Arial" w:cs="Arial" w:eastAsia="Arial" w:hAnsi="Arial"/>
                <w:sz w:val="14"/>
                <w:szCs w:val="14"/>
                <w:color w:val="auto"/>
              </w:rPr>
              <w:t>13.0%/1.3%</w:t>
            </w: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6/23/2021</w:t>
            </w:r>
          </w:p>
        </w:tc>
        <w:tc>
          <w:tcPr>
            <w:tcW w:w="9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6,500</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6,485</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6,565</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Common Equity (360,000 shares) </w:t>
            </w:r>
            <w:r>
              <w:rPr>
                <w:rFonts w:ascii="Arial" w:cs="Arial" w:eastAsia="Arial" w:hAnsi="Arial"/>
                <w:sz w:val="12"/>
                <w:szCs w:val="12"/>
                <w:color w:val="auto"/>
              </w:rPr>
              <w:t>(i)</w:t>
            </w:r>
          </w:p>
        </w:tc>
        <w:tc>
          <w:tcPr>
            <w:tcW w:w="2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6,485</w:t>
            </w:r>
          </w:p>
        </w:tc>
        <w:tc>
          <w:tcPr>
            <w:tcW w:w="24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6,565</w:t>
            </w: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5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OMC Investors, LLC</w:t>
            </w:r>
          </w:p>
        </w:tc>
        <w:tc>
          <w:tcPr>
            <w:tcW w:w="2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i w:val="1"/>
                <w:iCs w:val="1"/>
                <w:color w:val="auto"/>
              </w:rPr>
              <w:t>(dba Ohio Medical Corporation)</w:t>
            </w:r>
          </w:p>
        </w:tc>
        <w:tc>
          <w:tcPr>
            <w:tcW w:w="2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2900" w:type="dxa"/>
            <w:vAlign w:val="bottom"/>
            <w:shd w:val="clear" w:color="auto" w:fill="CCEEFF"/>
          </w:tcPr>
          <w:p>
            <w:pPr>
              <w:ind w:left="2100"/>
              <w:spacing w:after="0" w:line="149" w:lineRule="exact"/>
              <w:rPr>
                <w:sz w:val="20"/>
                <w:szCs w:val="20"/>
                <w:color w:val="auto"/>
              </w:rPr>
            </w:pPr>
            <w:r>
              <w:rPr>
                <w:rFonts w:ascii="Arial" w:cs="Arial" w:eastAsia="Arial" w:hAnsi="Arial"/>
                <w:sz w:val="14"/>
                <w:szCs w:val="14"/>
                <w:color w:val="auto"/>
              </w:rPr>
              <w:t>12.0%/0.0%</w:t>
            </w: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7/15/2021</w:t>
            </w:r>
          </w:p>
        </w:tc>
        <w:tc>
          <w:tcPr>
            <w:tcW w:w="9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10,000</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9,926</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8,602</w:t>
            </w: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Common Equity (5,000 shares)</w:t>
            </w:r>
          </w:p>
        </w:tc>
        <w:tc>
          <w:tcPr>
            <w:tcW w:w="2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2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253</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10,426</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8,855</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7"/>
        </w:trPr>
        <w:tc>
          <w:tcPr>
            <w:tcW w:w="4540" w:type="dxa"/>
            <w:vAlign w:val="bottom"/>
            <w:gridSpan w:val="2"/>
          </w:tcPr>
          <w:p>
            <w:pPr>
              <w:spacing w:after="0"/>
              <w:rPr>
                <w:sz w:val="20"/>
                <w:szCs w:val="20"/>
                <w:color w:val="auto"/>
              </w:rPr>
            </w:pPr>
            <w:r>
              <w:rPr>
                <w:rFonts w:ascii="Arial" w:cs="Arial" w:eastAsia="Arial" w:hAnsi="Arial"/>
                <w:sz w:val="14"/>
                <w:szCs w:val="14"/>
                <w:i w:val="1"/>
                <w:iCs w:val="1"/>
                <w:color w:val="auto"/>
              </w:rPr>
              <w:t xml:space="preserve">Pfanstiehl, Inc. </w:t>
            </w:r>
            <w:r>
              <w:rPr>
                <w:rFonts w:ascii="Arial" w:cs="Arial" w:eastAsia="Arial" w:hAnsi="Arial"/>
                <w:sz w:val="12"/>
                <w:szCs w:val="12"/>
                <w:i w:val="1"/>
                <w:iCs w:val="1"/>
                <w:color w:val="auto"/>
              </w:rPr>
              <w:t>(k)</w:t>
            </w:r>
          </w:p>
        </w:tc>
        <w:tc>
          <w:tcPr>
            <w:tcW w:w="2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2900" w:type="dxa"/>
            <w:vAlign w:val="bottom"/>
            <w:shd w:val="clear" w:color="auto" w:fill="CCEEFF"/>
          </w:tcPr>
          <w:p>
            <w:pPr>
              <w:ind w:left="2100"/>
              <w:spacing w:after="0" w:line="149" w:lineRule="exact"/>
              <w:rPr>
                <w:sz w:val="20"/>
                <w:szCs w:val="20"/>
                <w:color w:val="auto"/>
              </w:rPr>
            </w:pPr>
            <w:r>
              <w:rPr>
                <w:rFonts w:ascii="Arial" w:cs="Arial" w:eastAsia="Arial" w:hAnsi="Arial"/>
                <w:sz w:val="14"/>
                <w:szCs w:val="14"/>
                <w:color w:val="auto"/>
              </w:rPr>
              <w:t>10.5%/0.0%</w:t>
            </w: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9/29/2021</w:t>
            </w:r>
          </w:p>
        </w:tc>
        <w:tc>
          <w:tcPr>
            <w:tcW w:w="9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6,208</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6,191</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6,208</w:t>
            </w: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 xml:space="preserve">Common Equity (8,500 units) </w:t>
            </w:r>
            <w:r>
              <w:rPr>
                <w:rFonts w:ascii="Arial" w:cs="Arial" w:eastAsia="Arial" w:hAnsi="Arial"/>
                <w:sz w:val="12"/>
                <w:szCs w:val="12"/>
                <w:color w:val="auto"/>
              </w:rPr>
              <w:t>(i)</w:t>
            </w:r>
          </w:p>
        </w:tc>
        <w:tc>
          <w:tcPr>
            <w:tcW w:w="2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850</w:t>
            </w:r>
          </w:p>
        </w:tc>
        <w:tc>
          <w:tcPr>
            <w:tcW w:w="2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11,137</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7,041</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17,345</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7"/>
        </w:trPr>
        <w:tc>
          <w:tcPr>
            <w:tcW w:w="4540" w:type="dxa"/>
            <w:vAlign w:val="bottom"/>
            <w:gridSpan w:val="2"/>
          </w:tcPr>
          <w:p>
            <w:pPr>
              <w:spacing w:after="0"/>
              <w:rPr>
                <w:sz w:val="20"/>
                <w:szCs w:val="20"/>
                <w:color w:val="auto"/>
              </w:rPr>
            </w:pPr>
            <w:r>
              <w:rPr>
                <w:rFonts w:ascii="Arial" w:cs="Arial" w:eastAsia="Arial" w:hAnsi="Arial"/>
                <w:sz w:val="14"/>
                <w:szCs w:val="14"/>
                <w:i w:val="1"/>
                <w:iCs w:val="1"/>
                <w:color w:val="auto"/>
              </w:rPr>
              <w:t>Six Month Smiles Holdings, Inc.</w:t>
            </w:r>
          </w:p>
        </w:tc>
        <w:tc>
          <w:tcPr>
            <w:tcW w:w="2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(i)</w:t>
            </w:r>
          </w:p>
        </w:tc>
        <w:tc>
          <w:tcPr>
            <w:tcW w:w="2900" w:type="dxa"/>
            <w:vAlign w:val="bottom"/>
            <w:shd w:val="clear" w:color="auto" w:fill="CCEEFF"/>
          </w:tcPr>
          <w:p>
            <w:pPr>
              <w:ind w:left="2100"/>
              <w:spacing w:after="0" w:line="149" w:lineRule="exact"/>
              <w:rPr>
                <w:sz w:val="20"/>
                <w:szCs w:val="20"/>
                <w:color w:val="auto"/>
              </w:rPr>
            </w:pPr>
            <w:r>
              <w:rPr>
                <w:rFonts w:ascii="Arial" w:cs="Arial" w:eastAsia="Arial" w:hAnsi="Arial"/>
                <w:sz w:val="14"/>
                <w:szCs w:val="14"/>
                <w:color w:val="auto"/>
              </w:rPr>
              <w:t>6.0%/8.5%</w:t>
            </w: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7/31/2020</w:t>
            </w:r>
          </w:p>
        </w:tc>
        <w:tc>
          <w:tcPr>
            <w:tcW w:w="9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9,156</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9,136</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8,110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7"/>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Healthcare Services</w:t>
            </w:r>
          </w:p>
        </w:tc>
        <w:tc>
          <w:tcPr>
            <w:tcW w:w="2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 xml:space="preserve">Medsurant Holdings, LLC </w:t>
            </w:r>
            <w:r>
              <w:rPr>
                <w:rFonts w:ascii="Arial" w:cs="Arial" w:eastAsia="Arial" w:hAnsi="Arial"/>
                <w:sz w:val="12"/>
                <w:szCs w:val="12"/>
                <w:i w:val="1"/>
                <w:iCs w:val="1"/>
                <w:color w:val="auto"/>
              </w:rPr>
              <w:t>(k)</w:t>
            </w:r>
          </w:p>
        </w:tc>
        <w:tc>
          <w:tcPr>
            <w:tcW w:w="2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Subordinated Note</w:t>
            </w:r>
          </w:p>
        </w:tc>
        <w:tc>
          <w:tcPr>
            <w:tcW w:w="2900" w:type="dxa"/>
            <w:vAlign w:val="bottom"/>
          </w:tcPr>
          <w:p>
            <w:pPr>
              <w:ind w:left="2100"/>
              <w:spacing w:after="0" w:line="149" w:lineRule="exact"/>
              <w:rPr>
                <w:sz w:val="20"/>
                <w:szCs w:val="20"/>
                <w:color w:val="auto"/>
              </w:rPr>
            </w:pPr>
            <w:r>
              <w:rPr>
                <w:rFonts w:ascii="Arial" w:cs="Arial" w:eastAsia="Arial" w:hAnsi="Arial"/>
                <w:sz w:val="14"/>
                <w:szCs w:val="14"/>
                <w:color w:val="auto"/>
              </w:rPr>
              <w:t>12.3%/0.0%</w:t>
            </w: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6/18/2021</w:t>
            </w:r>
          </w:p>
        </w:tc>
        <w:tc>
          <w:tcPr>
            <w:tcW w:w="9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6,267</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6,226</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6,267</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Preferred Equity (126,662 units) </w:t>
            </w:r>
            <w:r>
              <w:rPr>
                <w:rFonts w:ascii="Arial" w:cs="Arial" w:eastAsia="Arial" w:hAnsi="Arial"/>
                <w:sz w:val="12"/>
                <w:szCs w:val="12"/>
                <w:color w:val="auto"/>
              </w:rPr>
              <w:t>(g)</w:t>
            </w:r>
          </w:p>
        </w:tc>
        <w:tc>
          <w:tcPr>
            <w:tcW w:w="2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1,345</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2,257</w:t>
            </w: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 xml:space="preserve">Warrant (505,176 units) </w:t>
            </w:r>
            <w:r>
              <w:rPr>
                <w:rFonts w:ascii="Arial" w:cs="Arial" w:eastAsia="Arial" w:hAnsi="Arial"/>
                <w:sz w:val="12"/>
                <w:szCs w:val="12"/>
                <w:color w:val="auto"/>
              </w:rPr>
              <w:t>(g)(l)</w:t>
            </w:r>
          </w:p>
        </w:tc>
        <w:tc>
          <w:tcPr>
            <w:tcW w:w="2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4,516</w:t>
            </w:r>
          </w:p>
        </w:tc>
        <w:tc>
          <w:tcPr>
            <w:tcW w:w="2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7,984</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12,087</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16,508</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7"/>
        </w:trPr>
        <w:tc>
          <w:tcPr>
            <w:tcW w:w="4540" w:type="dxa"/>
            <w:vAlign w:val="bottom"/>
            <w:gridSpan w:val="2"/>
          </w:tcPr>
          <w:p>
            <w:pPr>
              <w:spacing w:after="0"/>
              <w:rPr>
                <w:sz w:val="20"/>
                <w:szCs w:val="20"/>
                <w:color w:val="auto"/>
              </w:rPr>
            </w:pPr>
            <w:r>
              <w:rPr>
                <w:rFonts w:ascii="Arial" w:cs="Arial" w:eastAsia="Arial" w:hAnsi="Arial"/>
                <w:sz w:val="14"/>
                <w:szCs w:val="14"/>
                <w:i w:val="1"/>
                <w:iCs w:val="1"/>
                <w:color w:val="auto"/>
              </w:rPr>
              <w:t xml:space="preserve">Microbiology Research Associates, Inc. </w:t>
            </w:r>
            <w:r>
              <w:rPr>
                <w:rFonts w:ascii="Arial" w:cs="Arial" w:eastAsia="Arial" w:hAnsi="Arial"/>
                <w:sz w:val="12"/>
                <w:szCs w:val="12"/>
                <w:i w:val="1"/>
                <w:iCs w:val="1"/>
                <w:color w:val="auto"/>
              </w:rPr>
              <w:t>(k)</w:t>
            </w:r>
          </w:p>
        </w:tc>
        <w:tc>
          <w:tcPr>
            <w:tcW w:w="2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2900" w:type="dxa"/>
            <w:vAlign w:val="bottom"/>
            <w:shd w:val="clear" w:color="auto" w:fill="CCEEFF"/>
          </w:tcPr>
          <w:p>
            <w:pPr>
              <w:ind w:left="2100"/>
              <w:spacing w:after="0" w:line="149" w:lineRule="exact"/>
              <w:rPr>
                <w:sz w:val="20"/>
                <w:szCs w:val="20"/>
                <w:color w:val="auto"/>
              </w:rPr>
            </w:pPr>
            <w:r>
              <w:rPr>
                <w:rFonts w:ascii="Arial" w:cs="Arial" w:eastAsia="Arial" w:hAnsi="Arial"/>
                <w:sz w:val="14"/>
                <w:szCs w:val="14"/>
                <w:color w:val="auto"/>
              </w:rPr>
              <w:t>11.0%/1.5%</w:t>
            </w: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3/13/2022</w:t>
            </w:r>
          </w:p>
        </w:tc>
        <w:tc>
          <w:tcPr>
            <w:tcW w:w="9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8,602</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8,582</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8,602</w:t>
            </w: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 xml:space="preserve">Common Equity (1,625,731 units) </w:t>
            </w:r>
            <w:r>
              <w:rPr>
                <w:rFonts w:ascii="Arial" w:cs="Arial" w:eastAsia="Arial" w:hAnsi="Arial"/>
                <w:sz w:val="12"/>
                <w:szCs w:val="12"/>
                <w:color w:val="auto"/>
              </w:rPr>
              <w:t>(i)</w:t>
            </w:r>
          </w:p>
        </w:tc>
        <w:tc>
          <w:tcPr>
            <w:tcW w:w="2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1,939</w:t>
            </w:r>
          </w:p>
        </w:tc>
        <w:tc>
          <w:tcPr>
            <w:tcW w:w="2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2,819</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10,521</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11,421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Industry</w:t>
            </w:r>
          </w:p>
        </w:tc>
        <w:tc>
          <w:tcPr>
            <w:tcW w:w="188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 xml:space="preserve">Rate </w:t>
            </w:r>
            <w:r>
              <w:rPr>
                <w:rFonts w:ascii="Arial" w:cs="Arial" w:eastAsia="Arial" w:hAnsi="Arial"/>
                <w:sz w:val="12"/>
                <w:szCs w:val="12"/>
                <w:b w:val="1"/>
                <w:bCs w:val="1"/>
                <w:color w:val="auto"/>
                <w:w w:val="96"/>
              </w:rPr>
              <w:t>(d)</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Principal</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2"/>
                <w:szCs w:val="12"/>
                <w:b w:val="1"/>
                <w:bCs w:val="1"/>
                <w:color w:val="auto"/>
              </w:rPr>
              <w:t>(a)(b)</w:t>
            </w:r>
          </w:p>
        </w:tc>
        <w:tc>
          <w:tcPr>
            <w:tcW w:w="18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Maturity</w:t>
            </w:r>
          </w:p>
        </w:tc>
        <w:tc>
          <w:tcPr>
            <w:tcW w:w="920" w:type="dxa"/>
            <w:vAlign w:val="bottom"/>
            <w:gridSpan w:val="3"/>
            <w:vMerge w:val="continue"/>
          </w:tcPr>
          <w:p>
            <w:pPr>
              <w:spacing w:after="0"/>
              <w:rPr>
                <w:sz w:val="12"/>
                <w:szCs w:val="12"/>
                <w:color w:val="auto"/>
              </w:rPr>
            </w:pPr>
          </w:p>
        </w:tc>
        <w:tc>
          <w:tcPr>
            <w:tcW w:w="8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12"/>
                <w:szCs w:val="12"/>
                <w:b w:val="1"/>
                <w:bCs w:val="1"/>
                <w:color w:val="auto"/>
              </w:rPr>
              <w:t>(c)</w:t>
            </w:r>
          </w:p>
        </w:tc>
        <w:tc>
          <w:tcPr>
            <w:tcW w:w="1880" w:type="dxa"/>
            <w:vAlign w:val="bottom"/>
          </w:tcPr>
          <w:p>
            <w:pPr>
              <w:spacing w:after="0"/>
              <w:rPr>
                <w:sz w:val="12"/>
                <w:szCs w:val="12"/>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Cash/PIK</w:t>
            </w:r>
          </w:p>
        </w:tc>
        <w:tc>
          <w:tcPr>
            <w:tcW w:w="2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4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20"/>
        </w:trPr>
        <w:tc>
          <w:tcPr>
            <w:tcW w:w="1460" w:type="dxa"/>
            <w:vAlign w:val="bottom"/>
            <w:tcBorders>
              <w:top w:val="single" w:sz="8" w:color="auto"/>
              <w:bottom w:val="single" w:sz="8" w:color="auto"/>
            </w:tcBorders>
            <w:gridSpan w:val="2"/>
            <w:vMerge w:val="restart"/>
          </w:tcPr>
          <w:p>
            <w:pPr>
              <w:spacing w:after="0" w:line="155" w:lineRule="exact"/>
              <w:rPr>
                <w:sz w:val="20"/>
                <w:szCs w:val="20"/>
                <w:color w:val="auto"/>
              </w:rPr>
            </w:pPr>
            <w:r>
              <w:rPr>
                <w:rFonts w:ascii="Arial" w:cs="Arial" w:eastAsia="Arial" w:hAnsi="Arial"/>
                <w:sz w:val="14"/>
                <w:szCs w:val="14"/>
                <w:i w:val="1"/>
                <w:iCs w:val="1"/>
                <w:color w:val="auto"/>
                <w:w w:val="94"/>
              </w:rPr>
              <w:t>Oaktree Medical Centre,</w:t>
            </w:r>
          </w:p>
        </w:tc>
        <w:tc>
          <w:tcPr>
            <w:tcW w:w="2820" w:type="dxa"/>
            <w:vAlign w:val="bottom"/>
            <w:vMerge w:val="restart"/>
          </w:tcPr>
          <w:p>
            <w:pPr>
              <w:spacing w:after="0" w:line="155" w:lineRule="exact"/>
              <w:rPr>
                <w:sz w:val="20"/>
                <w:szCs w:val="20"/>
                <w:color w:val="auto"/>
              </w:rPr>
            </w:pPr>
            <w:r>
              <w:rPr>
                <w:rFonts w:ascii="Arial" w:cs="Arial" w:eastAsia="Arial" w:hAnsi="Arial"/>
                <w:sz w:val="14"/>
                <w:szCs w:val="14"/>
                <w:i w:val="1"/>
                <w:iCs w:val="1"/>
                <w:color w:val="auto"/>
              </w:rPr>
              <w:t>P.C.</w:t>
            </w:r>
          </w:p>
        </w:tc>
        <w:tc>
          <w:tcPr>
            <w:tcW w:w="1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460" w:type="dxa"/>
            <w:vAlign w:val="bottom"/>
            <w:gridSpan w:val="2"/>
            <w:vMerge w:val="continue"/>
          </w:tcPr>
          <w:p>
            <w:pPr>
              <w:spacing w:after="0"/>
              <w:rPr>
                <w:sz w:val="10"/>
                <w:szCs w:val="10"/>
                <w:color w:val="auto"/>
              </w:rPr>
            </w:pPr>
          </w:p>
        </w:tc>
        <w:tc>
          <w:tcPr>
            <w:tcW w:w="282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(dba Pain Management Associates)</w:t>
            </w:r>
          </w:p>
        </w:tc>
        <w:tc>
          <w:tcPr>
            <w:tcW w:w="1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Senior Secured Loan </w:t>
            </w:r>
            <w:r>
              <w:rPr>
                <w:rFonts w:ascii="Arial" w:cs="Arial" w:eastAsia="Arial" w:hAnsi="Arial"/>
                <w:sz w:val="12"/>
                <w:szCs w:val="12"/>
                <w:color w:val="auto"/>
              </w:rPr>
              <w:t>(i)</w:t>
            </w:r>
          </w:p>
        </w:tc>
        <w:tc>
          <w:tcPr>
            <w:tcW w:w="2600" w:type="dxa"/>
            <w:vAlign w:val="bottom"/>
            <w:gridSpan w:val="2"/>
          </w:tcPr>
          <w:p>
            <w:pPr>
              <w:ind w:left="1880"/>
              <w:spacing w:after="0" w:line="149" w:lineRule="exact"/>
              <w:rPr>
                <w:sz w:val="20"/>
                <w:szCs w:val="20"/>
                <w:color w:val="auto"/>
              </w:rPr>
            </w:pPr>
            <w:r>
              <w:rPr>
                <w:rFonts w:ascii="Arial" w:cs="Arial" w:eastAsia="Arial" w:hAnsi="Arial"/>
                <w:sz w:val="14"/>
                <w:szCs w:val="14"/>
                <w:color w:val="auto"/>
                <w:w w:val="92"/>
              </w:rPr>
              <w:t>11.5%/0.0%</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1/1/2018</w:t>
            </w:r>
          </w:p>
        </w:tc>
        <w:tc>
          <w:tcPr>
            <w:tcW w:w="30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571</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   631</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640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Senior Secured Loan </w:t>
            </w:r>
            <w:r>
              <w:rPr>
                <w:rFonts w:ascii="Arial" w:cs="Arial" w:eastAsia="Arial" w:hAnsi="Arial"/>
                <w:sz w:val="12"/>
                <w:szCs w:val="12"/>
                <w:color w:val="auto"/>
              </w:rPr>
              <w:t>(i)</w:t>
            </w:r>
          </w:p>
        </w:tc>
        <w:tc>
          <w:tcPr>
            <w:tcW w:w="2600" w:type="dxa"/>
            <w:vAlign w:val="bottom"/>
            <w:gridSpan w:val="2"/>
            <w:shd w:val="clear" w:color="auto" w:fill="CCEEFF"/>
          </w:tcPr>
          <w:p>
            <w:pPr>
              <w:ind w:left="1880"/>
              <w:spacing w:after="0" w:line="149" w:lineRule="exact"/>
              <w:rPr>
                <w:sz w:val="20"/>
                <w:szCs w:val="20"/>
                <w:color w:val="auto"/>
              </w:rPr>
            </w:pPr>
            <w:r>
              <w:rPr>
                <w:rFonts w:ascii="Arial" w:cs="Arial" w:eastAsia="Arial" w:hAnsi="Arial"/>
                <w:sz w:val="14"/>
                <w:szCs w:val="14"/>
                <w:color w:val="auto"/>
                <w:w w:val="92"/>
              </w:rPr>
              <w:t>7.0%/12.0%</w:t>
            </w:r>
          </w:p>
        </w:tc>
        <w:tc>
          <w:tcPr>
            <w:tcW w:w="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1/1/2018</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6,449</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6,904</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4,944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Revolving Loan ($2,500 commitment) </w:t>
            </w:r>
            <w:r>
              <w:rPr>
                <w:rFonts w:ascii="Arial" w:cs="Arial" w:eastAsia="Arial" w:hAnsi="Arial"/>
                <w:sz w:val="12"/>
                <w:szCs w:val="12"/>
                <w:color w:val="auto"/>
              </w:rPr>
              <w:t>(i)</w:t>
            </w:r>
          </w:p>
        </w:tc>
        <w:tc>
          <w:tcPr>
            <w:tcW w:w="2600" w:type="dxa"/>
            <w:vAlign w:val="bottom"/>
            <w:gridSpan w:val="2"/>
          </w:tcPr>
          <w:p>
            <w:pPr>
              <w:ind w:left="1880"/>
              <w:spacing w:after="0" w:line="149" w:lineRule="exact"/>
              <w:rPr>
                <w:sz w:val="20"/>
                <w:szCs w:val="20"/>
                <w:color w:val="auto"/>
              </w:rPr>
            </w:pPr>
            <w:r>
              <w:rPr>
                <w:rFonts w:ascii="Arial" w:cs="Arial" w:eastAsia="Arial" w:hAnsi="Arial"/>
                <w:sz w:val="14"/>
                <w:szCs w:val="14"/>
                <w:color w:val="auto"/>
                <w:w w:val="92"/>
              </w:rPr>
              <w:t>11.5%/0.0%</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1/1/2018</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2,500</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2,685</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2,800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10,220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8,384</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7"/>
        </w:trPr>
        <w:tc>
          <w:tcPr>
            <w:tcW w:w="4280" w:type="dxa"/>
            <w:vAlign w:val="bottom"/>
            <w:gridSpan w:val="3"/>
          </w:tcPr>
          <w:p>
            <w:pPr>
              <w:spacing w:after="0"/>
              <w:rPr>
                <w:sz w:val="20"/>
                <w:szCs w:val="20"/>
                <w:color w:val="auto"/>
              </w:rPr>
            </w:pPr>
            <w:r>
              <w:rPr>
                <w:rFonts w:ascii="Arial" w:cs="Arial" w:eastAsia="Arial" w:hAnsi="Arial"/>
                <w:sz w:val="14"/>
                <w:szCs w:val="14"/>
                <w:i w:val="1"/>
                <w:iCs w:val="1"/>
                <w:color w:val="auto"/>
              </w:rPr>
              <w:t>United Biologics, LLC</w:t>
            </w:r>
          </w:p>
        </w:tc>
        <w:tc>
          <w:tcPr>
            <w:tcW w:w="1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2600" w:type="dxa"/>
            <w:vAlign w:val="bottom"/>
            <w:gridSpan w:val="2"/>
            <w:shd w:val="clear" w:color="auto" w:fill="CCEEFF"/>
          </w:tcPr>
          <w:p>
            <w:pPr>
              <w:ind w:left="1880"/>
              <w:spacing w:after="0" w:line="149" w:lineRule="exact"/>
              <w:rPr>
                <w:sz w:val="20"/>
                <w:szCs w:val="20"/>
                <w:color w:val="auto"/>
              </w:rPr>
            </w:pPr>
            <w:r>
              <w:rPr>
                <w:rFonts w:ascii="Arial" w:cs="Arial" w:eastAsia="Arial" w:hAnsi="Arial"/>
                <w:sz w:val="14"/>
                <w:szCs w:val="14"/>
                <w:color w:val="auto"/>
                <w:w w:val="92"/>
              </w:rPr>
              <w:t>12.0%/2.0%</w:t>
            </w:r>
          </w:p>
        </w:tc>
        <w:tc>
          <w:tcPr>
            <w:tcW w:w="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93"/>
              </w:rPr>
              <w:t>4/30/2018</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8,786</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8,762</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8,786</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Preferred Equity (98,377 units) </w:t>
            </w:r>
            <w:r>
              <w:rPr>
                <w:rFonts w:ascii="Arial" w:cs="Arial" w:eastAsia="Arial" w:hAnsi="Arial"/>
                <w:sz w:val="12"/>
                <w:szCs w:val="12"/>
                <w:color w:val="auto"/>
              </w:rPr>
              <w:t>(g)(i)</w:t>
            </w:r>
          </w:p>
        </w:tc>
        <w:tc>
          <w:tcPr>
            <w:tcW w:w="1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1,069</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455</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Warrant (57,469 units) </w:t>
            </w:r>
            <w:r>
              <w:rPr>
                <w:rFonts w:ascii="Arial" w:cs="Arial" w:eastAsia="Arial" w:hAnsi="Arial"/>
                <w:sz w:val="12"/>
                <w:szCs w:val="12"/>
                <w:color w:val="auto"/>
              </w:rPr>
              <w:t>(l)</w:t>
            </w:r>
          </w:p>
        </w:tc>
        <w:tc>
          <w:tcPr>
            <w:tcW w:w="1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566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126</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10,397</w:t>
            </w:r>
          </w:p>
        </w:tc>
        <w:tc>
          <w:tcPr>
            <w:tcW w:w="3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9,367</w:t>
            </w:r>
          </w:p>
        </w:tc>
        <w:tc>
          <w:tcPr>
            <w:tcW w:w="3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28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Industrial Cleaning &amp; Coatings</w:t>
            </w:r>
          </w:p>
        </w:tc>
        <w:tc>
          <w:tcPr>
            <w:tcW w:w="1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K2 Industrial Services, Inc.</w:t>
            </w:r>
          </w:p>
        </w:tc>
        <w:tc>
          <w:tcPr>
            <w:tcW w:w="1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Tranche A Loan</w:t>
            </w:r>
          </w:p>
        </w:tc>
        <w:tc>
          <w:tcPr>
            <w:tcW w:w="2600" w:type="dxa"/>
            <w:vAlign w:val="bottom"/>
            <w:gridSpan w:val="2"/>
            <w:shd w:val="clear" w:color="auto" w:fill="CCEEFF"/>
          </w:tcPr>
          <w:p>
            <w:pPr>
              <w:ind w:left="1880"/>
              <w:spacing w:after="0" w:line="149" w:lineRule="exact"/>
              <w:rPr>
                <w:sz w:val="20"/>
                <w:szCs w:val="20"/>
                <w:color w:val="auto"/>
              </w:rPr>
            </w:pPr>
            <w:r>
              <w:rPr>
                <w:rFonts w:ascii="Arial" w:cs="Arial" w:eastAsia="Arial" w:hAnsi="Arial"/>
                <w:sz w:val="14"/>
                <w:szCs w:val="14"/>
                <w:color w:val="auto"/>
                <w:w w:val="92"/>
              </w:rPr>
              <w:t>11.8%/2.5%</w:t>
            </w:r>
          </w:p>
        </w:tc>
        <w:tc>
          <w:tcPr>
            <w:tcW w:w="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93"/>
              </w:rPr>
              <w:t>4/25/2022</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10,174</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10,136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10,173</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Tranche B Loan</w:t>
            </w:r>
          </w:p>
        </w:tc>
        <w:tc>
          <w:tcPr>
            <w:tcW w:w="2600" w:type="dxa"/>
            <w:vAlign w:val="bottom"/>
            <w:gridSpan w:val="2"/>
          </w:tcPr>
          <w:p>
            <w:pPr>
              <w:ind w:left="1880"/>
              <w:spacing w:after="0" w:line="149" w:lineRule="exact"/>
              <w:rPr>
                <w:sz w:val="20"/>
                <w:szCs w:val="20"/>
                <w:color w:val="auto"/>
              </w:rPr>
            </w:pPr>
            <w:r>
              <w:rPr>
                <w:rFonts w:ascii="Arial" w:cs="Arial" w:eastAsia="Arial" w:hAnsi="Arial"/>
                <w:sz w:val="14"/>
                <w:szCs w:val="14"/>
                <w:color w:val="auto"/>
                <w:w w:val="92"/>
              </w:rPr>
              <w:t>11.8%/7.3%</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93"/>
              </w:rPr>
              <w:t>4/25/2022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2,101</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2,094</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2,102</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(1,673 shares)</w:t>
            </w:r>
          </w:p>
        </w:tc>
        <w:tc>
          <w:tcPr>
            <w:tcW w:w="1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1,268</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862</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13,498</w:t>
            </w:r>
          </w:p>
        </w:tc>
        <w:tc>
          <w:tcPr>
            <w:tcW w:w="3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13,137</w:t>
            </w:r>
          </w:p>
        </w:tc>
        <w:tc>
          <w:tcPr>
            <w:tcW w:w="3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28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Information Technology Services</w:t>
            </w:r>
          </w:p>
        </w:tc>
        <w:tc>
          <w:tcPr>
            <w:tcW w:w="1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 xml:space="preserve">inthinc Technology Solutions, Inc. </w:t>
            </w:r>
            <w:r>
              <w:rPr>
                <w:rFonts w:ascii="Arial" w:cs="Arial" w:eastAsia="Arial" w:hAnsi="Arial"/>
                <w:sz w:val="12"/>
                <w:szCs w:val="12"/>
                <w:i w:val="1"/>
                <w:iCs w:val="1"/>
                <w:color w:val="auto"/>
              </w:rPr>
              <w:t>(m)</w:t>
            </w:r>
          </w:p>
        </w:tc>
        <w:tc>
          <w:tcPr>
            <w:tcW w:w="1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Royalty Rights</w:t>
            </w:r>
          </w:p>
        </w:tc>
        <w:tc>
          <w:tcPr>
            <w:tcW w:w="1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93"/>
              </w:rPr>
              <w:t>4/24/2020</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185</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7"/>
        </w:trPr>
        <w:tc>
          <w:tcPr>
            <w:tcW w:w="4280" w:type="dxa"/>
            <w:vAlign w:val="bottom"/>
            <w:gridSpan w:val="3"/>
          </w:tcPr>
          <w:p>
            <w:pPr>
              <w:spacing w:after="0"/>
              <w:rPr>
                <w:sz w:val="20"/>
                <w:szCs w:val="20"/>
                <w:color w:val="auto"/>
              </w:rPr>
            </w:pPr>
            <w:r>
              <w:rPr>
                <w:rFonts w:ascii="Arial" w:cs="Arial" w:eastAsia="Arial" w:hAnsi="Arial"/>
                <w:sz w:val="14"/>
                <w:szCs w:val="14"/>
                <w:i w:val="1"/>
                <w:iCs w:val="1"/>
                <w:color w:val="auto"/>
              </w:rPr>
              <w:t>New Era Technology, Inc.</w:t>
            </w:r>
          </w:p>
        </w:tc>
        <w:tc>
          <w:tcPr>
            <w:tcW w:w="1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(i)</w:t>
            </w:r>
          </w:p>
        </w:tc>
        <w:tc>
          <w:tcPr>
            <w:tcW w:w="2600" w:type="dxa"/>
            <w:vAlign w:val="bottom"/>
            <w:gridSpan w:val="2"/>
            <w:shd w:val="clear" w:color="auto" w:fill="CCEEFF"/>
          </w:tcPr>
          <w:p>
            <w:pPr>
              <w:ind w:left="1880"/>
              <w:spacing w:after="0" w:line="149" w:lineRule="exact"/>
              <w:rPr>
                <w:sz w:val="20"/>
                <w:szCs w:val="20"/>
                <w:color w:val="auto"/>
              </w:rPr>
            </w:pPr>
            <w:r>
              <w:rPr>
                <w:rFonts w:ascii="Arial" w:cs="Arial" w:eastAsia="Arial" w:hAnsi="Arial"/>
                <w:sz w:val="14"/>
                <w:szCs w:val="14"/>
                <w:color w:val="auto"/>
                <w:w w:val="92"/>
              </w:rPr>
              <w:t>11.0%/1.5%</w:t>
            </w:r>
          </w:p>
        </w:tc>
        <w:tc>
          <w:tcPr>
            <w:tcW w:w="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9/3/2022</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11,558</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11,504</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11,504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Common Equity (197,369 shares) </w:t>
            </w:r>
            <w:r>
              <w:rPr>
                <w:rFonts w:ascii="Arial" w:cs="Arial" w:eastAsia="Arial" w:hAnsi="Arial"/>
                <w:sz w:val="12"/>
                <w:szCs w:val="12"/>
                <w:color w:val="auto"/>
              </w:rPr>
              <w:t>(i)</w:t>
            </w:r>
          </w:p>
        </w:tc>
        <w:tc>
          <w:tcPr>
            <w:tcW w:w="1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750</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750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12,254</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12,254</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7"/>
        </w:trPr>
        <w:tc>
          <w:tcPr>
            <w:tcW w:w="4280" w:type="dxa"/>
            <w:vAlign w:val="bottom"/>
            <w:gridSpan w:val="3"/>
          </w:tcPr>
          <w:p>
            <w:pPr>
              <w:spacing w:after="0"/>
              <w:rPr>
                <w:sz w:val="20"/>
                <w:szCs w:val="20"/>
                <w:color w:val="auto"/>
              </w:rPr>
            </w:pPr>
            <w:r>
              <w:rPr>
                <w:rFonts w:ascii="Arial" w:cs="Arial" w:eastAsia="Arial" w:hAnsi="Arial"/>
                <w:sz w:val="14"/>
                <w:szCs w:val="14"/>
                <w:i w:val="1"/>
                <w:iCs w:val="1"/>
                <w:color w:val="auto"/>
              </w:rPr>
              <w:t>Revenue Management Solutions, LLC</w:t>
            </w:r>
          </w:p>
        </w:tc>
        <w:tc>
          <w:tcPr>
            <w:tcW w:w="1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2600" w:type="dxa"/>
            <w:vAlign w:val="bottom"/>
            <w:gridSpan w:val="2"/>
            <w:shd w:val="clear" w:color="auto" w:fill="CCEEFF"/>
          </w:tcPr>
          <w:p>
            <w:pPr>
              <w:ind w:left="1880"/>
              <w:spacing w:after="0" w:line="149" w:lineRule="exact"/>
              <w:rPr>
                <w:sz w:val="20"/>
                <w:szCs w:val="20"/>
                <w:color w:val="auto"/>
              </w:rPr>
            </w:pPr>
            <w:r>
              <w:rPr>
                <w:rFonts w:ascii="Arial" w:cs="Arial" w:eastAsia="Arial" w:hAnsi="Arial"/>
                <w:sz w:val="14"/>
                <w:szCs w:val="14"/>
                <w:color w:val="auto"/>
                <w:w w:val="92"/>
              </w:rPr>
              <w:t>11.5%/1.0%</w:t>
            </w:r>
          </w:p>
        </w:tc>
        <w:tc>
          <w:tcPr>
            <w:tcW w:w="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7/4/2022</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8,793</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8,714</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8,714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(i)</w:t>
            </w:r>
          </w:p>
        </w:tc>
        <w:tc>
          <w:tcPr>
            <w:tcW w:w="2600" w:type="dxa"/>
            <w:vAlign w:val="bottom"/>
            <w:gridSpan w:val="2"/>
          </w:tcPr>
          <w:p>
            <w:pPr>
              <w:ind w:left="1880"/>
              <w:spacing w:after="0" w:line="149" w:lineRule="exact"/>
              <w:rPr>
                <w:sz w:val="20"/>
                <w:szCs w:val="20"/>
                <w:color w:val="auto"/>
              </w:rPr>
            </w:pPr>
            <w:r>
              <w:rPr>
                <w:rFonts w:ascii="Arial" w:cs="Arial" w:eastAsia="Arial" w:hAnsi="Arial"/>
                <w:sz w:val="14"/>
                <w:szCs w:val="14"/>
                <w:color w:val="auto"/>
              </w:rPr>
              <w:t>7.0%/6.5%</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7/4/2022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790</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779</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779</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(2,250,000 units)</w:t>
            </w:r>
          </w:p>
        </w:tc>
        <w:tc>
          <w:tcPr>
            <w:tcW w:w="1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2,250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2,250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11,743</w:t>
            </w:r>
          </w:p>
        </w:tc>
        <w:tc>
          <w:tcPr>
            <w:tcW w:w="3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11,743</w:t>
            </w:r>
          </w:p>
        </w:tc>
        <w:tc>
          <w:tcPr>
            <w:tcW w:w="3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28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Software Technology, LLC</w:t>
            </w:r>
          </w:p>
        </w:tc>
        <w:tc>
          <w:tcPr>
            <w:tcW w:w="1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2600" w:type="dxa"/>
            <w:vAlign w:val="bottom"/>
            <w:gridSpan w:val="2"/>
          </w:tcPr>
          <w:p>
            <w:pPr>
              <w:ind w:left="1880"/>
              <w:spacing w:after="0" w:line="149" w:lineRule="exact"/>
              <w:rPr>
                <w:sz w:val="20"/>
                <w:szCs w:val="20"/>
                <w:color w:val="auto"/>
              </w:rPr>
            </w:pPr>
            <w:r>
              <w:rPr>
                <w:rFonts w:ascii="Arial" w:cs="Arial" w:eastAsia="Arial" w:hAnsi="Arial"/>
                <w:sz w:val="14"/>
                <w:szCs w:val="14"/>
                <w:color w:val="auto"/>
                <w:w w:val="92"/>
              </w:rPr>
              <w:t>11.0%/0.0%</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93"/>
              </w:rPr>
              <w:t>6/23/2023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8,750</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8,710</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8,750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(11 units)</w:t>
            </w:r>
          </w:p>
        </w:tc>
        <w:tc>
          <w:tcPr>
            <w:tcW w:w="1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1,125</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1,148</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9,835</w:t>
            </w:r>
          </w:p>
        </w:tc>
        <w:tc>
          <w:tcPr>
            <w:tcW w:w="3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9,898</w:t>
            </w:r>
          </w:p>
        </w:tc>
        <w:tc>
          <w:tcPr>
            <w:tcW w:w="3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28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Laundry Services</w:t>
            </w:r>
          </w:p>
        </w:tc>
        <w:tc>
          <w:tcPr>
            <w:tcW w:w="1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Caldwell &amp; Gregory, LLC</w:t>
            </w:r>
          </w:p>
        </w:tc>
        <w:tc>
          <w:tcPr>
            <w:tcW w:w="1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2600" w:type="dxa"/>
            <w:vAlign w:val="bottom"/>
            <w:gridSpan w:val="2"/>
            <w:shd w:val="clear" w:color="auto" w:fill="CCEEFF"/>
          </w:tcPr>
          <w:p>
            <w:pPr>
              <w:ind w:left="1880"/>
              <w:spacing w:after="0" w:line="149" w:lineRule="exact"/>
              <w:rPr>
                <w:sz w:val="20"/>
                <w:szCs w:val="20"/>
                <w:color w:val="auto"/>
              </w:rPr>
            </w:pPr>
            <w:r>
              <w:rPr>
                <w:rFonts w:ascii="Arial" w:cs="Arial" w:eastAsia="Arial" w:hAnsi="Arial"/>
                <w:sz w:val="14"/>
                <w:szCs w:val="14"/>
                <w:color w:val="auto"/>
                <w:w w:val="92"/>
              </w:rPr>
              <w:t>0.0%/12.0%</w:t>
            </w:r>
          </w:p>
        </w:tc>
        <w:tc>
          <w:tcPr>
            <w:tcW w:w="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93"/>
              </w:rPr>
              <w:t>5/31/2022</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2,861</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2,861</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2,861</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Common Equity (500,000 units) </w:t>
            </w:r>
            <w:r>
              <w:rPr>
                <w:rFonts w:ascii="Arial" w:cs="Arial" w:eastAsia="Arial" w:hAnsi="Arial"/>
                <w:sz w:val="12"/>
                <w:szCs w:val="12"/>
                <w:color w:val="auto"/>
              </w:rPr>
              <w:t>(g)</w:t>
            </w:r>
          </w:p>
        </w:tc>
        <w:tc>
          <w:tcPr>
            <w:tcW w:w="1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500</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642</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Warrant (242,121 units) </w:t>
            </w:r>
            <w:r>
              <w:rPr>
                <w:rFonts w:ascii="Arial" w:cs="Arial" w:eastAsia="Arial" w:hAnsi="Arial"/>
                <w:sz w:val="12"/>
                <w:szCs w:val="12"/>
                <w:color w:val="auto"/>
              </w:rPr>
              <w:t>(g)(l)</w:t>
            </w:r>
          </w:p>
        </w:tc>
        <w:tc>
          <w:tcPr>
            <w:tcW w:w="1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242</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311</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3,603</w:t>
            </w:r>
          </w:p>
        </w:tc>
        <w:tc>
          <w:tcPr>
            <w:tcW w:w="3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3,814</w:t>
            </w:r>
          </w:p>
        </w:tc>
        <w:tc>
          <w:tcPr>
            <w:tcW w:w="3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Industry</w:t>
            </w:r>
          </w:p>
        </w:tc>
        <w:tc>
          <w:tcPr>
            <w:tcW w:w="1700" w:type="dxa"/>
            <w:vAlign w:val="bottom"/>
          </w:tcPr>
          <w:p>
            <w:pPr>
              <w:spacing w:after="0"/>
              <w:rPr>
                <w:sz w:val="16"/>
                <w:szCs w:val="16"/>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 xml:space="preserve">Rate </w:t>
            </w:r>
            <w:r>
              <w:rPr>
                <w:rFonts w:ascii="Arial" w:cs="Arial" w:eastAsia="Arial" w:hAnsi="Arial"/>
                <w:sz w:val="12"/>
                <w:szCs w:val="12"/>
                <w:b w:val="1"/>
                <w:bCs w:val="1"/>
                <w:color w:val="auto"/>
                <w:w w:val="96"/>
              </w:rPr>
              <w:t>(d)</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Principal</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9"/>
        </w:trPr>
        <w:tc>
          <w:tcPr>
            <w:tcW w:w="4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2"/>
                <w:szCs w:val="12"/>
                <w:b w:val="1"/>
                <w:bCs w:val="1"/>
                <w:color w:val="auto"/>
              </w:rPr>
              <w:t>(a)(b)</w:t>
            </w:r>
          </w:p>
        </w:tc>
        <w:tc>
          <w:tcPr>
            <w:tcW w:w="17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92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2"/>
              </w:rPr>
              <w:t>Fair Value</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49"/>
        </w:trPr>
        <w:tc>
          <w:tcPr>
            <w:tcW w:w="43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12"/>
                <w:szCs w:val="12"/>
                <w:b w:val="1"/>
                <w:bCs w:val="1"/>
                <w:color w:val="auto"/>
              </w:rPr>
              <w:t>(c)</w:t>
            </w:r>
          </w:p>
        </w:tc>
        <w:tc>
          <w:tcPr>
            <w:tcW w:w="1700" w:type="dxa"/>
            <w:vAlign w:val="bottom"/>
          </w:tcPr>
          <w:p>
            <w:pPr>
              <w:spacing w:after="0"/>
              <w:rPr>
                <w:sz w:val="12"/>
                <w:szCs w:val="12"/>
                <w:color w:val="auto"/>
              </w:rPr>
            </w:pPr>
          </w:p>
        </w:tc>
        <w:tc>
          <w:tcPr>
            <w:tcW w:w="100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7"/>
              </w:rPr>
              <w:t>Cash/PIK</w:t>
            </w:r>
          </w:p>
        </w:tc>
        <w:tc>
          <w:tcPr>
            <w:tcW w:w="1040" w:type="dxa"/>
            <w:vAlign w:val="bottom"/>
            <w:gridSpan w:val="2"/>
            <w:vMerge w:val="continue"/>
          </w:tcPr>
          <w:p>
            <w:pPr>
              <w:spacing w:after="0"/>
              <w:rPr>
                <w:sz w:val="12"/>
                <w:szCs w:val="12"/>
                <w:color w:val="auto"/>
              </w:rPr>
            </w:pPr>
          </w:p>
        </w:tc>
        <w:tc>
          <w:tcPr>
            <w:tcW w:w="92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4"/>
              </w:rPr>
              <w:t>Amount</w:t>
            </w:r>
          </w:p>
        </w:tc>
        <w:tc>
          <w:tcPr>
            <w:tcW w:w="82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4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20"/>
        </w:trPr>
        <w:tc>
          <w:tcPr>
            <w:tcW w:w="1460" w:type="dxa"/>
            <w:vAlign w:val="bottom"/>
            <w:tcBorders>
              <w:top w:val="single" w:sz="8" w:color="auto"/>
              <w:bottom w:val="single" w:sz="8" w:color="auto"/>
            </w:tcBorders>
            <w:gridSpan w:val="2"/>
            <w:vMerge w:val="restart"/>
          </w:tcPr>
          <w:p>
            <w:pPr>
              <w:spacing w:after="0" w:line="155" w:lineRule="exact"/>
              <w:rPr>
                <w:sz w:val="20"/>
                <w:szCs w:val="20"/>
                <w:color w:val="auto"/>
              </w:rPr>
            </w:pPr>
            <w:r>
              <w:rPr>
                <w:rFonts w:ascii="Arial" w:cs="Arial" w:eastAsia="Arial" w:hAnsi="Arial"/>
                <w:sz w:val="14"/>
                <w:szCs w:val="14"/>
                <w:b w:val="1"/>
                <w:bCs w:val="1"/>
                <w:color w:val="auto"/>
                <w:w w:val="98"/>
              </w:rPr>
              <w:t>Oil &amp; Gas Distribution</w:t>
            </w:r>
          </w:p>
        </w:tc>
        <w:tc>
          <w:tcPr>
            <w:tcW w:w="28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460" w:type="dxa"/>
            <w:vAlign w:val="bottom"/>
            <w:gridSpan w:val="2"/>
            <w:vMerge w:val="continue"/>
          </w:tcPr>
          <w:p>
            <w:pPr>
              <w:spacing w:after="0"/>
              <w:rPr>
                <w:sz w:val="10"/>
                <w:szCs w:val="10"/>
                <w:color w:val="auto"/>
              </w:rPr>
            </w:pPr>
          </w:p>
        </w:tc>
        <w:tc>
          <w:tcPr>
            <w:tcW w:w="28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LNG Indy, LLC</w:t>
            </w:r>
          </w:p>
        </w:tc>
        <w:tc>
          <w:tcPr>
            <w:tcW w:w="1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(dba Kinetrex Energy)</w:t>
            </w:r>
          </w:p>
        </w:tc>
        <w:tc>
          <w:tcPr>
            <w:tcW w:w="1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2420" w:type="dxa"/>
            <w:vAlign w:val="bottom"/>
            <w:gridSpan w:val="2"/>
            <w:shd w:val="clear" w:color="auto" w:fill="CCEEFF"/>
          </w:tcPr>
          <w:p>
            <w:pPr>
              <w:jc w:val="center"/>
              <w:ind w:left="1608"/>
              <w:spacing w:after="0" w:line="149" w:lineRule="exact"/>
              <w:rPr>
                <w:sz w:val="20"/>
                <w:szCs w:val="20"/>
                <w:color w:val="auto"/>
              </w:rPr>
            </w:pPr>
            <w:r>
              <w:rPr>
                <w:rFonts w:ascii="Arial" w:cs="Arial" w:eastAsia="Arial" w:hAnsi="Arial"/>
                <w:sz w:val="14"/>
                <w:szCs w:val="14"/>
                <w:color w:val="auto"/>
                <w:w w:val="92"/>
              </w:rPr>
              <w:t>11.5%/0.0%</w:t>
            </w: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9/28/2021</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   5,000</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8"/>
              </w:rPr>
              <w:t>$ 4,977</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5,000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Common Equity (1,000 units)</w:t>
            </w:r>
          </w:p>
        </w:tc>
        <w:tc>
          <w:tcPr>
            <w:tcW w:w="1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1,000</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1,168</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5,977</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6,168</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7"/>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Oil &amp; Gas Services</w:t>
            </w:r>
          </w:p>
        </w:tc>
        <w:tc>
          <w:tcPr>
            <w:tcW w:w="1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 xml:space="preserve">IOS Acquisitions, Inc. </w:t>
            </w:r>
            <w:r>
              <w:rPr>
                <w:rFonts w:ascii="Arial" w:cs="Arial" w:eastAsia="Arial" w:hAnsi="Arial"/>
                <w:sz w:val="12"/>
                <w:szCs w:val="12"/>
                <w:i w:val="1"/>
                <w:iCs w:val="1"/>
                <w:color w:val="auto"/>
              </w:rPr>
              <w:t>(m)</w:t>
            </w:r>
          </w:p>
        </w:tc>
        <w:tc>
          <w:tcPr>
            <w:tcW w:w="1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00" w:type="dxa"/>
            <w:vAlign w:val="bottom"/>
            <w:gridSpan w:val="2"/>
          </w:tcPr>
          <w:p>
            <w:pPr>
              <w:spacing w:after="0"/>
              <w:rPr>
                <w:sz w:val="20"/>
                <w:szCs w:val="20"/>
                <w:color w:val="auto"/>
              </w:rPr>
            </w:pPr>
            <w:r>
              <w:rPr>
                <w:rFonts w:ascii="Arial" w:cs="Arial" w:eastAsia="Arial" w:hAnsi="Arial"/>
                <w:sz w:val="14"/>
                <w:szCs w:val="14"/>
                <w:color w:val="auto"/>
              </w:rPr>
              <w:t xml:space="preserve">Common Equity (2,152 units) </w:t>
            </w:r>
            <w:r>
              <w:rPr>
                <w:rFonts w:ascii="Arial" w:cs="Arial" w:eastAsia="Arial" w:hAnsi="Arial"/>
                <w:sz w:val="12"/>
                <w:szCs w:val="12"/>
                <w:color w:val="auto"/>
              </w:rPr>
              <w:t>(i)</w:t>
            </w:r>
          </w:p>
        </w:tc>
        <w:tc>
          <w:tcPr>
            <w:tcW w:w="1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103</w:t>
            </w:r>
          </w:p>
        </w:tc>
        <w:tc>
          <w:tcPr>
            <w:tcW w:w="16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17</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440" w:type="dxa"/>
            <w:vAlign w:val="bottom"/>
          </w:tcPr>
          <w:p>
            <w:pPr>
              <w:spacing w:after="0"/>
              <w:rPr>
                <w:sz w:val="6"/>
                <w:szCs w:val="6"/>
                <w:color w:val="auto"/>
              </w:rPr>
            </w:pPr>
          </w:p>
        </w:tc>
        <w:tc>
          <w:tcPr>
            <w:tcW w:w="28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 xml:space="preserve">Pinnergy, Ltd. </w:t>
            </w:r>
            <w:r>
              <w:rPr>
                <w:rFonts w:ascii="Arial" w:cs="Arial" w:eastAsia="Arial" w:hAnsi="Arial"/>
                <w:sz w:val="12"/>
                <w:szCs w:val="12"/>
                <w:i w:val="1"/>
                <w:iCs w:val="1"/>
                <w:color w:val="auto"/>
              </w:rPr>
              <w:t>(k)</w:t>
            </w:r>
          </w:p>
        </w:tc>
        <w:tc>
          <w:tcPr>
            <w:tcW w:w="1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2420" w:type="dxa"/>
            <w:vAlign w:val="bottom"/>
            <w:gridSpan w:val="2"/>
          </w:tcPr>
          <w:p>
            <w:pPr>
              <w:jc w:val="center"/>
              <w:ind w:left="1608"/>
              <w:spacing w:after="0" w:line="149" w:lineRule="exact"/>
              <w:rPr>
                <w:sz w:val="20"/>
                <w:szCs w:val="20"/>
                <w:color w:val="auto"/>
              </w:rPr>
            </w:pPr>
            <w:r>
              <w:rPr>
                <w:rFonts w:ascii="Arial" w:cs="Arial" w:eastAsia="Arial" w:hAnsi="Arial"/>
                <w:sz w:val="14"/>
                <w:szCs w:val="14"/>
                <w:color w:val="auto"/>
                <w:w w:val="92"/>
              </w:rPr>
              <w:t>0.0%/10.0%</w:t>
            </w:r>
          </w:p>
        </w:tc>
        <w:tc>
          <w:tcPr>
            <w:tcW w:w="28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1/24/2020</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8,843</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8,826</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8,843</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Common Equity - Class A-2 (42,500 units) </w:t>
            </w:r>
            <w:r>
              <w:rPr>
                <w:rFonts w:ascii="Arial" w:cs="Arial" w:eastAsia="Arial" w:hAnsi="Arial"/>
                <w:sz w:val="12"/>
                <w:szCs w:val="12"/>
                <w:color w:val="auto"/>
              </w:rPr>
              <w:t>(j)</w:t>
            </w:r>
          </w:p>
        </w:tc>
        <w:tc>
          <w:tcPr>
            <w:tcW w:w="1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3,000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5,494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Common Equity - Class B (1,000 units) </w:t>
            </w:r>
            <w:r>
              <w:rPr>
                <w:rFonts w:ascii="Arial" w:cs="Arial" w:eastAsia="Arial" w:hAnsi="Arial"/>
                <w:sz w:val="12"/>
                <w:szCs w:val="12"/>
                <w:color w:val="auto"/>
              </w:rPr>
              <w:t>(j)</w:t>
            </w:r>
          </w:p>
        </w:tc>
        <w:tc>
          <w:tcPr>
            <w:tcW w:w="1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3,000</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3,000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14,826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17,337</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7"/>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Packaging</w:t>
            </w:r>
          </w:p>
        </w:tc>
        <w:tc>
          <w:tcPr>
            <w:tcW w:w="1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Rohrer Corporation</w:t>
            </w:r>
          </w:p>
        </w:tc>
        <w:tc>
          <w:tcPr>
            <w:tcW w:w="1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2420" w:type="dxa"/>
            <w:vAlign w:val="bottom"/>
            <w:gridSpan w:val="2"/>
          </w:tcPr>
          <w:p>
            <w:pPr>
              <w:jc w:val="center"/>
              <w:ind w:left="1608"/>
              <w:spacing w:after="0" w:line="149" w:lineRule="exact"/>
              <w:rPr>
                <w:sz w:val="20"/>
                <w:szCs w:val="20"/>
                <w:color w:val="auto"/>
              </w:rPr>
            </w:pPr>
            <w:r>
              <w:rPr>
                <w:rFonts w:ascii="Arial" w:cs="Arial" w:eastAsia="Arial" w:hAnsi="Arial"/>
                <w:sz w:val="14"/>
                <w:szCs w:val="14"/>
                <w:color w:val="auto"/>
                <w:w w:val="92"/>
              </w:rPr>
              <w:t>11.0%/1.5%</w:t>
            </w:r>
          </w:p>
        </w:tc>
        <w:tc>
          <w:tcPr>
            <w:tcW w:w="28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1/18/2022</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16,740</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16,672</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16,740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(389 shares)</w:t>
            </w:r>
          </w:p>
        </w:tc>
        <w:tc>
          <w:tcPr>
            <w:tcW w:w="1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750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858</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17,422</w:t>
            </w:r>
          </w:p>
        </w:tc>
        <w:tc>
          <w:tcPr>
            <w:tcW w:w="3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17,598</w:t>
            </w:r>
          </w:p>
        </w:tc>
        <w:tc>
          <w:tcPr>
            <w:tcW w:w="3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36"/>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Printing Services</w:t>
            </w:r>
          </w:p>
        </w:tc>
        <w:tc>
          <w:tcPr>
            <w:tcW w:w="1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Brook &amp; Whittle Limited</w:t>
            </w:r>
          </w:p>
        </w:tc>
        <w:tc>
          <w:tcPr>
            <w:tcW w:w="1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Note</w:t>
            </w:r>
          </w:p>
        </w:tc>
        <w:tc>
          <w:tcPr>
            <w:tcW w:w="2420" w:type="dxa"/>
            <w:vAlign w:val="bottom"/>
            <w:gridSpan w:val="2"/>
          </w:tcPr>
          <w:p>
            <w:pPr>
              <w:jc w:val="center"/>
              <w:ind w:left="1608"/>
              <w:spacing w:after="0" w:line="149" w:lineRule="exact"/>
              <w:rPr>
                <w:sz w:val="20"/>
                <w:szCs w:val="20"/>
                <w:color w:val="auto"/>
              </w:rPr>
            </w:pPr>
            <w:r>
              <w:rPr>
                <w:rFonts w:ascii="Arial" w:cs="Arial" w:eastAsia="Arial" w:hAnsi="Arial"/>
                <w:sz w:val="14"/>
                <w:szCs w:val="14"/>
                <w:color w:val="auto"/>
                <w:w w:val="92"/>
              </w:rPr>
              <w:t>12.0%/4.8%</w:t>
            </w:r>
          </w:p>
        </w:tc>
        <w:tc>
          <w:tcPr>
            <w:tcW w:w="28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12/31/2017</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8,226</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8,226</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8,417</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2420" w:type="dxa"/>
            <w:vAlign w:val="bottom"/>
            <w:gridSpan w:val="2"/>
            <w:shd w:val="clear" w:color="auto" w:fill="CCEEFF"/>
          </w:tcPr>
          <w:p>
            <w:pPr>
              <w:jc w:val="center"/>
              <w:ind w:left="1608"/>
              <w:spacing w:after="0" w:line="149" w:lineRule="exact"/>
              <w:rPr>
                <w:sz w:val="20"/>
                <w:szCs w:val="20"/>
                <w:color w:val="auto"/>
              </w:rPr>
            </w:pPr>
            <w:r>
              <w:rPr>
                <w:rFonts w:ascii="Arial" w:cs="Arial" w:eastAsia="Arial" w:hAnsi="Arial"/>
                <w:sz w:val="14"/>
                <w:szCs w:val="14"/>
                <w:color w:val="auto"/>
                <w:w w:val="92"/>
              </w:rPr>
              <w:t>12.0%/2.0%</w:t>
            </w: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12/31/2017</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2,366</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2,366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2,366</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Warrant (1,051 shares) </w:t>
            </w:r>
            <w:r>
              <w:rPr>
                <w:rFonts w:ascii="Arial" w:cs="Arial" w:eastAsia="Arial" w:hAnsi="Arial"/>
                <w:sz w:val="12"/>
                <w:szCs w:val="12"/>
                <w:color w:val="auto"/>
              </w:rPr>
              <w:t>(l)</w:t>
            </w:r>
          </w:p>
        </w:tc>
        <w:tc>
          <w:tcPr>
            <w:tcW w:w="1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285</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321</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 Series A (148 shares)</w:t>
            </w:r>
          </w:p>
        </w:tc>
        <w:tc>
          <w:tcPr>
            <w:tcW w:w="1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45</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Common Equity - Series D (527 shares)</w:t>
            </w:r>
          </w:p>
        </w:tc>
        <w:tc>
          <w:tcPr>
            <w:tcW w:w="1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53</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146</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11,040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11,295</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7"/>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Promotional Products</w:t>
            </w:r>
          </w:p>
        </w:tc>
        <w:tc>
          <w:tcPr>
            <w:tcW w:w="1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Hub Acquisition Sub, LLC</w:t>
            </w:r>
          </w:p>
        </w:tc>
        <w:tc>
          <w:tcPr>
            <w:tcW w:w="1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(dba Hub Pen)</w:t>
            </w:r>
          </w:p>
        </w:tc>
        <w:tc>
          <w:tcPr>
            <w:tcW w:w="1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2420" w:type="dxa"/>
            <w:vAlign w:val="bottom"/>
            <w:gridSpan w:val="2"/>
            <w:shd w:val="clear" w:color="auto" w:fill="CCEEFF"/>
          </w:tcPr>
          <w:p>
            <w:pPr>
              <w:jc w:val="center"/>
              <w:ind w:left="1608"/>
              <w:spacing w:after="0" w:line="149" w:lineRule="exact"/>
              <w:rPr>
                <w:sz w:val="20"/>
                <w:szCs w:val="20"/>
                <w:color w:val="auto"/>
              </w:rPr>
            </w:pPr>
            <w:r>
              <w:rPr>
                <w:rFonts w:ascii="Arial" w:cs="Arial" w:eastAsia="Arial" w:hAnsi="Arial"/>
                <w:sz w:val="14"/>
                <w:szCs w:val="14"/>
                <w:color w:val="auto"/>
                <w:w w:val="92"/>
              </w:rPr>
              <w:t>12.3%/0.0%</w:t>
            </w: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9/23/2021</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11,350</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11,307</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11,350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Common Equity (7,500 units)</w:t>
            </w:r>
          </w:p>
        </w:tc>
        <w:tc>
          <w:tcPr>
            <w:tcW w:w="1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750</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1,046</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12,057</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12,396</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7"/>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Restaurants</w:t>
            </w:r>
          </w:p>
        </w:tc>
        <w:tc>
          <w:tcPr>
            <w:tcW w:w="1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 xml:space="preserve">ACFP Management, Inc. </w:t>
            </w:r>
            <w:r>
              <w:rPr>
                <w:rFonts w:ascii="Arial" w:cs="Arial" w:eastAsia="Arial" w:hAnsi="Arial"/>
                <w:sz w:val="12"/>
                <w:szCs w:val="12"/>
                <w:i w:val="1"/>
                <w:iCs w:val="1"/>
                <w:color w:val="auto"/>
              </w:rPr>
              <w:t>(m)</w:t>
            </w:r>
          </w:p>
        </w:tc>
        <w:tc>
          <w:tcPr>
            <w:tcW w:w="1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00" w:type="dxa"/>
            <w:vAlign w:val="bottom"/>
            <w:gridSpan w:val="2"/>
          </w:tcPr>
          <w:p>
            <w:pPr>
              <w:spacing w:after="0"/>
              <w:rPr>
                <w:sz w:val="20"/>
                <w:szCs w:val="20"/>
                <w:color w:val="auto"/>
              </w:rPr>
            </w:pPr>
            <w:r>
              <w:rPr>
                <w:rFonts w:ascii="Arial" w:cs="Arial" w:eastAsia="Arial" w:hAnsi="Arial"/>
                <w:sz w:val="14"/>
                <w:szCs w:val="14"/>
                <w:color w:val="auto"/>
              </w:rPr>
              <w:t xml:space="preserve">Common Equity (1,000,000 units) </w:t>
            </w:r>
            <w:r>
              <w:rPr>
                <w:rFonts w:ascii="Arial" w:cs="Arial" w:eastAsia="Arial" w:hAnsi="Arial"/>
                <w:sz w:val="12"/>
                <w:szCs w:val="12"/>
                <w:color w:val="auto"/>
              </w:rPr>
              <w:t>(i)</w:t>
            </w:r>
          </w:p>
        </w:tc>
        <w:tc>
          <w:tcPr>
            <w:tcW w:w="1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440" w:type="dxa"/>
            <w:vAlign w:val="bottom"/>
          </w:tcPr>
          <w:p>
            <w:pPr>
              <w:spacing w:after="0"/>
              <w:rPr>
                <w:sz w:val="6"/>
                <w:szCs w:val="6"/>
                <w:color w:val="auto"/>
              </w:rPr>
            </w:pPr>
          </w:p>
        </w:tc>
        <w:tc>
          <w:tcPr>
            <w:tcW w:w="28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Cardboard Box LLC</w:t>
            </w:r>
          </w:p>
        </w:tc>
        <w:tc>
          <w:tcPr>
            <w:tcW w:w="1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(dba Anthony’s Coal Fired Pizza)</w:t>
            </w:r>
          </w:p>
        </w:tc>
        <w:tc>
          <w:tcPr>
            <w:tcW w:w="1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Common Equity (521,021 units) </w:t>
            </w:r>
            <w:r>
              <w:rPr>
                <w:rFonts w:ascii="Arial" w:cs="Arial" w:eastAsia="Arial" w:hAnsi="Arial"/>
                <w:sz w:val="12"/>
                <w:szCs w:val="12"/>
                <w:color w:val="auto"/>
              </w:rPr>
              <w:t>(i)</w:t>
            </w:r>
          </w:p>
        </w:tc>
        <w:tc>
          <w:tcPr>
            <w:tcW w:w="1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520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244</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80" w:type="dxa"/>
            <w:vAlign w:val="bottom"/>
            <w:gridSpan w:val="3"/>
          </w:tcPr>
          <w:p>
            <w:pPr>
              <w:spacing w:after="0"/>
              <w:rPr>
                <w:sz w:val="20"/>
                <w:szCs w:val="20"/>
                <w:color w:val="auto"/>
              </w:rPr>
            </w:pPr>
            <w:r>
              <w:rPr>
                <w:rFonts w:ascii="Arial" w:cs="Arial" w:eastAsia="Arial" w:hAnsi="Arial"/>
                <w:sz w:val="14"/>
                <w:szCs w:val="14"/>
                <w:b w:val="1"/>
                <w:bCs w:val="1"/>
                <w:color w:val="auto"/>
              </w:rPr>
              <w:t>Industry</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 xml:space="preserve">Rate </w:t>
            </w:r>
            <w:r>
              <w:rPr>
                <w:rFonts w:ascii="Arial" w:cs="Arial" w:eastAsia="Arial" w:hAnsi="Arial"/>
                <w:sz w:val="12"/>
                <w:szCs w:val="12"/>
                <w:b w:val="1"/>
                <w:bCs w:val="1"/>
                <w:color w:val="auto"/>
                <w:w w:val="96"/>
              </w:rPr>
              <w:t>(d)</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Principal</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9"/>
        </w:trPr>
        <w:tc>
          <w:tcPr>
            <w:tcW w:w="6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2"/>
                <w:szCs w:val="12"/>
                <w:b w:val="1"/>
                <w:bCs w:val="1"/>
                <w:color w:val="auto"/>
              </w:rPr>
              <w:t>(a)(b)</w:t>
            </w: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92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2"/>
              </w:rPr>
              <w:t>Fair Value</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49"/>
        </w:trPr>
        <w:tc>
          <w:tcPr>
            <w:tcW w:w="6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12"/>
                <w:szCs w:val="12"/>
                <w:b w:val="1"/>
                <w:bCs w:val="1"/>
                <w:color w:val="auto"/>
              </w:rPr>
              <w:t>(c)</w:t>
            </w: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Cash/PIK</w:t>
            </w:r>
          </w:p>
        </w:tc>
        <w:tc>
          <w:tcPr>
            <w:tcW w:w="3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2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4"/>
              </w:rPr>
              <w:t>Amount</w:t>
            </w:r>
          </w:p>
        </w:tc>
        <w:tc>
          <w:tcPr>
            <w:tcW w:w="82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4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20"/>
        </w:trPr>
        <w:tc>
          <w:tcPr>
            <w:tcW w:w="1460" w:type="dxa"/>
            <w:vAlign w:val="bottom"/>
            <w:tcBorders>
              <w:top w:val="single" w:sz="8" w:color="auto"/>
              <w:bottom w:val="single" w:sz="8" w:color="auto"/>
            </w:tcBorders>
            <w:gridSpan w:val="2"/>
            <w:vMerge w:val="restart"/>
          </w:tcPr>
          <w:p>
            <w:pPr>
              <w:spacing w:after="0" w:line="155" w:lineRule="exact"/>
              <w:rPr>
                <w:sz w:val="20"/>
                <w:szCs w:val="20"/>
                <w:color w:val="auto"/>
              </w:rPr>
            </w:pPr>
            <w:r>
              <w:rPr>
                <w:rFonts w:ascii="Arial" w:cs="Arial" w:eastAsia="Arial" w:hAnsi="Arial"/>
                <w:sz w:val="14"/>
                <w:szCs w:val="14"/>
                <w:i w:val="1"/>
                <w:iCs w:val="1"/>
                <w:color w:val="auto"/>
                <w:w w:val="97"/>
              </w:rPr>
              <w:t>Restaurant Finance Co,</w:t>
            </w:r>
          </w:p>
        </w:tc>
        <w:tc>
          <w:tcPr>
            <w:tcW w:w="4620" w:type="dxa"/>
            <w:vAlign w:val="bottom"/>
            <w:vMerge w:val="restart"/>
          </w:tcPr>
          <w:p>
            <w:pPr>
              <w:spacing w:after="0" w:line="155" w:lineRule="exact"/>
              <w:rPr>
                <w:sz w:val="20"/>
                <w:szCs w:val="20"/>
                <w:color w:val="auto"/>
              </w:rPr>
            </w:pPr>
            <w:r>
              <w:rPr>
                <w:rFonts w:ascii="Arial" w:cs="Arial" w:eastAsia="Arial" w:hAnsi="Arial"/>
                <w:sz w:val="14"/>
                <w:szCs w:val="14"/>
                <w:i w:val="1"/>
                <w:iCs w:val="1"/>
                <w:color w:val="auto"/>
              </w:rPr>
              <w:t>LLC</w:t>
            </w: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460" w:type="dxa"/>
            <w:vAlign w:val="bottom"/>
            <w:gridSpan w:val="2"/>
            <w:vMerge w:val="continue"/>
          </w:tcPr>
          <w:p>
            <w:pPr>
              <w:spacing w:after="0"/>
              <w:rPr>
                <w:sz w:val="10"/>
                <w:szCs w:val="10"/>
                <w:color w:val="auto"/>
              </w:rPr>
            </w:pPr>
          </w:p>
        </w:tc>
        <w:tc>
          <w:tcPr>
            <w:tcW w:w="462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Senior Secured Loan </w:t>
            </w:r>
            <w:r>
              <w:rPr>
                <w:rFonts w:ascii="Arial" w:cs="Arial" w:eastAsia="Arial" w:hAnsi="Arial"/>
                <w:sz w:val="12"/>
                <w:szCs w:val="12"/>
                <w:color w:val="auto"/>
              </w:rPr>
              <w:t>(j)(o)</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15.0%/4.0%</w:t>
            </w:r>
          </w:p>
        </w:tc>
        <w:tc>
          <w:tcPr>
            <w:tcW w:w="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7/31/2020</w:t>
            </w:r>
          </w:p>
        </w:tc>
        <w:tc>
          <w:tcPr>
            <w:tcW w:w="3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   9,342</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8"/>
              </w:rPr>
              <w:t>$ 9,314</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6,175</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7"/>
        </w:trPr>
        <w:tc>
          <w:tcPr>
            <w:tcW w:w="6080" w:type="dxa"/>
            <w:vAlign w:val="bottom"/>
            <w:gridSpan w:val="3"/>
          </w:tcPr>
          <w:p>
            <w:pPr>
              <w:spacing w:after="0"/>
              <w:rPr>
                <w:sz w:val="20"/>
                <w:szCs w:val="20"/>
                <w:color w:val="auto"/>
              </w:rPr>
            </w:pPr>
            <w:r>
              <w:rPr>
                <w:rFonts w:ascii="Arial" w:cs="Arial" w:eastAsia="Arial" w:hAnsi="Arial"/>
                <w:sz w:val="14"/>
                <w:szCs w:val="14"/>
                <w:b w:val="1"/>
                <w:bCs w:val="1"/>
                <w:color w:val="auto"/>
              </w:rPr>
              <w:t>Retail</w:t>
            </w: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EBL, LLC (EbLens)</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gridSpan w:val="2"/>
          </w:tcPr>
          <w:p>
            <w:pPr>
              <w:spacing w:after="0"/>
              <w:rPr>
                <w:sz w:val="20"/>
                <w:szCs w:val="20"/>
                <w:color w:val="auto"/>
              </w:rPr>
            </w:pPr>
            <w:r>
              <w:rPr>
                <w:rFonts w:ascii="Arial" w:cs="Arial" w:eastAsia="Arial" w:hAnsi="Arial"/>
                <w:sz w:val="14"/>
                <w:szCs w:val="14"/>
                <w:color w:val="auto"/>
              </w:rPr>
              <w:t xml:space="preserve">Common Equity (750,000 units) </w:t>
            </w:r>
            <w:r>
              <w:rPr>
                <w:rFonts w:ascii="Arial" w:cs="Arial" w:eastAsia="Arial" w:hAnsi="Arial"/>
                <w:sz w:val="12"/>
                <w:szCs w:val="12"/>
                <w:color w:val="auto"/>
              </w:rPr>
              <w:t>(g)(i)</w:t>
            </w: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750</w:t>
            </w:r>
          </w:p>
        </w:tc>
        <w:tc>
          <w:tcPr>
            <w:tcW w:w="16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2,212</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440" w:type="dxa"/>
            <w:vAlign w:val="bottom"/>
          </w:tcPr>
          <w:p>
            <w:pPr>
              <w:spacing w:after="0"/>
              <w:rPr>
                <w:sz w:val="6"/>
                <w:szCs w:val="6"/>
                <w:color w:val="auto"/>
              </w:rPr>
            </w:pPr>
          </w:p>
        </w:tc>
        <w:tc>
          <w:tcPr>
            <w:tcW w:w="4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Palmetto Moon, LLC</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2"/>
          </w:tcPr>
          <w:p>
            <w:pPr>
              <w:spacing w:after="0" w:line="149" w:lineRule="exact"/>
              <w:rPr>
                <w:sz w:val="20"/>
                <w:szCs w:val="20"/>
                <w:color w:val="auto"/>
              </w:rPr>
            </w:pPr>
            <w:r>
              <w:rPr>
                <w:rFonts w:ascii="Arial" w:cs="Arial" w:eastAsia="Arial" w:hAnsi="Arial"/>
                <w:sz w:val="14"/>
                <w:szCs w:val="14"/>
                <w:color w:val="auto"/>
              </w:rPr>
              <w:t>Senior Secured Loan</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5"/>
              </w:rPr>
              <w:t>11.5%/0.0%</w:t>
            </w:r>
          </w:p>
        </w:tc>
        <w:tc>
          <w:tcPr>
            <w:tcW w:w="96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1"/>
              </w:rPr>
              <w:t>10/31/2021</w:t>
            </w:r>
          </w:p>
        </w:tc>
        <w:tc>
          <w:tcPr>
            <w:tcW w:w="30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6,254</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6,220</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6,254</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Common Equity (499 units) </w:t>
            </w:r>
            <w:r>
              <w:rPr>
                <w:rFonts w:ascii="Arial" w:cs="Arial" w:eastAsia="Arial" w:hAnsi="Arial"/>
                <w:sz w:val="12"/>
                <w:szCs w:val="12"/>
                <w:color w:val="auto"/>
              </w:rPr>
              <w:t>(i)</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499</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376</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6,719</w:t>
            </w:r>
          </w:p>
        </w:tc>
        <w:tc>
          <w:tcPr>
            <w:tcW w:w="3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6,630</w:t>
            </w:r>
          </w:p>
        </w:tc>
        <w:tc>
          <w:tcPr>
            <w:tcW w:w="3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Safety Products Manufacturing</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 xml:space="preserve">Safety Products Group, LLC </w:t>
            </w:r>
            <w:r>
              <w:rPr>
                <w:rFonts w:ascii="Arial" w:cs="Arial" w:eastAsia="Arial" w:hAnsi="Arial"/>
                <w:sz w:val="12"/>
                <w:szCs w:val="12"/>
                <w:i w:val="1"/>
                <w:iCs w:val="1"/>
                <w:color w:val="auto"/>
              </w:rPr>
              <w:t>(k)(m)</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Preferred Equity (749 units) </w:t>
            </w:r>
            <w:r>
              <w:rPr>
                <w:rFonts w:ascii="Arial" w:cs="Arial" w:eastAsia="Arial" w:hAnsi="Arial"/>
                <w:sz w:val="12"/>
                <w:szCs w:val="12"/>
                <w:color w:val="auto"/>
              </w:rPr>
              <w:t>(g)(i)</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Common Equity (676 units) ($2,852 commitment) </w:t>
            </w:r>
            <w:r>
              <w:rPr>
                <w:rFonts w:ascii="Arial" w:cs="Arial" w:eastAsia="Arial" w:hAnsi="Arial"/>
                <w:sz w:val="12"/>
                <w:szCs w:val="12"/>
                <w:color w:val="auto"/>
              </w:rPr>
              <w:t>(g)(i)</w:t>
            </w: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7"/>
        </w:trPr>
        <w:tc>
          <w:tcPr>
            <w:tcW w:w="6080" w:type="dxa"/>
            <w:vAlign w:val="bottom"/>
            <w:gridSpan w:val="3"/>
          </w:tcPr>
          <w:p>
            <w:pPr>
              <w:spacing w:after="0"/>
              <w:rPr>
                <w:sz w:val="20"/>
                <w:szCs w:val="20"/>
                <w:color w:val="auto"/>
              </w:rPr>
            </w:pPr>
            <w:r>
              <w:rPr>
                <w:rFonts w:ascii="Arial" w:cs="Arial" w:eastAsia="Arial" w:hAnsi="Arial"/>
                <w:sz w:val="14"/>
                <w:szCs w:val="14"/>
                <w:b w:val="1"/>
                <w:bCs w:val="1"/>
                <w:color w:val="auto"/>
              </w:rPr>
              <w:t>Specialty Chemicals</w:t>
            </w: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 xml:space="preserve">FAR Research Inc. </w:t>
            </w:r>
            <w:r>
              <w:rPr>
                <w:rFonts w:ascii="Arial" w:cs="Arial" w:eastAsia="Arial" w:hAnsi="Arial"/>
                <w:sz w:val="12"/>
                <w:szCs w:val="12"/>
                <w:i w:val="1"/>
                <w:iCs w:val="1"/>
                <w:color w:val="auto"/>
              </w:rPr>
              <w:t>(k)</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Senior Secured Loan </w:t>
            </w:r>
            <w:r>
              <w:rPr>
                <w:rFonts w:ascii="Arial" w:cs="Arial" w:eastAsia="Arial" w:hAnsi="Arial"/>
                <w:sz w:val="12"/>
                <w:szCs w:val="12"/>
                <w:color w:val="auto"/>
              </w:rPr>
              <w:t>(j)</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5"/>
              </w:rPr>
              <w:t>11.8%/1.0%</w:t>
            </w:r>
          </w:p>
        </w:tc>
        <w:tc>
          <w:tcPr>
            <w:tcW w:w="9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3/31/2019</w:t>
            </w:r>
          </w:p>
        </w:tc>
        <w:tc>
          <w:tcPr>
            <w:tcW w:w="30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7,297</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7,285</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7,297</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Revolving Loan ($500 commitment) </w:t>
            </w:r>
            <w:r>
              <w:rPr>
                <w:rFonts w:ascii="Arial" w:cs="Arial" w:eastAsia="Arial" w:hAnsi="Arial"/>
                <w:sz w:val="12"/>
                <w:szCs w:val="12"/>
                <w:color w:val="auto"/>
              </w:rPr>
              <w:t>(i)</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11.8%/1.0%</w:t>
            </w:r>
          </w:p>
        </w:tc>
        <w:tc>
          <w:tcPr>
            <w:tcW w:w="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3/31/2019</w:t>
            </w:r>
          </w:p>
        </w:tc>
        <w:tc>
          <w:tcPr>
            <w:tcW w:w="3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139</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135</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139</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2"/>
          </w:tcPr>
          <w:p>
            <w:pPr>
              <w:spacing w:after="0" w:line="149" w:lineRule="exact"/>
              <w:rPr>
                <w:sz w:val="20"/>
                <w:szCs w:val="20"/>
                <w:color w:val="auto"/>
              </w:rPr>
            </w:pPr>
            <w:r>
              <w:rPr>
                <w:rFonts w:ascii="Arial" w:cs="Arial" w:eastAsia="Arial" w:hAnsi="Arial"/>
                <w:sz w:val="14"/>
                <w:szCs w:val="14"/>
                <w:color w:val="auto"/>
              </w:rPr>
              <w:t>Common Equity (1,396 units)</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1,396</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897</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8,816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8,333</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7"/>
        </w:trPr>
        <w:tc>
          <w:tcPr>
            <w:tcW w:w="6080" w:type="dxa"/>
            <w:vAlign w:val="bottom"/>
            <w:gridSpan w:val="3"/>
          </w:tcPr>
          <w:p>
            <w:pPr>
              <w:spacing w:after="0"/>
              <w:rPr>
                <w:sz w:val="20"/>
                <w:szCs w:val="20"/>
                <w:color w:val="auto"/>
              </w:rPr>
            </w:pPr>
            <w:r>
              <w:rPr>
                <w:rFonts w:ascii="Arial" w:cs="Arial" w:eastAsia="Arial" w:hAnsi="Arial"/>
                <w:sz w:val="14"/>
                <w:szCs w:val="14"/>
                <w:b w:val="1"/>
                <w:bCs w:val="1"/>
                <w:color w:val="auto"/>
              </w:rPr>
              <w:t>Specialty Distribution</w:t>
            </w: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 xml:space="preserve">Carlson Systems Holdings, Inc. </w:t>
            </w:r>
            <w:r>
              <w:rPr>
                <w:rFonts w:ascii="Arial" w:cs="Arial" w:eastAsia="Arial" w:hAnsi="Arial"/>
                <w:sz w:val="12"/>
                <w:szCs w:val="12"/>
                <w:i w:val="1"/>
                <w:iCs w:val="1"/>
                <w:color w:val="auto"/>
              </w:rPr>
              <w:t>(m)</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Common Equity (15,000 units) </w:t>
            </w:r>
            <w:r>
              <w:rPr>
                <w:rFonts w:ascii="Arial" w:cs="Arial" w:eastAsia="Arial" w:hAnsi="Arial"/>
                <w:sz w:val="12"/>
                <w:szCs w:val="12"/>
                <w:color w:val="auto"/>
              </w:rPr>
              <w:t>(i)</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7"/>
        </w:trPr>
        <w:tc>
          <w:tcPr>
            <w:tcW w:w="6080" w:type="dxa"/>
            <w:vAlign w:val="bottom"/>
            <w:gridSpan w:val="3"/>
          </w:tcPr>
          <w:p>
            <w:pPr>
              <w:spacing w:after="0"/>
              <w:rPr>
                <w:sz w:val="20"/>
                <w:szCs w:val="20"/>
                <w:color w:val="auto"/>
              </w:rPr>
            </w:pPr>
            <w:r>
              <w:rPr>
                <w:rFonts w:ascii="Arial" w:cs="Arial" w:eastAsia="Arial" w:hAnsi="Arial"/>
                <w:sz w:val="14"/>
                <w:szCs w:val="14"/>
                <w:i w:val="1"/>
                <w:iCs w:val="1"/>
                <w:color w:val="auto"/>
              </w:rPr>
              <w:t>Pugh Lubricants, LLC</w:t>
            </w: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12.3%/0.0%</w:t>
            </w:r>
          </w:p>
        </w:tc>
        <w:tc>
          <w:tcPr>
            <w:tcW w:w="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5/10/2022</w:t>
            </w:r>
          </w:p>
        </w:tc>
        <w:tc>
          <w:tcPr>
            <w:tcW w:w="3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18,581</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18,496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18,581</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Common Equity (6,285 units) </w:t>
            </w:r>
            <w:r>
              <w:rPr>
                <w:rFonts w:ascii="Arial" w:cs="Arial" w:eastAsia="Arial" w:hAnsi="Arial"/>
                <w:sz w:val="12"/>
                <w:szCs w:val="12"/>
                <w:color w:val="auto"/>
              </w:rPr>
              <w:t>(g)(i)</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612</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730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19,108</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19,311</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7"/>
        </w:trPr>
        <w:tc>
          <w:tcPr>
            <w:tcW w:w="6080" w:type="dxa"/>
            <w:vAlign w:val="bottom"/>
            <w:gridSpan w:val="3"/>
          </w:tcPr>
          <w:p>
            <w:pPr>
              <w:spacing w:after="0"/>
              <w:rPr>
                <w:sz w:val="20"/>
                <w:szCs w:val="20"/>
                <w:color w:val="auto"/>
              </w:rPr>
            </w:pPr>
            <w:r>
              <w:rPr>
                <w:rFonts w:ascii="Arial" w:cs="Arial" w:eastAsia="Arial" w:hAnsi="Arial"/>
                <w:sz w:val="14"/>
                <w:szCs w:val="14"/>
                <w:i w:val="1"/>
                <w:iCs w:val="1"/>
                <w:color w:val="auto"/>
              </w:rPr>
              <w:t>Virginia Tile Company, LLC</w:t>
            </w: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12.3%/0.0%</w:t>
            </w:r>
          </w:p>
        </w:tc>
        <w:tc>
          <w:tcPr>
            <w:tcW w:w="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4/7/2022</w:t>
            </w:r>
          </w:p>
        </w:tc>
        <w:tc>
          <w:tcPr>
            <w:tcW w:w="3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12,000</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11,966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12,000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2"/>
          </w:tcPr>
          <w:p>
            <w:pPr>
              <w:spacing w:after="0" w:line="149" w:lineRule="exact"/>
              <w:rPr>
                <w:sz w:val="20"/>
                <w:szCs w:val="20"/>
                <w:color w:val="auto"/>
              </w:rPr>
            </w:pPr>
            <w:r>
              <w:rPr>
                <w:rFonts w:ascii="Arial" w:cs="Arial" w:eastAsia="Arial" w:hAnsi="Arial"/>
                <w:sz w:val="14"/>
                <w:szCs w:val="14"/>
                <w:color w:val="auto"/>
              </w:rPr>
              <w:t>Common Equity (17 units)</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342</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1,246</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12,308</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13,246</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7"/>
        </w:trPr>
        <w:tc>
          <w:tcPr>
            <w:tcW w:w="6080" w:type="dxa"/>
            <w:vAlign w:val="bottom"/>
            <w:gridSpan w:val="3"/>
          </w:tcPr>
          <w:p>
            <w:pPr>
              <w:spacing w:after="0"/>
              <w:rPr>
                <w:sz w:val="20"/>
                <w:szCs w:val="20"/>
                <w:color w:val="auto"/>
              </w:rPr>
            </w:pPr>
            <w:r>
              <w:rPr>
                <w:rFonts w:ascii="Arial" w:cs="Arial" w:eastAsia="Arial" w:hAnsi="Arial"/>
                <w:sz w:val="14"/>
                <w:szCs w:val="14"/>
                <w:b w:val="1"/>
                <w:bCs w:val="1"/>
                <w:color w:val="auto"/>
              </w:rPr>
              <w:t>Transportation Services</w:t>
            </w: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Cavallo Bus Lines Holdings, LLC</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gridSpan w:val="2"/>
          </w:tcPr>
          <w:p>
            <w:pPr>
              <w:spacing w:after="0"/>
              <w:rPr>
                <w:sz w:val="20"/>
                <w:szCs w:val="20"/>
                <w:color w:val="auto"/>
              </w:rPr>
            </w:pPr>
            <w:r>
              <w:rPr>
                <w:rFonts w:ascii="Arial" w:cs="Arial" w:eastAsia="Arial" w:hAnsi="Arial"/>
                <w:sz w:val="14"/>
                <w:szCs w:val="14"/>
                <w:color w:val="auto"/>
              </w:rPr>
              <w:t>Subordinated Note</w:t>
            </w: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12.8%/0.0%</w:t>
            </w:r>
          </w:p>
        </w:tc>
        <w:tc>
          <w:tcPr>
            <w:tcW w:w="960" w:type="dxa"/>
            <w:vAlign w:val="bottom"/>
            <w:gridSpan w:val="2"/>
          </w:tcPr>
          <w:p>
            <w:pPr>
              <w:ind w:left="300"/>
              <w:spacing w:after="0"/>
              <w:rPr>
                <w:sz w:val="20"/>
                <w:szCs w:val="20"/>
                <w:color w:val="auto"/>
              </w:rPr>
            </w:pPr>
            <w:r>
              <w:rPr>
                <w:rFonts w:ascii="Arial" w:cs="Arial" w:eastAsia="Arial" w:hAnsi="Arial"/>
                <w:sz w:val="14"/>
                <w:szCs w:val="14"/>
                <w:color w:val="auto"/>
              </w:rPr>
              <w:t>4/26/2021</w:t>
            </w:r>
          </w:p>
        </w:tc>
        <w:tc>
          <w:tcPr>
            <w:tcW w:w="30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7,395</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7,366</w:t>
            </w:r>
          </w:p>
        </w:tc>
        <w:tc>
          <w:tcPr>
            <w:tcW w:w="16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7,395</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440" w:type="dxa"/>
            <w:vAlign w:val="bottom"/>
          </w:tcPr>
          <w:p>
            <w:pPr>
              <w:spacing w:after="0"/>
              <w:rPr>
                <w:sz w:val="6"/>
                <w:szCs w:val="6"/>
                <w:color w:val="auto"/>
              </w:rPr>
            </w:pPr>
          </w:p>
        </w:tc>
        <w:tc>
          <w:tcPr>
            <w:tcW w:w="4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Midwest Transit Equipment, Inc.</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(i)</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5"/>
              </w:rPr>
              <w:t>11.0%/2.0%</w:t>
            </w:r>
          </w:p>
        </w:tc>
        <w:tc>
          <w:tcPr>
            <w:tcW w:w="9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6/23/2022</w:t>
            </w:r>
          </w:p>
        </w:tc>
        <w:tc>
          <w:tcPr>
            <w:tcW w:w="30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12,005</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11,207</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11,207</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Warrant (14,384 shares) </w:t>
            </w:r>
            <w:r>
              <w:rPr>
                <w:rFonts w:ascii="Arial" w:cs="Arial" w:eastAsia="Arial" w:hAnsi="Arial"/>
                <w:sz w:val="12"/>
                <w:szCs w:val="12"/>
                <w:color w:val="auto"/>
              </w:rPr>
              <w:t>(i)(l)</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361</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361</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Warrant (9.59% of Junior Subordinated Notes) </w:t>
            </w:r>
            <w:r>
              <w:rPr>
                <w:rFonts w:ascii="Arial" w:cs="Arial" w:eastAsia="Arial" w:hAnsi="Arial"/>
                <w:sz w:val="12"/>
                <w:szCs w:val="12"/>
                <w:color w:val="auto"/>
              </w:rPr>
              <w:t>(i)(p)</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381</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381</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11,949</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11,949</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20" w:type="dxa"/>
            <w:vAlign w:val="bottom"/>
            <w:gridSpan w:val="3"/>
          </w:tcPr>
          <w:p>
            <w:pPr>
              <w:spacing w:after="0"/>
              <w:rPr>
                <w:sz w:val="20"/>
                <w:szCs w:val="20"/>
                <w:color w:val="auto"/>
              </w:rPr>
            </w:pPr>
            <w:r>
              <w:rPr>
                <w:rFonts w:ascii="Arial" w:cs="Arial" w:eastAsia="Arial" w:hAnsi="Arial"/>
                <w:sz w:val="14"/>
                <w:szCs w:val="14"/>
                <w:b w:val="1"/>
                <w:bCs w:val="1"/>
                <w:color w:val="auto"/>
              </w:rPr>
              <w:t>Industry</w:t>
            </w: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Rate (d)</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Fair</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9"/>
        </w:trPr>
        <w:tc>
          <w:tcPr>
            <w:tcW w:w="6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2"/>
                <w:szCs w:val="12"/>
                <w:b w:val="1"/>
                <w:bCs w:val="1"/>
                <w:color w:val="auto"/>
              </w:rPr>
              <w:t>(a)(b)</w:t>
            </w:r>
          </w:p>
        </w:tc>
        <w:tc>
          <w:tcPr>
            <w:tcW w:w="1000" w:type="dxa"/>
            <w:vAlign w:val="bottom"/>
            <w:gridSpan w:val="2"/>
            <w:vMerge w:val="continue"/>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Maturity</w:t>
            </w: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6"/>
              </w:rPr>
              <w:t>Cost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49"/>
        </w:trPr>
        <w:tc>
          <w:tcPr>
            <w:tcW w:w="64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12"/>
                <w:szCs w:val="12"/>
                <w:b w:val="1"/>
                <w:bCs w:val="1"/>
                <w:color w:val="auto"/>
              </w:rPr>
              <w:t>(c)</w:t>
            </w:r>
          </w:p>
        </w:tc>
        <w:tc>
          <w:tcPr>
            <w:tcW w:w="10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Cash/PIK</w:t>
            </w:r>
          </w:p>
        </w:tc>
        <w:tc>
          <w:tcPr>
            <w:tcW w:w="940" w:type="dxa"/>
            <w:vAlign w:val="bottom"/>
            <w:gridSpan w:val="2"/>
            <w:vMerge w:val="continue"/>
          </w:tcPr>
          <w:p>
            <w:pPr>
              <w:spacing w:after="0"/>
              <w:rPr>
                <w:sz w:val="12"/>
                <w:szCs w:val="12"/>
                <w:color w:val="auto"/>
              </w:rPr>
            </w:pPr>
          </w:p>
        </w:tc>
        <w:tc>
          <w:tcPr>
            <w:tcW w:w="840" w:type="dxa"/>
            <w:vAlign w:val="bottom"/>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6"/>
              </w:rPr>
              <w:t>Value</w:t>
            </w:r>
          </w:p>
        </w:tc>
        <w:tc>
          <w:tcPr>
            <w:tcW w:w="64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20"/>
        </w:trPr>
        <w:tc>
          <w:tcPr>
            <w:tcW w:w="1460" w:type="dxa"/>
            <w:vAlign w:val="bottom"/>
            <w:tcBorders>
              <w:top w:val="single" w:sz="8" w:color="auto"/>
              <w:bottom w:val="single" w:sz="8" w:color="auto"/>
            </w:tcBorders>
            <w:gridSpan w:val="2"/>
            <w:vMerge w:val="restart"/>
          </w:tcPr>
          <w:p>
            <w:pPr>
              <w:spacing w:after="0" w:line="155" w:lineRule="exact"/>
              <w:rPr>
                <w:sz w:val="20"/>
                <w:szCs w:val="20"/>
                <w:color w:val="auto"/>
              </w:rPr>
            </w:pPr>
            <w:r>
              <w:rPr>
                <w:rFonts w:ascii="Arial" w:cs="Arial" w:eastAsia="Arial" w:hAnsi="Arial"/>
                <w:sz w:val="14"/>
                <w:szCs w:val="14"/>
                <w:i w:val="1"/>
                <w:iCs w:val="1"/>
                <w:color w:val="auto"/>
              </w:rPr>
              <w:t>US Pack Logistics LLC</w:t>
            </w:r>
          </w:p>
        </w:tc>
        <w:tc>
          <w:tcPr>
            <w:tcW w:w="49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460" w:type="dxa"/>
            <w:vAlign w:val="bottom"/>
            <w:gridSpan w:val="2"/>
            <w:vMerge w:val="continue"/>
          </w:tcPr>
          <w:p>
            <w:pPr>
              <w:spacing w:after="0"/>
              <w:rPr>
                <w:sz w:val="10"/>
                <w:szCs w:val="10"/>
                <w:color w:val="auto"/>
              </w:rPr>
            </w:pPr>
          </w:p>
        </w:tc>
        <w:tc>
          <w:tcPr>
            <w:tcW w:w="4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12.0%/1.8%</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9/27/2020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7,217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7,187</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7,217</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Common Equity (5,357 units) </w:t>
            </w:r>
            <w:r>
              <w:rPr>
                <w:rFonts w:ascii="Arial" w:cs="Arial" w:eastAsia="Arial" w:hAnsi="Arial"/>
                <w:sz w:val="12"/>
                <w:szCs w:val="12"/>
                <w:color w:val="auto"/>
              </w:rPr>
              <w:t>(g)(i)</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583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819</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9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7,770</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8,036</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7"/>
        </w:trPr>
        <w:tc>
          <w:tcPr>
            <w:tcW w:w="6420" w:type="dxa"/>
            <w:vAlign w:val="bottom"/>
            <w:gridSpan w:val="3"/>
          </w:tcPr>
          <w:p>
            <w:pPr>
              <w:spacing w:after="0"/>
              <w:rPr>
                <w:sz w:val="20"/>
                <w:szCs w:val="20"/>
                <w:color w:val="auto"/>
              </w:rPr>
            </w:pPr>
            <w:r>
              <w:rPr>
                <w:rFonts w:ascii="Arial" w:cs="Arial" w:eastAsia="Arial" w:hAnsi="Arial"/>
                <w:sz w:val="14"/>
                <w:szCs w:val="14"/>
                <w:i w:val="1"/>
                <w:iCs w:val="1"/>
                <w:color w:val="auto"/>
              </w:rPr>
              <w:t>Worldwide Express Operations, LLC</w:t>
            </w: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(i)(n)</w:t>
            </w:r>
          </w:p>
        </w:tc>
        <w:tc>
          <w:tcPr>
            <w:tcW w:w="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9.9%/0.0%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2/3/2025</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7"/>
              </w:rPr>
              <w:t>10,000</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9,857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9,857</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Common Equity (4,000 units) </w:t>
            </w:r>
            <w:r>
              <w:rPr>
                <w:rFonts w:ascii="Arial" w:cs="Arial" w:eastAsia="Arial" w:hAnsi="Arial"/>
                <w:sz w:val="12"/>
                <w:szCs w:val="12"/>
                <w:color w:val="auto"/>
              </w:rPr>
              <w:t>(g)(i)</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4,000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4,000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9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13,857</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13,857</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7"/>
        </w:trPr>
        <w:tc>
          <w:tcPr>
            <w:tcW w:w="6420" w:type="dxa"/>
            <w:vAlign w:val="bottom"/>
            <w:gridSpan w:val="3"/>
          </w:tcPr>
          <w:p>
            <w:pPr>
              <w:spacing w:after="0"/>
              <w:rPr>
                <w:sz w:val="20"/>
                <w:szCs w:val="20"/>
                <w:color w:val="auto"/>
              </w:rPr>
            </w:pPr>
            <w:r>
              <w:rPr>
                <w:rFonts w:ascii="Arial" w:cs="Arial" w:eastAsia="Arial" w:hAnsi="Arial"/>
                <w:sz w:val="14"/>
                <w:szCs w:val="14"/>
                <w:b w:val="1"/>
                <w:bCs w:val="1"/>
                <w:color w:val="auto"/>
              </w:rPr>
              <w:t>Utility Equipment Manufacturing</w:t>
            </w: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 xml:space="preserve">Mirage Trailers LLC </w:t>
            </w:r>
            <w:r>
              <w:rPr>
                <w:rFonts w:ascii="Arial" w:cs="Arial" w:eastAsia="Arial" w:hAnsi="Arial"/>
                <w:sz w:val="12"/>
                <w:szCs w:val="12"/>
                <w:i w:val="1"/>
                <w:iCs w:val="1"/>
                <w:color w:val="auto"/>
              </w:rPr>
              <w:t>(k)</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Senior Secured Loan </w:t>
            </w:r>
            <w:r>
              <w:rPr>
                <w:rFonts w:ascii="Arial" w:cs="Arial" w:eastAsia="Arial" w:hAnsi="Arial"/>
                <w:sz w:val="12"/>
                <w:szCs w:val="12"/>
                <w:color w:val="auto"/>
              </w:rPr>
              <w:t>(j)(e)</w:t>
            </w:r>
          </w:p>
        </w:tc>
        <w:tc>
          <w:tcPr>
            <w:tcW w:w="760" w:type="dxa"/>
            <w:vAlign w:val="bottom"/>
          </w:tcPr>
          <w:p>
            <w:pPr>
              <w:ind w:left="40"/>
              <w:spacing w:after="0" w:line="149" w:lineRule="exact"/>
              <w:rPr>
                <w:sz w:val="20"/>
                <w:szCs w:val="20"/>
                <w:color w:val="auto"/>
              </w:rPr>
            </w:pPr>
            <w:r>
              <w:rPr>
                <w:rFonts w:ascii="Arial" w:cs="Arial" w:eastAsia="Arial" w:hAnsi="Arial"/>
                <w:sz w:val="14"/>
                <w:szCs w:val="14"/>
                <w:color w:val="auto"/>
                <w:w w:val="92"/>
              </w:rPr>
              <w:t>12.6%/1.5%</w:t>
            </w:r>
          </w:p>
        </w:tc>
        <w:tc>
          <w:tcPr>
            <w:tcW w:w="24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w w:val="91"/>
              </w:rPr>
              <w:t>11/25/2020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5,971</w:t>
            </w:r>
          </w:p>
        </w:tc>
        <w:tc>
          <w:tcPr>
            <w:tcW w:w="8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5,909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5,971</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(2,500,000 shares)</w:t>
            </w:r>
            <w:r>
              <w:rPr>
                <w:rFonts w:ascii="Arial" w:cs="Arial" w:eastAsia="Arial" w:hAnsi="Arial"/>
                <w:sz w:val="12"/>
                <w:szCs w:val="12"/>
                <w:color w:val="auto"/>
              </w:rPr>
              <w:t>(f)</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2,483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2,827</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8,392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8,798</w:t>
            </w:r>
          </w:p>
        </w:tc>
        <w:tc>
          <w:tcPr>
            <w:tcW w:w="2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4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 xml:space="preserve">Trantech Radiator Products, Inc. </w:t>
            </w:r>
            <w:r>
              <w:rPr>
                <w:rFonts w:ascii="Arial" w:cs="Arial" w:eastAsia="Arial" w:hAnsi="Arial"/>
                <w:sz w:val="12"/>
                <w:szCs w:val="12"/>
                <w:i w:val="1"/>
                <w:iCs w:val="1"/>
                <w:color w:val="auto"/>
              </w:rPr>
              <w:t>(k)</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(i)</w:t>
            </w:r>
          </w:p>
        </w:tc>
        <w:tc>
          <w:tcPr>
            <w:tcW w:w="760" w:type="dxa"/>
            <w:vAlign w:val="bottom"/>
          </w:tcPr>
          <w:p>
            <w:pPr>
              <w:ind w:left="40"/>
              <w:spacing w:after="0" w:line="149" w:lineRule="exact"/>
              <w:rPr>
                <w:sz w:val="20"/>
                <w:szCs w:val="20"/>
                <w:color w:val="auto"/>
              </w:rPr>
            </w:pPr>
            <w:r>
              <w:rPr>
                <w:rFonts w:ascii="Arial" w:cs="Arial" w:eastAsia="Arial" w:hAnsi="Arial"/>
                <w:sz w:val="14"/>
                <w:szCs w:val="14"/>
                <w:color w:val="auto"/>
                <w:w w:val="92"/>
              </w:rPr>
              <w:t>12.0%/2.3%</w:t>
            </w:r>
          </w:p>
        </w:tc>
        <w:tc>
          <w:tcPr>
            <w:tcW w:w="24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5/31/2018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6,994</w:t>
            </w:r>
          </w:p>
        </w:tc>
        <w:tc>
          <w:tcPr>
            <w:tcW w:w="8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6,990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6,878</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Common Equity (6,875 shares) </w:t>
            </w:r>
            <w:r>
              <w:rPr>
                <w:rFonts w:ascii="Arial" w:cs="Arial" w:eastAsia="Arial" w:hAnsi="Arial"/>
                <w:sz w:val="12"/>
                <w:szCs w:val="12"/>
                <w:color w:val="auto"/>
              </w:rPr>
              <w:t>(i)</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86</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7,678</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6,964</w:t>
            </w:r>
          </w:p>
        </w:tc>
        <w:tc>
          <w:tcPr>
            <w:tcW w:w="2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4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Vending Equipment Manufacturing</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Accent Food Services, LLC</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10.0%/1.3%</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5/30/2022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7"/>
              </w:rPr>
              <w:t>20,268</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20,167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20,268</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Common Equity (7,500 units) </w:t>
            </w:r>
            <w:r>
              <w:rPr>
                <w:rFonts w:ascii="Arial" w:cs="Arial" w:eastAsia="Arial" w:hAnsi="Arial"/>
                <w:sz w:val="12"/>
                <w:szCs w:val="12"/>
                <w:color w:val="auto"/>
              </w:rPr>
              <w:t>(g)(i)</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848</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9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20,917</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21,116</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7"/>
        </w:trPr>
        <w:tc>
          <w:tcPr>
            <w:tcW w:w="6420" w:type="dxa"/>
            <w:vAlign w:val="bottom"/>
            <w:gridSpan w:val="3"/>
          </w:tcPr>
          <w:p>
            <w:pPr>
              <w:spacing w:after="0"/>
              <w:rPr>
                <w:sz w:val="20"/>
                <w:szCs w:val="20"/>
                <w:color w:val="auto"/>
              </w:rPr>
            </w:pPr>
            <w:r>
              <w:rPr>
                <w:rFonts w:ascii="Arial" w:cs="Arial" w:eastAsia="Arial" w:hAnsi="Arial"/>
                <w:sz w:val="14"/>
                <w:szCs w:val="14"/>
                <w:i w:val="1"/>
                <w:iCs w:val="1"/>
                <w:color w:val="auto"/>
              </w:rPr>
              <w:t>Ice House America, LLC</w:t>
            </w: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(i)</w:t>
            </w:r>
          </w:p>
        </w:tc>
        <w:tc>
          <w:tcPr>
            <w:tcW w:w="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12.0%/3.0%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1/1/2020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4,300</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4,178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4,300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Warrant (1,957,895 units) </w:t>
            </w:r>
            <w:r>
              <w:rPr>
                <w:rFonts w:ascii="Arial" w:cs="Arial" w:eastAsia="Arial" w:hAnsi="Arial"/>
                <w:sz w:val="12"/>
                <w:szCs w:val="12"/>
                <w:color w:val="auto"/>
              </w:rPr>
              <w:t>(g)(i)(l)</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178</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9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4,394</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4,478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49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64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531,344</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553,260</w:t>
            </w:r>
          </w:p>
        </w:tc>
        <w:tc>
          <w:tcPr>
            <w:tcW w:w="24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Note 3 to the consolidated financial statements for portfolio composition by geographic location.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 ownership may be held in shares or units of companies related to the portfolio companies.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All debt investments are income producing, unless otherwise indicated. Equity investments are non-income producing unless otherwise noted.</w:t>
      </w:r>
    </w:p>
    <w:p>
      <w:pPr>
        <w:spacing w:after="0" w:line="20" w:lineRule="exact"/>
        <w:rPr>
          <w:rFonts w:ascii="Arial" w:cs="Arial" w:eastAsia="Arial" w:hAnsi="Arial"/>
          <w:sz w:val="17"/>
          <w:szCs w:val="17"/>
          <w:color w:val="auto"/>
        </w:rPr>
      </w:pPr>
    </w:p>
    <w:p>
      <w:pPr>
        <w:ind w:left="460" w:right="54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Rate includes the cash interest or dividend rate and paid-in-kind interest or dividend rate, if any, as of June 30, 2017. Generally, payment-in-kind interest can be paid-in-kind or all in cash.</w:t>
      </w:r>
    </w:p>
    <w:p>
      <w:pPr>
        <w:ind w:left="460" w:right="4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bears cash interest at a variable rate that is determined by reference to one-month LIBOR, which is reset monthly. The cash interest rate is set as one-month LIBOR + 11.5% and is subject to a 12.5% interest rate floor. The Company has provided the interest rate in effect as of June 30, 2017.</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producing. Maturity date, if any, represents mandatory redemption date.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is held by a wholly-owned subsidiary of the Company, other than the Funds.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entire commitment was unfunded at June 30, 2017. As such, no interest is being earned on this investment.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shares)</w:t>
      </w:r>
    </w:p>
    <w:p>
      <w:pPr>
        <w:spacing w:after="0" w:line="265" w:lineRule="exact"/>
        <w:rPr>
          <w:sz w:val="20"/>
          <w:szCs w:val="20"/>
          <w:color w:val="auto"/>
        </w:rPr>
      </w:pPr>
    </w:p>
    <w:p>
      <w:pPr>
        <w:ind w:left="460" w:right="540" w:hanging="452"/>
        <w:spacing w:after="0" w:line="29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left="460" w:right="1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8"/>
          <w:szCs w:val="18"/>
          <w:color w:val="auto"/>
        </w:rPr>
      </w:pPr>
    </w:p>
    <w:p>
      <w:pPr>
        <w:ind w:left="460" w:right="40" w:hanging="452"/>
        <w:spacing w:after="0" w:line="265"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left="460" w:right="14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 in portfolio company that has sold its operations and is in the process of winding down.</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bears interest at a variable rate that is determined by reference to three-month LIBOR, which is reset quarterly. The interest rate is set as three-month LIBOR + 8.8% and is subject to a 1.0% LIBOR interest rate floor. The Company has provided the interest rate in effect as of June 30, 2017.</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Investment was on non-accrual status as of June 30, 2017, meaning the Company has ceased recognizing interest income on the investment.</w:t>
      </w:r>
    </w:p>
    <w:p>
      <w:pPr>
        <w:spacing w:after="0" w:line="20" w:lineRule="exact"/>
        <w:rPr>
          <w:rFonts w:ascii="Arial" w:cs="Arial" w:eastAsia="Arial" w:hAnsi="Arial"/>
          <w:sz w:val="17"/>
          <w:szCs w:val="17"/>
          <w:color w:val="auto"/>
        </w:rPr>
      </w:pPr>
    </w:p>
    <w:p>
      <w:pPr>
        <w:ind w:left="460" w:right="60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Warrant entitles the Company to purchase 9.59% of the outstanding principal of Junior Subordinated Notes prior to exercise, and is non-income producing.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60" w:type="dxa"/>
            <w:vAlign w:val="bottom"/>
            <w:gridSpan w:val="3"/>
          </w:tcPr>
          <w:p>
            <w:pPr>
              <w:spacing w:after="0"/>
              <w:rPr>
                <w:sz w:val="20"/>
                <w:szCs w:val="20"/>
                <w:color w:val="auto"/>
              </w:rPr>
            </w:pPr>
            <w:r>
              <w:rPr>
                <w:rFonts w:ascii="Arial" w:cs="Arial" w:eastAsia="Arial" w:hAnsi="Arial"/>
                <w:sz w:val="14"/>
                <w:szCs w:val="14"/>
                <w:b w:val="1"/>
                <w:bCs w:val="1"/>
                <w:color w:val="auto"/>
              </w:rPr>
              <w:t>Industry</w:t>
            </w: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2"/>
                <w:szCs w:val="12"/>
                <w:b w:val="1"/>
                <w:bCs w:val="1"/>
                <w:color w:val="auto"/>
              </w:rPr>
              <w:t>(d)</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9"/>
        </w:trPr>
        <w:tc>
          <w:tcPr>
            <w:tcW w:w="6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2"/>
                <w:szCs w:val="12"/>
                <w:b w:val="1"/>
                <w:bCs w:val="1"/>
                <w:color w:val="auto"/>
              </w:rPr>
              <w:t>(a)(b)</w:t>
            </w:r>
          </w:p>
        </w:tc>
        <w:tc>
          <w:tcPr>
            <w:tcW w:w="1000" w:type="dxa"/>
            <w:vAlign w:val="bottom"/>
            <w:gridSpan w:val="2"/>
            <w:vMerge w:val="continue"/>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2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49"/>
        </w:trPr>
        <w:tc>
          <w:tcPr>
            <w:tcW w:w="63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12"/>
                <w:szCs w:val="12"/>
                <w:b w:val="1"/>
                <w:bCs w:val="1"/>
                <w:color w:val="auto"/>
              </w:rPr>
              <w:t>(c)</w:t>
            </w:r>
          </w:p>
        </w:tc>
        <w:tc>
          <w:tcPr>
            <w:tcW w:w="10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Cash/PIK</w:t>
            </w:r>
          </w:p>
        </w:tc>
        <w:tc>
          <w:tcPr>
            <w:tcW w:w="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4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20"/>
        </w:trPr>
        <w:tc>
          <w:tcPr>
            <w:tcW w:w="1460" w:type="dxa"/>
            <w:vAlign w:val="bottom"/>
            <w:tcBorders>
              <w:top w:val="single" w:sz="8" w:color="auto"/>
              <w:bottom w:val="single" w:sz="8" w:color="auto"/>
            </w:tcBorders>
            <w:gridSpan w:val="2"/>
            <w:vMerge w:val="restart"/>
          </w:tcPr>
          <w:p>
            <w:pPr>
              <w:spacing w:after="0" w:line="155" w:lineRule="exact"/>
              <w:rPr>
                <w:sz w:val="20"/>
                <w:szCs w:val="20"/>
                <w:color w:val="auto"/>
              </w:rPr>
            </w:pPr>
            <w:r>
              <w:rPr>
                <w:rFonts w:ascii="Arial" w:cs="Arial" w:eastAsia="Arial" w:hAnsi="Arial"/>
                <w:sz w:val="14"/>
                <w:szCs w:val="14"/>
                <w:b w:val="1"/>
                <w:bCs w:val="1"/>
                <w:color w:val="auto"/>
              </w:rPr>
              <w:t>Aerospace &amp; Defense</w:t>
            </w:r>
          </w:p>
        </w:tc>
        <w:tc>
          <w:tcPr>
            <w:tcW w:w="4900" w:type="dxa"/>
            <w:vAlign w:val="bottom"/>
            <w:vMerge w:val="restart"/>
          </w:tcPr>
          <w:p>
            <w:pPr>
              <w:spacing w:after="0" w:line="155" w:lineRule="exact"/>
              <w:rPr>
                <w:sz w:val="20"/>
                <w:szCs w:val="20"/>
                <w:color w:val="auto"/>
              </w:rPr>
            </w:pPr>
            <w:r>
              <w:rPr>
                <w:rFonts w:ascii="Arial" w:cs="Arial" w:eastAsia="Arial" w:hAnsi="Arial"/>
                <w:sz w:val="14"/>
                <w:szCs w:val="14"/>
                <w:b w:val="1"/>
                <w:bCs w:val="1"/>
                <w:color w:val="auto"/>
              </w:rPr>
              <w:t>Manufacturing</w:t>
            </w: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460" w:type="dxa"/>
            <w:vAlign w:val="bottom"/>
            <w:gridSpan w:val="2"/>
            <w:vMerge w:val="continue"/>
          </w:tcPr>
          <w:p>
            <w:pPr>
              <w:spacing w:after="0"/>
              <w:rPr>
                <w:sz w:val="10"/>
                <w:szCs w:val="10"/>
                <w:color w:val="auto"/>
              </w:rPr>
            </w:pPr>
          </w:p>
        </w:tc>
        <w:tc>
          <w:tcPr>
            <w:tcW w:w="490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FDS Avionics Corp.</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(dba Flight Display Systems)</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12.3%/0.0%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4/1/2020</w:t>
            </w: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   5,200</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$ 5,184</w:t>
            </w:r>
          </w:p>
        </w:tc>
        <w:tc>
          <w:tcPr>
            <w:tcW w:w="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4,237</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Common Equity (200 units) </w:t>
            </w:r>
            <w:r>
              <w:rPr>
                <w:rFonts w:ascii="Arial" w:cs="Arial" w:eastAsia="Arial" w:hAnsi="Arial"/>
                <w:sz w:val="12"/>
                <w:szCs w:val="12"/>
                <w:color w:val="auto"/>
              </w:rPr>
              <w:t>(i)</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312</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4,549</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7"/>
        </w:trPr>
        <w:tc>
          <w:tcPr>
            <w:tcW w:w="6360" w:type="dxa"/>
            <w:vAlign w:val="bottom"/>
            <w:gridSpan w:val="3"/>
          </w:tcPr>
          <w:p>
            <w:pPr>
              <w:spacing w:after="0"/>
              <w:rPr>
                <w:sz w:val="20"/>
                <w:szCs w:val="20"/>
                <w:color w:val="auto"/>
              </w:rPr>
            </w:pPr>
            <w:r>
              <w:rPr>
                <w:rFonts w:ascii="Arial" w:cs="Arial" w:eastAsia="Arial" w:hAnsi="Arial"/>
                <w:sz w:val="14"/>
                <w:szCs w:val="14"/>
                <w:i w:val="1"/>
                <w:iCs w:val="1"/>
                <w:color w:val="auto"/>
              </w:rPr>
              <w:t xml:space="preserve">Fiber Materials, Inc. </w:t>
            </w:r>
            <w:r>
              <w:rPr>
                <w:rFonts w:ascii="Arial" w:cs="Arial" w:eastAsia="Arial" w:hAnsi="Arial"/>
                <w:sz w:val="12"/>
                <w:szCs w:val="12"/>
                <w:i w:val="1"/>
                <w:iCs w:val="1"/>
                <w:color w:val="auto"/>
              </w:rPr>
              <w:t>(k)</w:t>
            </w: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12.0%/1.0%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5/30/2022</w:t>
            </w: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4,003</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3,984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3,984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Common Equity (10 units)</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1,000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4,984</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7"/>
        </w:trPr>
        <w:tc>
          <w:tcPr>
            <w:tcW w:w="6360" w:type="dxa"/>
            <w:vAlign w:val="bottom"/>
            <w:gridSpan w:val="3"/>
          </w:tcPr>
          <w:p>
            <w:pPr>
              <w:spacing w:after="0"/>
              <w:rPr>
                <w:sz w:val="20"/>
                <w:szCs w:val="20"/>
                <w:color w:val="auto"/>
              </w:rPr>
            </w:pPr>
            <w:r>
              <w:rPr>
                <w:rFonts w:ascii="Arial" w:cs="Arial" w:eastAsia="Arial" w:hAnsi="Arial"/>
                <w:sz w:val="14"/>
                <w:szCs w:val="14"/>
                <w:i w:val="1"/>
                <w:iCs w:val="1"/>
                <w:color w:val="auto"/>
              </w:rPr>
              <w:t>Lightning Diversion Systems, LLC</w:t>
            </w: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Senior Secured Loan </w:t>
            </w:r>
            <w:r>
              <w:rPr>
                <w:rFonts w:ascii="Arial" w:cs="Arial" w:eastAsia="Arial" w:hAnsi="Arial"/>
                <w:sz w:val="12"/>
                <w:szCs w:val="12"/>
                <w:color w:val="auto"/>
              </w:rPr>
              <w:t>(j)</w:t>
            </w:r>
          </w:p>
        </w:tc>
        <w:tc>
          <w:tcPr>
            <w:tcW w:w="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10.5%/0.0%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9/16/2021</w:t>
            </w: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21,204</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21,114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21,204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Revolving Loan ($250 commitment) </w:t>
            </w:r>
            <w:r>
              <w:rPr>
                <w:rFonts w:ascii="Arial" w:cs="Arial" w:eastAsia="Arial" w:hAnsi="Arial"/>
                <w:sz w:val="12"/>
                <w:szCs w:val="12"/>
                <w:color w:val="auto"/>
              </w:rPr>
              <w:t>(h)</w:t>
            </w:r>
          </w:p>
        </w:tc>
        <w:tc>
          <w:tcPr>
            <w:tcW w:w="760" w:type="dxa"/>
            <w:vAlign w:val="bottom"/>
          </w:tcPr>
          <w:p>
            <w:pPr>
              <w:ind w:left="40"/>
              <w:spacing w:after="0" w:line="149" w:lineRule="exact"/>
              <w:rPr>
                <w:sz w:val="20"/>
                <w:szCs w:val="20"/>
                <w:color w:val="auto"/>
              </w:rPr>
            </w:pPr>
            <w:r>
              <w:rPr>
                <w:rFonts w:ascii="Arial" w:cs="Arial" w:eastAsia="Arial" w:hAnsi="Arial"/>
                <w:sz w:val="14"/>
                <w:szCs w:val="14"/>
                <w:color w:val="auto"/>
                <w:w w:val="92"/>
              </w:rPr>
              <w:t>10.5%/0.0%</w:t>
            </w:r>
          </w:p>
        </w:tc>
        <w:tc>
          <w:tcPr>
            <w:tcW w:w="24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9/16/2021</w:t>
            </w:r>
          </w:p>
        </w:tc>
        <w:tc>
          <w:tcPr>
            <w:tcW w:w="24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(600,000 units)</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2,637</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21,113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23,841</w:t>
            </w:r>
          </w:p>
        </w:tc>
        <w:tc>
          <w:tcPr>
            <w:tcW w:w="2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4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 xml:space="preserve">Malabar International </w:t>
            </w:r>
            <w:r>
              <w:rPr>
                <w:rFonts w:ascii="Arial" w:cs="Arial" w:eastAsia="Arial" w:hAnsi="Arial"/>
                <w:sz w:val="12"/>
                <w:szCs w:val="12"/>
                <w:i w:val="1"/>
                <w:iCs w:val="1"/>
                <w:color w:val="auto"/>
              </w:rPr>
              <w:t>(k)</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760" w:type="dxa"/>
            <w:vAlign w:val="bottom"/>
          </w:tcPr>
          <w:p>
            <w:pPr>
              <w:ind w:left="40"/>
              <w:spacing w:after="0" w:line="149" w:lineRule="exact"/>
              <w:rPr>
                <w:sz w:val="20"/>
                <w:szCs w:val="20"/>
                <w:color w:val="auto"/>
              </w:rPr>
            </w:pPr>
            <w:r>
              <w:rPr>
                <w:rFonts w:ascii="Arial" w:cs="Arial" w:eastAsia="Arial" w:hAnsi="Arial"/>
                <w:sz w:val="14"/>
                <w:szCs w:val="14"/>
                <w:color w:val="auto"/>
                <w:w w:val="92"/>
              </w:rPr>
              <w:t>11.3%/2.0%</w:t>
            </w:r>
          </w:p>
        </w:tc>
        <w:tc>
          <w:tcPr>
            <w:tcW w:w="24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w w:val="91"/>
              </w:rPr>
              <w:t>11/13/2021</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7,617</w:t>
            </w: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7,607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7,617</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Preferred Equity (1,494 shares) </w:t>
            </w:r>
            <w:r>
              <w:rPr>
                <w:rFonts w:ascii="Arial" w:cs="Arial" w:eastAsia="Arial" w:hAnsi="Arial"/>
                <w:sz w:val="12"/>
                <w:szCs w:val="12"/>
                <w:color w:val="auto"/>
              </w:rPr>
              <w:t>(f)</w:t>
            </w:r>
          </w:p>
        </w:tc>
        <w:tc>
          <w:tcPr>
            <w:tcW w:w="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6.0%/0.0%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5/12/2022</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1,997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5,367</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9,604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12,984</w:t>
            </w:r>
          </w:p>
        </w:tc>
        <w:tc>
          <w:tcPr>
            <w:tcW w:w="2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4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Simplex Manufacturing Co.</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(n)</w:t>
            </w:r>
          </w:p>
        </w:tc>
        <w:tc>
          <w:tcPr>
            <w:tcW w:w="760" w:type="dxa"/>
            <w:vAlign w:val="bottom"/>
          </w:tcPr>
          <w:p>
            <w:pPr>
              <w:ind w:left="40"/>
              <w:spacing w:after="0" w:line="149" w:lineRule="exact"/>
              <w:rPr>
                <w:sz w:val="20"/>
                <w:szCs w:val="20"/>
                <w:color w:val="auto"/>
              </w:rPr>
            </w:pPr>
            <w:r>
              <w:rPr>
                <w:rFonts w:ascii="Arial" w:cs="Arial" w:eastAsia="Arial" w:hAnsi="Arial"/>
                <w:sz w:val="14"/>
                <w:szCs w:val="14"/>
                <w:color w:val="auto"/>
                <w:w w:val="92"/>
              </w:rPr>
              <w:t>14.0%/0.0%</w:t>
            </w:r>
          </w:p>
        </w:tc>
        <w:tc>
          <w:tcPr>
            <w:tcW w:w="24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12/9/2016</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4,050</w:t>
            </w: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4,050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4,050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Warrant (28 shares) </w:t>
            </w:r>
            <w:r>
              <w:rPr>
                <w:rFonts w:ascii="Arial" w:cs="Arial" w:eastAsia="Arial" w:hAnsi="Arial"/>
                <w:sz w:val="12"/>
                <w:szCs w:val="12"/>
                <w:color w:val="auto"/>
              </w:rPr>
              <w:t>(l)</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1,041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3,787</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5,091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7,837</w:t>
            </w:r>
          </w:p>
        </w:tc>
        <w:tc>
          <w:tcPr>
            <w:tcW w:w="2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4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 xml:space="preserve">Steward Holding LLC </w:t>
            </w:r>
            <w:r>
              <w:rPr>
                <w:rFonts w:ascii="Arial" w:cs="Arial" w:eastAsia="Arial" w:hAnsi="Arial"/>
                <w:sz w:val="12"/>
                <w:szCs w:val="12"/>
                <w:i w:val="1"/>
                <w:iCs w:val="1"/>
                <w:color w:val="auto"/>
              </w:rPr>
              <w:t>(k)</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(dba Steward Advanced Materials)</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12.0%/2.3%</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5/12/2021</w:t>
            </w: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7,181</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7,154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7,181</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Common Equity (1,000,000 units)</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678</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8,154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7,859</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7"/>
        </w:trPr>
        <w:tc>
          <w:tcPr>
            <w:tcW w:w="6360" w:type="dxa"/>
            <w:vAlign w:val="bottom"/>
            <w:gridSpan w:val="3"/>
          </w:tcPr>
          <w:p>
            <w:pPr>
              <w:spacing w:after="0"/>
              <w:rPr>
                <w:sz w:val="20"/>
                <w:szCs w:val="20"/>
                <w:color w:val="auto"/>
              </w:rPr>
            </w:pPr>
            <w:r>
              <w:rPr>
                <w:rFonts w:ascii="Arial" w:cs="Arial" w:eastAsia="Arial" w:hAnsi="Arial"/>
                <w:sz w:val="14"/>
                <w:szCs w:val="14"/>
                <w:b w:val="1"/>
                <w:bCs w:val="1"/>
                <w:color w:val="auto"/>
              </w:rPr>
              <w:t>Apparel Distribution</w:t>
            </w: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Jacob Ash Holdings, Inc.</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760" w:type="dxa"/>
            <w:vAlign w:val="bottom"/>
          </w:tcPr>
          <w:p>
            <w:pPr>
              <w:ind w:left="40"/>
              <w:spacing w:after="0" w:line="149" w:lineRule="exact"/>
              <w:rPr>
                <w:sz w:val="20"/>
                <w:szCs w:val="20"/>
                <w:color w:val="auto"/>
              </w:rPr>
            </w:pPr>
            <w:r>
              <w:rPr>
                <w:rFonts w:ascii="Arial" w:cs="Arial" w:eastAsia="Arial" w:hAnsi="Arial"/>
                <w:sz w:val="14"/>
                <w:szCs w:val="14"/>
                <w:color w:val="auto"/>
                <w:w w:val="92"/>
              </w:rPr>
              <w:t>13.0%/4.0%</w:t>
            </w:r>
          </w:p>
        </w:tc>
        <w:tc>
          <w:tcPr>
            <w:tcW w:w="24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6/30/2018</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4,000</w:t>
            </w: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3,997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4,000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13.0%/0.0%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6/30/2018</w:t>
            </w: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778</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778</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Preferred Equity (66,138 shares) </w:t>
            </w:r>
            <w:r>
              <w:rPr>
                <w:rFonts w:ascii="Arial" w:cs="Arial" w:eastAsia="Arial" w:hAnsi="Arial"/>
                <w:sz w:val="12"/>
                <w:szCs w:val="12"/>
                <w:color w:val="auto"/>
              </w:rPr>
              <w:t>(f)</w:t>
            </w:r>
          </w:p>
        </w:tc>
        <w:tc>
          <w:tcPr>
            <w:tcW w:w="760" w:type="dxa"/>
            <w:vAlign w:val="bottom"/>
          </w:tcPr>
          <w:p>
            <w:pPr>
              <w:ind w:left="40"/>
              <w:spacing w:after="0" w:line="149" w:lineRule="exact"/>
              <w:rPr>
                <w:sz w:val="20"/>
                <w:szCs w:val="20"/>
                <w:color w:val="auto"/>
              </w:rPr>
            </w:pPr>
            <w:r>
              <w:rPr>
                <w:rFonts w:ascii="Arial" w:cs="Arial" w:eastAsia="Arial" w:hAnsi="Arial"/>
                <w:sz w:val="14"/>
                <w:szCs w:val="14"/>
                <w:color w:val="auto"/>
                <w:w w:val="92"/>
              </w:rPr>
              <w:t>0.0%/15.0%</w:t>
            </w:r>
          </w:p>
        </w:tc>
        <w:tc>
          <w:tcPr>
            <w:tcW w:w="24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6/30/2018</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1,071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1,075</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Warrant (63,492 shares) </w:t>
            </w:r>
            <w:r>
              <w:rPr>
                <w:rFonts w:ascii="Arial" w:cs="Arial" w:eastAsia="Arial" w:hAnsi="Arial"/>
                <w:sz w:val="12"/>
                <w:szCs w:val="12"/>
                <w:color w:val="auto"/>
              </w:rPr>
              <w:t>(l)</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5,908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5,853</w:t>
            </w:r>
          </w:p>
        </w:tc>
        <w:tc>
          <w:tcPr>
            <w:tcW w:w="2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4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Building Products Manufacturing</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 xml:space="preserve">SES Investors, LLC </w:t>
            </w:r>
            <w:r>
              <w:rPr>
                <w:rFonts w:ascii="Arial" w:cs="Arial" w:eastAsia="Arial" w:hAnsi="Arial"/>
                <w:sz w:val="12"/>
                <w:szCs w:val="12"/>
                <w:i w:val="1"/>
                <w:iCs w:val="1"/>
                <w:color w:val="auto"/>
              </w:rPr>
              <w:t>(k)</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(dba SES Foam)</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Senior Secured Loan</w:t>
            </w:r>
          </w:p>
        </w:tc>
        <w:tc>
          <w:tcPr>
            <w:tcW w:w="760" w:type="dxa"/>
            <w:vAlign w:val="bottom"/>
          </w:tcPr>
          <w:p>
            <w:pPr>
              <w:ind w:left="40"/>
              <w:spacing w:after="0" w:line="149" w:lineRule="exact"/>
              <w:rPr>
                <w:sz w:val="20"/>
                <w:szCs w:val="20"/>
                <w:color w:val="auto"/>
              </w:rPr>
            </w:pPr>
            <w:r>
              <w:rPr>
                <w:rFonts w:ascii="Arial" w:cs="Arial" w:eastAsia="Arial" w:hAnsi="Arial"/>
                <w:sz w:val="14"/>
                <w:szCs w:val="14"/>
                <w:color w:val="auto"/>
                <w:w w:val="92"/>
              </w:rPr>
              <w:t>11.0%/0.0%</w:t>
            </w:r>
          </w:p>
        </w:tc>
        <w:tc>
          <w:tcPr>
            <w:tcW w:w="24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3/8/2022</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10,474</w:t>
            </w: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10,424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10,424</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Revolving Loan ($1,500 commitment)</w:t>
            </w:r>
            <w:r>
              <w:rPr>
                <w:rFonts w:ascii="Arial" w:cs="Arial" w:eastAsia="Arial" w:hAnsi="Arial"/>
                <w:sz w:val="12"/>
                <w:szCs w:val="12"/>
                <w:color w:val="auto"/>
              </w:rPr>
              <w:t>(i)</w:t>
            </w:r>
          </w:p>
        </w:tc>
        <w:tc>
          <w:tcPr>
            <w:tcW w:w="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6.0%/0.0%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3/8/2022</w:t>
            </w: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993</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Common Equity (6,000 units) </w:t>
            </w:r>
            <w:r>
              <w:rPr>
                <w:rFonts w:ascii="Arial" w:cs="Arial" w:eastAsia="Arial" w:hAnsi="Arial"/>
                <w:sz w:val="12"/>
                <w:szCs w:val="12"/>
                <w:color w:val="auto"/>
              </w:rPr>
              <w:t>(g)(i)</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12,017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12,017</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gridSpan w:val="3"/>
          </w:tcPr>
          <w:p>
            <w:pPr>
              <w:spacing w:after="0"/>
              <w:rPr>
                <w:sz w:val="20"/>
                <w:szCs w:val="20"/>
                <w:color w:val="auto"/>
              </w:rPr>
            </w:pPr>
            <w:r>
              <w:rPr>
                <w:rFonts w:ascii="Arial" w:cs="Arial" w:eastAsia="Arial" w:hAnsi="Arial"/>
                <w:sz w:val="14"/>
                <w:szCs w:val="14"/>
                <w:b w:val="1"/>
                <w:bCs w:val="1"/>
                <w:color w:val="auto"/>
              </w:rPr>
              <w:t>Industry</w:t>
            </w:r>
          </w:p>
        </w:tc>
        <w:tc>
          <w:tcPr>
            <w:tcW w:w="7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2"/>
                <w:szCs w:val="12"/>
                <w:b w:val="1"/>
                <w:bCs w:val="1"/>
                <w:color w:val="auto"/>
              </w:rPr>
              <w:t>(d)</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7"/>
              </w:rPr>
              <w:t>Principal</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9"/>
        </w:trPr>
        <w:tc>
          <w:tcPr>
            <w:tcW w:w="6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2"/>
                <w:szCs w:val="12"/>
                <w:b w:val="1"/>
                <w:bCs w:val="1"/>
                <w:color w:val="auto"/>
              </w:rPr>
              <w:t>(a)(b)</w:t>
            </w: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900" w:type="dxa"/>
            <w:vAlign w:val="bottom"/>
            <w:gridSpan w:val="3"/>
            <w:vMerge w:val="continue"/>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49"/>
        </w:trPr>
        <w:tc>
          <w:tcPr>
            <w:tcW w:w="146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12"/>
                <w:szCs w:val="12"/>
                <w:b w:val="1"/>
                <w:bCs w:val="1"/>
                <w:color w:val="auto"/>
              </w:rPr>
              <w:t>(c)</w:t>
            </w:r>
          </w:p>
        </w:tc>
        <w:tc>
          <w:tcPr>
            <w:tcW w:w="5120" w:type="dxa"/>
            <w:vAlign w:val="bottom"/>
          </w:tcPr>
          <w:p>
            <w:pPr>
              <w:spacing w:after="0"/>
              <w:rPr>
                <w:sz w:val="12"/>
                <w:szCs w:val="12"/>
                <w:color w:val="auto"/>
              </w:rPr>
            </w:pPr>
          </w:p>
        </w:tc>
        <w:tc>
          <w:tcPr>
            <w:tcW w:w="70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Cash/PIK</w:t>
            </w: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00" w:type="dxa"/>
            <w:vAlign w:val="bottom"/>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94"/>
              </w:rPr>
              <w:t>Amount</w:t>
            </w:r>
          </w:p>
        </w:tc>
        <w:tc>
          <w:tcPr>
            <w:tcW w:w="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4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20"/>
        </w:trPr>
        <w:tc>
          <w:tcPr>
            <w:tcW w:w="6580" w:type="dxa"/>
            <w:vAlign w:val="bottom"/>
            <w:gridSpan w:val="3"/>
            <w:vMerge w:val="restart"/>
          </w:tcPr>
          <w:p>
            <w:pPr>
              <w:spacing w:after="0" w:line="155" w:lineRule="exact"/>
              <w:rPr>
                <w:sz w:val="20"/>
                <w:szCs w:val="20"/>
                <w:color w:val="auto"/>
              </w:rPr>
            </w:pPr>
            <w:r>
              <w:rPr>
                <w:rFonts w:ascii="Arial" w:cs="Arial" w:eastAsia="Arial" w:hAnsi="Arial"/>
                <w:sz w:val="14"/>
                <w:szCs w:val="14"/>
                <w:i w:val="1"/>
                <w:iCs w:val="1"/>
                <w:color w:val="auto"/>
              </w:rPr>
              <w:t>The Wolf Organization, LLC</w:t>
            </w: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580" w:type="dxa"/>
            <w:vAlign w:val="bottom"/>
            <w:gridSpan w:val="3"/>
            <w:vMerge w:val="continue"/>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(175 shares)</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1,455</w:t>
            </w:r>
          </w:p>
        </w:tc>
        <w:tc>
          <w:tcPr>
            <w:tcW w:w="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3,102</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7"/>
        </w:trPr>
        <w:tc>
          <w:tcPr>
            <w:tcW w:w="6580" w:type="dxa"/>
            <w:vAlign w:val="bottom"/>
            <w:gridSpan w:val="3"/>
          </w:tcPr>
          <w:p>
            <w:pPr>
              <w:spacing w:after="0"/>
              <w:rPr>
                <w:sz w:val="20"/>
                <w:szCs w:val="20"/>
                <w:color w:val="auto"/>
              </w:rPr>
            </w:pPr>
            <w:r>
              <w:rPr>
                <w:rFonts w:ascii="Arial" w:cs="Arial" w:eastAsia="Arial" w:hAnsi="Arial"/>
                <w:sz w:val="14"/>
                <w:szCs w:val="14"/>
                <w:i w:val="1"/>
                <w:iCs w:val="1"/>
                <w:color w:val="auto"/>
              </w:rPr>
              <w:t>US GreenFiber, LLC</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12.5%/0.0%</w:t>
            </w:r>
          </w:p>
        </w:tc>
        <w:tc>
          <w:tcPr>
            <w:tcW w:w="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1/2/2019</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5"/>
              </w:rPr>
              <w:t>$  14,000</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13,968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14,000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Common Equity (1,667 units) </w:t>
            </w:r>
            <w:r>
              <w:rPr>
                <w:rFonts w:ascii="Arial" w:cs="Arial" w:eastAsia="Arial" w:hAnsi="Arial"/>
                <w:sz w:val="12"/>
                <w:szCs w:val="12"/>
                <w:color w:val="auto"/>
              </w:rPr>
              <w:t>(g)(i)</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574</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14,468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14,574</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7"/>
        </w:trPr>
        <w:tc>
          <w:tcPr>
            <w:tcW w:w="6580" w:type="dxa"/>
            <w:vAlign w:val="bottom"/>
            <w:gridSpan w:val="3"/>
          </w:tcPr>
          <w:p>
            <w:pPr>
              <w:spacing w:after="0"/>
              <w:rPr>
                <w:sz w:val="20"/>
                <w:szCs w:val="20"/>
                <w:color w:val="auto"/>
              </w:rPr>
            </w:pPr>
            <w:r>
              <w:rPr>
                <w:rFonts w:ascii="Arial" w:cs="Arial" w:eastAsia="Arial" w:hAnsi="Arial"/>
                <w:sz w:val="14"/>
                <w:szCs w:val="14"/>
                <w:b w:val="1"/>
                <w:bCs w:val="1"/>
                <w:color w:val="auto"/>
              </w:rPr>
              <w:t>Business Services</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Comprehensive Logistics Co., Inc.</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700" w:type="dxa"/>
            <w:vAlign w:val="bottom"/>
          </w:tcPr>
          <w:p>
            <w:pPr>
              <w:spacing w:after="0"/>
              <w:rPr>
                <w:sz w:val="20"/>
                <w:szCs w:val="20"/>
                <w:color w:val="auto"/>
              </w:rPr>
            </w:pPr>
            <w:r>
              <w:rPr>
                <w:rFonts w:ascii="Arial" w:cs="Arial" w:eastAsia="Arial" w:hAnsi="Arial"/>
                <w:sz w:val="14"/>
                <w:szCs w:val="14"/>
                <w:color w:val="auto"/>
                <w:w w:val="90"/>
              </w:rPr>
              <w:t>11.5%/4.5%</w:t>
            </w:r>
          </w:p>
        </w:tc>
        <w:tc>
          <w:tcPr>
            <w:tcW w:w="860" w:type="dxa"/>
            <w:vAlign w:val="bottom"/>
            <w:gridSpan w:val="2"/>
          </w:tcPr>
          <w:p>
            <w:pPr>
              <w:ind w:left="200"/>
              <w:spacing w:after="0"/>
              <w:rPr>
                <w:sz w:val="20"/>
                <w:szCs w:val="20"/>
                <w:color w:val="auto"/>
              </w:rPr>
            </w:pPr>
            <w:r>
              <w:rPr>
                <w:rFonts w:ascii="Arial" w:cs="Arial" w:eastAsia="Arial" w:hAnsi="Arial"/>
                <w:sz w:val="14"/>
                <w:szCs w:val="14"/>
                <w:color w:val="auto"/>
                <w:w w:val="91"/>
              </w:rPr>
              <w:t>11/22/2021</w:t>
            </w:r>
          </w:p>
        </w:tc>
        <w:tc>
          <w:tcPr>
            <w:tcW w:w="2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15,075</w:t>
            </w:r>
          </w:p>
        </w:tc>
        <w:tc>
          <w:tcPr>
            <w:tcW w:w="8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15,001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15,001</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440" w:type="dxa"/>
            <w:vAlign w:val="bottom"/>
          </w:tcPr>
          <w:p>
            <w:pPr>
              <w:spacing w:after="0"/>
              <w:rPr>
                <w:sz w:val="6"/>
                <w:szCs w:val="6"/>
                <w:color w:val="auto"/>
              </w:rPr>
            </w:pPr>
          </w:p>
        </w:tc>
        <w:tc>
          <w:tcPr>
            <w:tcW w:w="5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 xml:space="preserve">Inflexxion, Inc. </w:t>
            </w:r>
            <w:r>
              <w:rPr>
                <w:rFonts w:ascii="Arial" w:cs="Arial" w:eastAsia="Arial" w:hAnsi="Arial"/>
                <w:sz w:val="12"/>
                <w:szCs w:val="12"/>
                <w:i w:val="1"/>
                <w:iCs w:val="1"/>
                <w:color w:val="auto"/>
              </w:rPr>
              <w:t>(k)</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tcPr>
          <w:p>
            <w:pPr>
              <w:spacing w:after="0" w:line="149" w:lineRule="exact"/>
              <w:rPr>
                <w:sz w:val="20"/>
                <w:szCs w:val="20"/>
                <w:color w:val="auto"/>
              </w:rPr>
            </w:pPr>
            <w:r>
              <w:rPr>
                <w:rFonts w:ascii="Arial" w:cs="Arial" w:eastAsia="Arial" w:hAnsi="Arial"/>
                <w:sz w:val="14"/>
                <w:szCs w:val="14"/>
                <w:color w:val="auto"/>
              </w:rPr>
              <w:t>Senior Secured Loan</w:t>
            </w:r>
          </w:p>
        </w:tc>
        <w:tc>
          <w:tcPr>
            <w:tcW w:w="700" w:type="dxa"/>
            <w:vAlign w:val="bottom"/>
          </w:tcPr>
          <w:p>
            <w:pPr>
              <w:spacing w:after="0" w:line="149" w:lineRule="exact"/>
              <w:rPr>
                <w:sz w:val="20"/>
                <w:szCs w:val="20"/>
                <w:color w:val="auto"/>
              </w:rPr>
            </w:pPr>
            <w:r>
              <w:rPr>
                <w:rFonts w:ascii="Arial" w:cs="Arial" w:eastAsia="Arial" w:hAnsi="Arial"/>
                <w:sz w:val="14"/>
                <w:szCs w:val="14"/>
                <w:color w:val="auto"/>
              </w:rPr>
              <w:t>7.0%/6.0%</w:t>
            </w:r>
          </w:p>
        </w:tc>
        <w:tc>
          <w:tcPr>
            <w:tcW w:w="8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1"/>
              </w:rPr>
              <w:t>12/16/2019</w:t>
            </w:r>
          </w:p>
        </w:tc>
        <w:tc>
          <w:tcPr>
            <w:tcW w:w="2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4,196</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4,182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3,579</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Revolving Loan ($500 commitment) </w:t>
            </w:r>
            <w:r>
              <w:rPr>
                <w:rFonts w:ascii="Arial" w:cs="Arial" w:eastAsia="Arial" w:hAnsi="Arial"/>
                <w:sz w:val="12"/>
                <w:szCs w:val="12"/>
                <w:color w:val="auto"/>
              </w:rPr>
              <w:t>(i)</w:t>
            </w:r>
          </w:p>
        </w:tc>
        <w:tc>
          <w:tcPr>
            <w:tcW w:w="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7.0%/6.0%</w:t>
            </w:r>
          </w:p>
        </w:tc>
        <w:tc>
          <w:tcPr>
            <w:tcW w:w="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1"/>
              </w:rPr>
              <w:t>12/16/2019</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159</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136</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tcPr>
          <w:p>
            <w:pPr>
              <w:spacing w:after="0" w:line="149" w:lineRule="exact"/>
              <w:rPr>
                <w:sz w:val="20"/>
                <w:szCs w:val="20"/>
                <w:color w:val="auto"/>
              </w:rPr>
            </w:pPr>
            <w:r>
              <w:rPr>
                <w:rFonts w:ascii="Arial" w:cs="Arial" w:eastAsia="Arial" w:hAnsi="Arial"/>
                <w:sz w:val="14"/>
                <w:szCs w:val="14"/>
                <w:color w:val="auto"/>
              </w:rPr>
              <w:t>Preferred Equity (252,046 units)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114</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Equity (308,987 units)</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139</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60" w:type="dxa"/>
            <w:vAlign w:val="bottom"/>
            <w:gridSpan w:val="2"/>
          </w:tcPr>
          <w:p>
            <w:pPr>
              <w:spacing w:after="0" w:line="149" w:lineRule="exact"/>
              <w:rPr>
                <w:sz w:val="20"/>
                <w:szCs w:val="20"/>
                <w:color w:val="auto"/>
              </w:rPr>
            </w:pPr>
            <w:r>
              <w:rPr>
                <w:rFonts w:ascii="Arial" w:cs="Arial" w:eastAsia="Arial" w:hAnsi="Arial"/>
                <w:sz w:val="14"/>
                <w:szCs w:val="14"/>
                <w:color w:val="auto"/>
              </w:rPr>
              <w:t>Preferred Equity (1,400 units)</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2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6,299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3,968</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7"/>
        </w:trPr>
        <w:tc>
          <w:tcPr>
            <w:tcW w:w="6580" w:type="dxa"/>
            <w:vAlign w:val="bottom"/>
            <w:gridSpan w:val="3"/>
          </w:tcPr>
          <w:p>
            <w:pPr>
              <w:spacing w:after="0"/>
              <w:rPr>
                <w:sz w:val="20"/>
                <w:szCs w:val="20"/>
                <w:color w:val="auto"/>
              </w:rPr>
            </w:pPr>
            <w:r>
              <w:rPr>
                <w:rFonts w:ascii="Arial" w:cs="Arial" w:eastAsia="Arial" w:hAnsi="Arial"/>
                <w:sz w:val="14"/>
                <w:szCs w:val="14"/>
                <w:i w:val="1"/>
                <w:iCs w:val="1"/>
                <w:color w:val="auto"/>
              </w:rPr>
              <w:t>Plymouth Rock Energy, LLC</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Senior Secured Loan</w:t>
            </w:r>
          </w:p>
        </w:tc>
        <w:tc>
          <w:tcPr>
            <w:tcW w:w="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11.8%/0.0%</w:t>
            </w:r>
          </w:p>
        </w:tc>
        <w:tc>
          <w:tcPr>
            <w:tcW w:w="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5/14/2017</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6,000</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5,995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6,000</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7"/>
        </w:trPr>
        <w:tc>
          <w:tcPr>
            <w:tcW w:w="6580" w:type="dxa"/>
            <w:vAlign w:val="bottom"/>
            <w:gridSpan w:val="3"/>
          </w:tcPr>
          <w:p>
            <w:pPr>
              <w:spacing w:after="0"/>
              <w:rPr>
                <w:sz w:val="20"/>
                <w:szCs w:val="20"/>
                <w:color w:val="auto"/>
              </w:rPr>
            </w:pPr>
            <w:r>
              <w:rPr>
                <w:rFonts w:ascii="Arial" w:cs="Arial" w:eastAsia="Arial" w:hAnsi="Arial"/>
                <w:sz w:val="14"/>
                <w:szCs w:val="14"/>
                <w:i w:val="1"/>
                <w:iCs w:val="1"/>
                <w:color w:val="auto"/>
              </w:rPr>
              <w:t>Vanguard Dealer Services, L.L.C.</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12.3%/0.0%</w:t>
            </w:r>
          </w:p>
        </w:tc>
        <w:tc>
          <w:tcPr>
            <w:tcW w:w="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1/30/2021</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11,450</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11,405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11,450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tcPr>
          <w:p>
            <w:pPr>
              <w:spacing w:after="0" w:line="149" w:lineRule="exact"/>
              <w:rPr>
                <w:sz w:val="20"/>
                <w:szCs w:val="20"/>
                <w:color w:val="auto"/>
              </w:rPr>
            </w:pPr>
            <w:r>
              <w:rPr>
                <w:rFonts w:ascii="Arial" w:cs="Arial" w:eastAsia="Arial" w:hAnsi="Arial"/>
                <w:sz w:val="14"/>
                <w:szCs w:val="14"/>
                <w:color w:val="auto"/>
              </w:rPr>
              <w:t>Common Equity (6,000 shares)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907</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12,005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12,357</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38"/>
        </w:trPr>
        <w:tc>
          <w:tcPr>
            <w:tcW w:w="6580" w:type="dxa"/>
            <w:vAlign w:val="bottom"/>
            <w:gridSpan w:val="3"/>
          </w:tcPr>
          <w:p>
            <w:pPr>
              <w:spacing w:after="0"/>
              <w:rPr>
                <w:sz w:val="20"/>
                <w:szCs w:val="20"/>
                <w:color w:val="auto"/>
              </w:rPr>
            </w:pPr>
            <w:r>
              <w:rPr>
                <w:rFonts w:ascii="Arial" w:cs="Arial" w:eastAsia="Arial" w:hAnsi="Arial"/>
                <w:sz w:val="14"/>
                <w:szCs w:val="14"/>
                <w:b w:val="1"/>
                <w:bCs w:val="1"/>
                <w:color w:val="auto"/>
              </w:rPr>
              <w:t>Capital Equipment Manufacturing</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6580" w:type="dxa"/>
            <w:vAlign w:val="bottom"/>
            <w:gridSpan w:val="3"/>
          </w:tcPr>
          <w:p>
            <w:pPr>
              <w:spacing w:after="0"/>
              <w:rPr>
                <w:sz w:val="20"/>
                <w:szCs w:val="20"/>
                <w:color w:val="auto"/>
              </w:rPr>
            </w:pPr>
            <w:r>
              <w:rPr>
                <w:rFonts w:ascii="Arial" w:cs="Arial" w:eastAsia="Arial" w:hAnsi="Arial"/>
                <w:sz w:val="14"/>
                <w:szCs w:val="14"/>
                <w:i w:val="1"/>
                <w:iCs w:val="1"/>
                <w:color w:val="auto"/>
              </w:rPr>
              <w:t>Thermoforming Technology Group LLC</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12.5%/0.0%</w:t>
            </w:r>
          </w:p>
        </w:tc>
        <w:tc>
          <w:tcPr>
            <w:tcW w:w="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9/14/2021</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14,700</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14,637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14,700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Common Equity (3,500 units) </w:t>
            </w:r>
            <w:r>
              <w:rPr>
                <w:rFonts w:ascii="Arial" w:cs="Arial" w:eastAsia="Arial" w:hAnsi="Arial"/>
                <w:sz w:val="12"/>
                <w:szCs w:val="12"/>
                <w:color w:val="auto"/>
              </w:rPr>
              <w:t>(g)(i)</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350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353</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14,987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15,053</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7"/>
        </w:trPr>
        <w:tc>
          <w:tcPr>
            <w:tcW w:w="6580" w:type="dxa"/>
            <w:vAlign w:val="bottom"/>
            <w:gridSpan w:val="3"/>
          </w:tcPr>
          <w:p>
            <w:pPr>
              <w:spacing w:after="0"/>
              <w:rPr>
                <w:sz w:val="20"/>
                <w:szCs w:val="20"/>
                <w:color w:val="auto"/>
              </w:rPr>
            </w:pPr>
            <w:r>
              <w:rPr>
                <w:rFonts w:ascii="Arial" w:cs="Arial" w:eastAsia="Arial" w:hAnsi="Arial"/>
                <w:sz w:val="14"/>
                <w:szCs w:val="14"/>
                <w:b w:val="1"/>
                <w:bCs w:val="1"/>
                <w:color w:val="auto"/>
              </w:rPr>
              <w:t>Component Manufacturing</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Hilco Plastics Holdings, LLC</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(dba Hilco Technologies)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11.5%/1.0%</w:t>
            </w:r>
          </w:p>
        </w:tc>
        <w:tc>
          <w:tcPr>
            <w:tcW w:w="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7/15/2022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8,022</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7,984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7,984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Common Equity (72,507 units) </w:t>
            </w:r>
            <w:r>
              <w:rPr>
                <w:rFonts w:ascii="Arial" w:cs="Arial" w:eastAsia="Arial" w:hAnsi="Arial"/>
                <w:sz w:val="12"/>
                <w:szCs w:val="12"/>
                <w:color w:val="auto"/>
              </w:rPr>
              <w:t>(g)(i)</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8,484</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7"/>
        </w:trPr>
        <w:tc>
          <w:tcPr>
            <w:tcW w:w="6580" w:type="dxa"/>
            <w:vAlign w:val="bottom"/>
            <w:gridSpan w:val="3"/>
          </w:tcPr>
          <w:p>
            <w:pPr>
              <w:spacing w:after="0"/>
              <w:rPr>
                <w:sz w:val="20"/>
                <w:szCs w:val="20"/>
                <w:color w:val="auto"/>
              </w:rPr>
            </w:pPr>
            <w:r>
              <w:rPr>
                <w:rFonts w:ascii="Arial" w:cs="Arial" w:eastAsia="Arial" w:hAnsi="Arial"/>
                <w:sz w:val="14"/>
                <w:szCs w:val="14"/>
                <w:i w:val="1"/>
                <w:iCs w:val="1"/>
                <w:color w:val="auto"/>
              </w:rPr>
              <w:t>Toledo Molding &amp; Die, Inc.</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(i)</w:t>
            </w:r>
          </w:p>
        </w:tc>
        <w:tc>
          <w:tcPr>
            <w:tcW w:w="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10.5%/0.0%</w:t>
            </w:r>
          </w:p>
        </w:tc>
        <w:tc>
          <w:tcPr>
            <w:tcW w:w="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1"/>
              </w:rPr>
              <w:t>12/18/2018</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10,000</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9,926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10,000</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7"/>
        </w:trPr>
        <w:tc>
          <w:tcPr>
            <w:tcW w:w="6580" w:type="dxa"/>
            <w:vAlign w:val="bottom"/>
            <w:gridSpan w:val="3"/>
          </w:tcPr>
          <w:p>
            <w:pPr>
              <w:spacing w:after="0"/>
              <w:rPr>
                <w:sz w:val="20"/>
                <w:szCs w:val="20"/>
                <w:color w:val="auto"/>
              </w:rPr>
            </w:pPr>
            <w:r>
              <w:rPr>
                <w:rFonts w:ascii="Arial" w:cs="Arial" w:eastAsia="Arial" w:hAnsi="Arial"/>
                <w:sz w:val="14"/>
                <w:szCs w:val="14"/>
                <w:b w:val="1"/>
                <w:bCs w:val="1"/>
                <w:color w:val="auto"/>
              </w:rPr>
              <w:t>Consumer Products</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Grindmaster Corporation</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Subordinated Note</w:t>
            </w:r>
          </w:p>
        </w:tc>
        <w:tc>
          <w:tcPr>
            <w:tcW w:w="700" w:type="dxa"/>
            <w:vAlign w:val="bottom"/>
          </w:tcPr>
          <w:p>
            <w:pPr>
              <w:spacing w:after="0"/>
              <w:rPr>
                <w:sz w:val="20"/>
                <w:szCs w:val="20"/>
                <w:color w:val="auto"/>
              </w:rPr>
            </w:pPr>
            <w:r>
              <w:rPr>
                <w:rFonts w:ascii="Arial" w:cs="Arial" w:eastAsia="Arial" w:hAnsi="Arial"/>
                <w:sz w:val="14"/>
                <w:szCs w:val="14"/>
                <w:color w:val="auto"/>
                <w:w w:val="90"/>
              </w:rPr>
              <w:t>11.5%/0.0%</w:t>
            </w:r>
          </w:p>
        </w:tc>
        <w:tc>
          <w:tcPr>
            <w:tcW w:w="860" w:type="dxa"/>
            <w:vAlign w:val="bottom"/>
            <w:gridSpan w:val="2"/>
          </w:tcPr>
          <w:p>
            <w:pPr>
              <w:ind w:left="200"/>
              <w:spacing w:after="0"/>
              <w:rPr>
                <w:sz w:val="20"/>
                <w:szCs w:val="20"/>
                <w:color w:val="auto"/>
              </w:rPr>
            </w:pPr>
            <w:r>
              <w:rPr>
                <w:rFonts w:ascii="Arial" w:cs="Arial" w:eastAsia="Arial" w:hAnsi="Arial"/>
                <w:sz w:val="14"/>
                <w:szCs w:val="14"/>
                <w:color w:val="auto"/>
                <w:w w:val="91"/>
              </w:rPr>
              <w:t>10/31/2019</w:t>
            </w:r>
          </w:p>
        </w:tc>
        <w:tc>
          <w:tcPr>
            <w:tcW w:w="2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10,500</w:t>
            </w:r>
          </w:p>
        </w:tc>
        <w:tc>
          <w:tcPr>
            <w:tcW w:w="8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10,474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10,500</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gridSpan w:val="3"/>
          </w:tcPr>
          <w:p>
            <w:pPr>
              <w:spacing w:after="0"/>
              <w:rPr>
                <w:sz w:val="20"/>
                <w:szCs w:val="20"/>
                <w:color w:val="auto"/>
              </w:rPr>
            </w:pPr>
            <w:r>
              <w:rPr>
                <w:rFonts w:ascii="Arial" w:cs="Arial" w:eastAsia="Arial" w:hAnsi="Arial"/>
                <w:sz w:val="14"/>
                <w:szCs w:val="14"/>
                <w:b w:val="1"/>
                <w:bCs w:val="1"/>
                <w:color w:val="auto"/>
              </w:rPr>
              <w:t>Industry</w:t>
            </w: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2"/>
                <w:szCs w:val="12"/>
                <w:b w:val="1"/>
                <w:bCs w:val="1"/>
                <w:color w:val="auto"/>
              </w:rPr>
              <w:t>(d)</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7"/>
              </w:rPr>
              <w:t>Principal</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9"/>
        </w:trPr>
        <w:tc>
          <w:tcPr>
            <w:tcW w:w="6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2"/>
                <w:szCs w:val="12"/>
                <w:b w:val="1"/>
                <w:bCs w:val="1"/>
                <w:color w:val="auto"/>
              </w:rPr>
              <w:t>(a)(b)</w:t>
            </w:r>
          </w:p>
        </w:tc>
        <w:tc>
          <w:tcPr>
            <w:tcW w:w="980" w:type="dxa"/>
            <w:vAlign w:val="bottom"/>
            <w:gridSpan w:val="2"/>
            <w:vMerge w:val="continue"/>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900" w:type="dxa"/>
            <w:vAlign w:val="bottom"/>
            <w:gridSpan w:val="3"/>
            <w:vMerge w:val="continue"/>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49"/>
        </w:trPr>
        <w:tc>
          <w:tcPr>
            <w:tcW w:w="64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12"/>
                <w:szCs w:val="12"/>
                <w:b w:val="1"/>
                <w:bCs w:val="1"/>
                <w:color w:val="auto"/>
              </w:rPr>
              <w:t>(c)</w:t>
            </w:r>
          </w:p>
        </w:tc>
        <w:tc>
          <w:tcPr>
            <w:tcW w:w="9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Cash/PIK</w:t>
            </w:r>
          </w:p>
        </w:tc>
        <w:tc>
          <w:tcPr>
            <w:tcW w:w="880" w:type="dxa"/>
            <w:vAlign w:val="bottom"/>
            <w:gridSpan w:val="2"/>
            <w:vMerge w:val="continue"/>
          </w:tcPr>
          <w:p>
            <w:pPr>
              <w:spacing w:after="0"/>
              <w:rPr>
                <w:sz w:val="12"/>
                <w:szCs w:val="12"/>
                <w:color w:val="auto"/>
              </w:rPr>
            </w:pPr>
          </w:p>
        </w:tc>
        <w:tc>
          <w:tcPr>
            <w:tcW w:w="900" w:type="dxa"/>
            <w:vAlign w:val="bottom"/>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94"/>
              </w:rPr>
              <w:t>Amount</w:t>
            </w:r>
          </w:p>
        </w:tc>
        <w:tc>
          <w:tcPr>
            <w:tcW w:w="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4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20"/>
        </w:trPr>
        <w:tc>
          <w:tcPr>
            <w:tcW w:w="1460" w:type="dxa"/>
            <w:vAlign w:val="bottom"/>
            <w:tcBorders>
              <w:top w:val="single" w:sz="8" w:color="auto"/>
              <w:bottom w:val="single" w:sz="8" w:color="auto"/>
            </w:tcBorders>
            <w:gridSpan w:val="2"/>
            <w:vMerge w:val="restart"/>
          </w:tcPr>
          <w:p>
            <w:pPr>
              <w:spacing w:after="0" w:line="155" w:lineRule="exact"/>
              <w:rPr>
                <w:sz w:val="20"/>
                <w:szCs w:val="20"/>
                <w:color w:val="auto"/>
              </w:rPr>
            </w:pPr>
            <w:r>
              <w:rPr>
                <w:rFonts w:ascii="Arial" w:cs="Arial" w:eastAsia="Arial" w:hAnsi="Arial"/>
                <w:sz w:val="14"/>
                <w:szCs w:val="14"/>
                <w:i w:val="1"/>
                <w:iCs w:val="1"/>
                <w:color w:val="auto"/>
                <w:w w:val="98"/>
              </w:rPr>
              <w:t>World Wide Packaging,</w:t>
            </w:r>
          </w:p>
        </w:tc>
        <w:tc>
          <w:tcPr>
            <w:tcW w:w="5020" w:type="dxa"/>
            <w:vAlign w:val="bottom"/>
            <w:vMerge w:val="restart"/>
          </w:tcPr>
          <w:p>
            <w:pPr>
              <w:spacing w:after="0" w:line="155" w:lineRule="exact"/>
              <w:rPr>
                <w:sz w:val="20"/>
                <w:szCs w:val="20"/>
                <w:color w:val="auto"/>
              </w:rPr>
            </w:pPr>
            <w:r>
              <w:rPr>
                <w:rFonts w:ascii="Arial" w:cs="Arial" w:eastAsia="Arial" w:hAnsi="Arial"/>
                <w:sz w:val="14"/>
                <w:szCs w:val="14"/>
                <w:i w:val="1"/>
                <w:iCs w:val="1"/>
                <w:color w:val="auto"/>
              </w:rPr>
              <w:t xml:space="preserve">LLC </w:t>
            </w:r>
            <w:r>
              <w:rPr>
                <w:rFonts w:ascii="Arial" w:cs="Arial" w:eastAsia="Arial" w:hAnsi="Arial"/>
                <w:sz w:val="12"/>
                <w:szCs w:val="12"/>
                <w:i w:val="1"/>
                <w:iCs w:val="1"/>
                <w:color w:val="auto"/>
              </w:rPr>
              <w:t>(k)</w:t>
            </w: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460" w:type="dxa"/>
            <w:vAlign w:val="bottom"/>
            <w:gridSpan w:val="2"/>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Common Equity (1,517,573 units) </w:t>
            </w:r>
            <w:r>
              <w:rPr>
                <w:rFonts w:ascii="Arial" w:cs="Arial" w:eastAsia="Arial" w:hAnsi="Arial"/>
                <w:sz w:val="12"/>
                <w:szCs w:val="12"/>
                <w:color w:val="auto"/>
              </w:rPr>
              <w:t>(g)(i)</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499</w:t>
            </w:r>
          </w:p>
        </w:tc>
        <w:tc>
          <w:tcPr>
            <w:tcW w:w="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2,898</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7"/>
        </w:trPr>
        <w:tc>
          <w:tcPr>
            <w:tcW w:w="6480" w:type="dxa"/>
            <w:vAlign w:val="bottom"/>
            <w:gridSpan w:val="3"/>
          </w:tcPr>
          <w:p>
            <w:pPr>
              <w:spacing w:after="0"/>
              <w:rPr>
                <w:sz w:val="20"/>
                <w:szCs w:val="20"/>
                <w:color w:val="auto"/>
              </w:rPr>
            </w:pPr>
            <w:r>
              <w:rPr>
                <w:rFonts w:ascii="Arial" w:cs="Arial" w:eastAsia="Arial" w:hAnsi="Arial"/>
                <w:sz w:val="14"/>
                <w:szCs w:val="14"/>
                <w:b w:val="1"/>
                <w:bCs w:val="1"/>
                <w:color w:val="auto"/>
              </w:rPr>
              <w:t>Electronic Components Supplier</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 xml:space="preserve">Apex Microtechnology, Inc. </w:t>
            </w:r>
            <w:r>
              <w:rPr>
                <w:rFonts w:ascii="Arial" w:cs="Arial" w:eastAsia="Arial" w:hAnsi="Arial"/>
                <w:sz w:val="12"/>
                <w:szCs w:val="12"/>
                <w:i w:val="1"/>
                <w:iCs w:val="1"/>
                <w:color w:val="auto"/>
              </w:rPr>
              <w:t>(k)</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Warrant (2,293 shares) </w:t>
            </w:r>
            <w:r>
              <w:rPr>
                <w:rFonts w:ascii="Arial" w:cs="Arial" w:eastAsia="Arial" w:hAnsi="Arial"/>
                <w:sz w:val="12"/>
                <w:szCs w:val="12"/>
                <w:color w:val="auto"/>
              </w:rPr>
              <w:t>(l)</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345</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(11,690 shares)</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1,876</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1,388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2,221</w:t>
            </w:r>
          </w:p>
        </w:tc>
        <w:tc>
          <w:tcPr>
            <w:tcW w:w="2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5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Healthcare Products</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Allied 100 Group, Inc.</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11.5%/0.0%</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3"/>
              </w:rPr>
              <w:t>5/26/2020</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5"/>
              </w:rPr>
              <w:t>$  13,000</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12,960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13,000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Common Equity (1,250,000 units) </w:t>
            </w:r>
            <w:r>
              <w:rPr>
                <w:rFonts w:ascii="Arial" w:cs="Arial" w:eastAsia="Arial" w:hAnsi="Arial"/>
                <w:sz w:val="12"/>
                <w:szCs w:val="12"/>
                <w:color w:val="auto"/>
              </w:rPr>
              <w:t>(i)</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1,250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1,201</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50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14,210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14,201</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7"/>
        </w:trPr>
        <w:tc>
          <w:tcPr>
            <w:tcW w:w="6480" w:type="dxa"/>
            <w:vAlign w:val="bottom"/>
            <w:gridSpan w:val="3"/>
          </w:tcPr>
          <w:p>
            <w:pPr>
              <w:spacing w:after="0"/>
              <w:rPr>
                <w:sz w:val="20"/>
                <w:szCs w:val="20"/>
                <w:color w:val="auto"/>
              </w:rPr>
            </w:pPr>
            <w:r>
              <w:rPr>
                <w:rFonts w:ascii="Arial" w:cs="Arial" w:eastAsia="Arial" w:hAnsi="Arial"/>
                <w:sz w:val="14"/>
                <w:szCs w:val="14"/>
                <w:i w:val="1"/>
                <w:iCs w:val="1"/>
                <w:color w:val="auto"/>
              </w:rPr>
              <w:t>Anatrace Products, LLC</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13.0%/1.3%</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3"/>
              </w:rPr>
              <w:t>6/23/2021</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6,500</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6,483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6,500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Common Equity (360,000 shares) </w:t>
            </w:r>
            <w:r>
              <w:rPr>
                <w:rFonts w:ascii="Arial" w:cs="Arial" w:eastAsia="Arial" w:hAnsi="Arial"/>
                <w:sz w:val="12"/>
                <w:szCs w:val="12"/>
                <w:color w:val="auto"/>
              </w:rPr>
              <w:t>(i)</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259</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50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6,759</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7"/>
        </w:trPr>
        <w:tc>
          <w:tcPr>
            <w:tcW w:w="6480" w:type="dxa"/>
            <w:vAlign w:val="bottom"/>
            <w:gridSpan w:val="3"/>
          </w:tcPr>
          <w:p>
            <w:pPr>
              <w:spacing w:after="0"/>
              <w:rPr>
                <w:sz w:val="20"/>
                <w:szCs w:val="20"/>
                <w:color w:val="auto"/>
              </w:rPr>
            </w:pPr>
            <w:r>
              <w:rPr>
                <w:rFonts w:ascii="Arial" w:cs="Arial" w:eastAsia="Arial" w:hAnsi="Arial"/>
                <w:sz w:val="14"/>
                <w:szCs w:val="14"/>
                <w:i w:val="1"/>
                <w:iCs w:val="1"/>
                <w:color w:val="auto"/>
              </w:rPr>
              <w:t>OMC Investors, LLC</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(dba Ohio Medical Corporation)</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Note</w:t>
            </w:r>
          </w:p>
        </w:tc>
        <w:tc>
          <w:tcPr>
            <w:tcW w:w="760" w:type="dxa"/>
            <w:vAlign w:val="bottom"/>
          </w:tcPr>
          <w:p>
            <w:pPr>
              <w:ind w:left="40"/>
              <w:spacing w:after="0" w:line="149" w:lineRule="exact"/>
              <w:rPr>
                <w:sz w:val="20"/>
                <w:szCs w:val="20"/>
                <w:color w:val="auto"/>
              </w:rPr>
            </w:pPr>
            <w:r>
              <w:rPr>
                <w:rFonts w:ascii="Arial" w:cs="Arial" w:eastAsia="Arial" w:hAnsi="Arial"/>
                <w:sz w:val="14"/>
                <w:szCs w:val="14"/>
                <w:color w:val="auto"/>
                <w:w w:val="92"/>
              </w:rPr>
              <w:t>12.0%/0.0%</w:t>
            </w:r>
          </w:p>
        </w:tc>
        <w:tc>
          <w:tcPr>
            <w:tcW w:w="22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color w:val="auto"/>
                <w:w w:val="93"/>
              </w:rPr>
              <w:t>7/15/2021</w:t>
            </w:r>
          </w:p>
        </w:tc>
        <w:tc>
          <w:tcPr>
            <w:tcW w:w="24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9,917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9,383</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(5,000 shares)</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358</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10,417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9,741</w:t>
            </w:r>
          </w:p>
        </w:tc>
        <w:tc>
          <w:tcPr>
            <w:tcW w:w="2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5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 xml:space="preserve">Pfanstiehl, Inc. </w:t>
            </w:r>
            <w:r>
              <w:rPr>
                <w:rFonts w:ascii="Arial" w:cs="Arial" w:eastAsia="Arial" w:hAnsi="Arial"/>
                <w:sz w:val="12"/>
                <w:szCs w:val="12"/>
                <w:i w:val="1"/>
                <w:iCs w:val="1"/>
                <w:color w:val="auto"/>
              </w:rPr>
              <w:t>(k)</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Note</w:t>
            </w:r>
          </w:p>
        </w:tc>
        <w:tc>
          <w:tcPr>
            <w:tcW w:w="760" w:type="dxa"/>
            <w:vAlign w:val="bottom"/>
          </w:tcPr>
          <w:p>
            <w:pPr>
              <w:ind w:left="40"/>
              <w:spacing w:after="0" w:line="149" w:lineRule="exact"/>
              <w:rPr>
                <w:sz w:val="20"/>
                <w:szCs w:val="20"/>
                <w:color w:val="auto"/>
              </w:rPr>
            </w:pPr>
            <w:r>
              <w:rPr>
                <w:rFonts w:ascii="Arial" w:cs="Arial" w:eastAsia="Arial" w:hAnsi="Arial"/>
                <w:sz w:val="14"/>
                <w:szCs w:val="14"/>
                <w:color w:val="auto"/>
                <w:w w:val="92"/>
              </w:rPr>
              <w:t>10.5%/0.0%</w:t>
            </w:r>
          </w:p>
        </w:tc>
        <w:tc>
          <w:tcPr>
            <w:tcW w:w="22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color w:val="auto"/>
                <w:w w:val="93"/>
              </w:rPr>
              <w:t>9/29/2021</w:t>
            </w:r>
          </w:p>
        </w:tc>
        <w:tc>
          <w:tcPr>
            <w:tcW w:w="24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6,208</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6,189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6,208</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Common Equity (8,500 units) </w:t>
            </w:r>
            <w:r>
              <w:rPr>
                <w:rFonts w:ascii="Arial" w:cs="Arial" w:eastAsia="Arial" w:hAnsi="Arial"/>
                <w:sz w:val="12"/>
                <w:szCs w:val="12"/>
                <w:color w:val="auto"/>
              </w:rPr>
              <w:t>(i)</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13,750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19,958</w:t>
            </w:r>
          </w:p>
        </w:tc>
        <w:tc>
          <w:tcPr>
            <w:tcW w:w="2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5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Six Month Smiles Holdings, Inc.</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60" w:type="dxa"/>
            <w:vAlign w:val="bottom"/>
            <w:gridSpan w:val="2"/>
          </w:tcPr>
          <w:p>
            <w:pPr>
              <w:spacing w:after="0"/>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(i)</w:t>
            </w:r>
          </w:p>
        </w:tc>
        <w:tc>
          <w:tcPr>
            <w:tcW w:w="760" w:type="dxa"/>
            <w:vAlign w:val="bottom"/>
          </w:tcPr>
          <w:p>
            <w:pPr>
              <w:ind w:left="40"/>
              <w:spacing w:after="0"/>
              <w:rPr>
                <w:sz w:val="20"/>
                <w:szCs w:val="20"/>
                <w:color w:val="auto"/>
              </w:rPr>
            </w:pPr>
            <w:r>
              <w:rPr>
                <w:rFonts w:ascii="Arial" w:cs="Arial" w:eastAsia="Arial" w:hAnsi="Arial"/>
                <w:sz w:val="14"/>
                <w:szCs w:val="14"/>
                <w:color w:val="auto"/>
              </w:rPr>
              <w:t>6.0%/8.5%</w:t>
            </w:r>
          </w:p>
        </w:tc>
        <w:tc>
          <w:tcPr>
            <w:tcW w:w="22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Arial" w:cs="Arial" w:eastAsia="Arial" w:hAnsi="Arial"/>
                <w:sz w:val="14"/>
                <w:szCs w:val="14"/>
                <w:color w:val="auto"/>
                <w:w w:val="93"/>
              </w:rPr>
              <w:t>7/31/2020</w:t>
            </w:r>
          </w:p>
        </w:tc>
        <w:tc>
          <w:tcPr>
            <w:tcW w:w="24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8,777</w:t>
            </w:r>
          </w:p>
        </w:tc>
        <w:tc>
          <w:tcPr>
            <w:tcW w:w="8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8,754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8,106</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440" w:type="dxa"/>
            <w:vAlign w:val="bottom"/>
          </w:tcPr>
          <w:p>
            <w:pPr>
              <w:spacing w:after="0"/>
              <w:rPr>
                <w:sz w:val="6"/>
                <w:szCs w:val="6"/>
                <w:color w:val="auto"/>
              </w:rPr>
            </w:pPr>
          </w:p>
        </w:tc>
        <w:tc>
          <w:tcPr>
            <w:tcW w:w="5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Healthcare Services</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 xml:space="preserve">Medsurant Holdings, LLC </w:t>
            </w:r>
            <w:r>
              <w:rPr>
                <w:rFonts w:ascii="Arial" w:cs="Arial" w:eastAsia="Arial" w:hAnsi="Arial"/>
                <w:sz w:val="12"/>
                <w:szCs w:val="12"/>
                <w:i w:val="1"/>
                <w:iCs w:val="1"/>
                <w:color w:val="auto"/>
              </w:rPr>
              <w:t>(k)</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12.3%/0.0%</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3"/>
              </w:rPr>
              <w:t>6/18/2021</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6,267</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6,221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6,267</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Preferred Equity (126,662 units) </w:t>
            </w:r>
            <w:r>
              <w:rPr>
                <w:rFonts w:ascii="Arial" w:cs="Arial" w:eastAsia="Arial" w:hAnsi="Arial"/>
                <w:sz w:val="12"/>
                <w:szCs w:val="12"/>
                <w:color w:val="auto"/>
              </w:rPr>
              <w:t>(g)</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1,346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1,505</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Warrant (505,176 units) </w:t>
            </w:r>
            <w:r>
              <w:rPr>
                <w:rFonts w:ascii="Arial" w:cs="Arial" w:eastAsia="Arial" w:hAnsi="Arial"/>
                <w:sz w:val="12"/>
                <w:szCs w:val="12"/>
                <w:color w:val="auto"/>
              </w:rPr>
              <w:t>(g)(l)</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4,516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5,199</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12,083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12,971</w:t>
            </w:r>
          </w:p>
        </w:tc>
        <w:tc>
          <w:tcPr>
            <w:tcW w:w="24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i w:val="1"/>
                <w:iCs w:val="1"/>
                <w:color w:val="auto"/>
              </w:rPr>
              <w:t xml:space="preserve">Microbiology Research Associates, Inc. </w:t>
            </w:r>
            <w:r>
              <w:rPr>
                <w:rFonts w:ascii="Arial" w:cs="Arial" w:eastAsia="Arial" w:hAnsi="Arial"/>
                <w:sz w:val="12"/>
                <w:szCs w:val="12"/>
                <w:i w:val="1"/>
                <w:iCs w:val="1"/>
                <w:color w:val="auto"/>
              </w:rPr>
              <w:t>(k)</w:t>
            </w:r>
          </w:p>
        </w:tc>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Note</w:t>
            </w:r>
          </w:p>
        </w:tc>
        <w:tc>
          <w:tcPr>
            <w:tcW w:w="760" w:type="dxa"/>
            <w:vAlign w:val="bottom"/>
          </w:tcPr>
          <w:p>
            <w:pPr>
              <w:ind w:left="40"/>
              <w:spacing w:after="0" w:line="149" w:lineRule="exact"/>
              <w:rPr>
                <w:sz w:val="20"/>
                <w:szCs w:val="20"/>
                <w:color w:val="auto"/>
              </w:rPr>
            </w:pPr>
            <w:r>
              <w:rPr>
                <w:rFonts w:ascii="Arial" w:cs="Arial" w:eastAsia="Arial" w:hAnsi="Arial"/>
                <w:sz w:val="14"/>
                <w:szCs w:val="14"/>
                <w:color w:val="auto"/>
                <w:w w:val="92"/>
              </w:rPr>
              <w:t>11.0%/1.5%</w:t>
            </w:r>
          </w:p>
        </w:tc>
        <w:tc>
          <w:tcPr>
            <w:tcW w:w="22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color w:val="auto"/>
                <w:w w:val="93"/>
              </w:rPr>
              <w:t>3/13/2022</w:t>
            </w:r>
          </w:p>
        </w:tc>
        <w:tc>
          <w:tcPr>
            <w:tcW w:w="24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8,538</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8,516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8,538</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Common Equity (1,625,731 units) </w:t>
            </w:r>
            <w:r>
              <w:rPr>
                <w:rFonts w:ascii="Arial" w:cs="Arial" w:eastAsia="Arial" w:hAnsi="Arial"/>
                <w:sz w:val="12"/>
                <w:szCs w:val="12"/>
                <w:color w:val="auto"/>
              </w:rPr>
              <w:t>(i)</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1,939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2,593</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10,455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11,131</w:t>
            </w:r>
          </w:p>
        </w:tc>
        <w:tc>
          <w:tcPr>
            <w:tcW w:w="2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gridSpan w:val="3"/>
          </w:tcPr>
          <w:p>
            <w:pPr>
              <w:spacing w:after="0"/>
              <w:rPr>
                <w:sz w:val="20"/>
                <w:szCs w:val="20"/>
                <w:color w:val="auto"/>
              </w:rPr>
            </w:pPr>
            <w:r>
              <w:rPr>
                <w:rFonts w:ascii="Arial" w:cs="Arial" w:eastAsia="Arial" w:hAnsi="Arial"/>
                <w:sz w:val="14"/>
                <w:szCs w:val="14"/>
                <w:b w:val="1"/>
                <w:bCs w:val="1"/>
                <w:color w:val="auto"/>
              </w:rPr>
              <w:t>Industry</w:t>
            </w: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 xml:space="preserve">Rate </w:t>
            </w:r>
            <w:r>
              <w:rPr>
                <w:rFonts w:ascii="Arial" w:cs="Arial" w:eastAsia="Arial" w:hAnsi="Arial"/>
                <w:sz w:val="12"/>
                <w:szCs w:val="12"/>
                <w:b w:val="1"/>
                <w:bCs w:val="1"/>
                <w:color w:val="auto"/>
                <w:w w:val="96"/>
              </w:rPr>
              <w:t>(d)</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Principal</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9"/>
        </w:trPr>
        <w:tc>
          <w:tcPr>
            <w:tcW w:w="6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2"/>
                <w:szCs w:val="12"/>
                <w:b w:val="1"/>
                <w:bCs w:val="1"/>
                <w:color w:val="auto"/>
              </w:rPr>
              <w:t>(a)(b)</w:t>
            </w:r>
          </w:p>
        </w:tc>
        <w:tc>
          <w:tcPr>
            <w:tcW w:w="1080" w:type="dxa"/>
            <w:vAlign w:val="bottom"/>
            <w:gridSpan w:val="2"/>
            <w:vMerge w:val="continue"/>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3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6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49"/>
        </w:trPr>
        <w:tc>
          <w:tcPr>
            <w:tcW w:w="6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12"/>
                <w:szCs w:val="12"/>
                <w:b w:val="1"/>
                <w:bCs w:val="1"/>
                <w:color w:val="auto"/>
              </w:rPr>
              <w:t>(c)</w:t>
            </w:r>
          </w:p>
        </w:tc>
        <w:tc>
          <w:tcPr>
            <w:tcW w:w="108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7"/>
              </w:rPr>
              <w:t>Cash/PIK</w:t>
            </w:r>
          </w:p>
        </w:tc>
        <w:tc>
          <w:tcPr>
            <w:tcW w:w="7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Amount</w:t>
            </w: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4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20"/>
        </w:trPr>
        <w:tc>
          <w:tcPr>
            <w:tcW w:w="1460" w:type="dxa"/>
            <w:vAlign w:val="bottom"/>
            <w:tcBorders>
              <w:top w:val="single" w:sz="8" w:color="auto"/>
              <w:bottom w:val="single" w:sz="8" w:color="auto"/>
            </w:tcBorders>
            <w:gridSpan w:val="2"/>
            <w:vMerge w:val="restart"/>
          </w:tcPr>
          <w:p>
            <w:pPr>
              <w:spacing w:after="0" w:line="137" w:lineRule="exact"/>
              <w:rPr>
                <w:sz w:val="20"/>
                <w:szCs w:val="20"/>
                <w:color w:val="auto"/>
              </w:rPr>
            </w:pPr>
            <w:r>
              <w:rPr>
                <w:rFonts w:ascii="Arial" w:cs="Arial" w:eastAsia="Arial" w:hAnsi="Arial"/>
                <w:sz w:val="14"/>
                <w:szCs w:val="14"/>
                <w:i w:val="1"/>
                <w:iCs w:val="1"/>
                <w:color w:val="auto"/>
                <w:w w:val="94"/>
              </w:rPr>
              <w:t>Oaktree Medical Centre,</w:t>
            </w:r>
          </w:p>
        </w:tc>
        <w:tc>
          <w:tcPr>
            <w:tcW w:w="4540" w:type="dxa"/>
            <w:vAlign w:val="bottom"/>
            <w:vMerge w:val="restart"/>
          </w:tcPr>
          <w:p>
            <w:pPr>
              <w:spacing w:after="0" w:line="137" w:lineRule="exact"/>
              <w:rPr>
                <w:sz w:val="20"/>
                <w:szCs w:val="20"/>
                <w:color w:val="auto"/>
              </w:rPr>
            </w:pPr>
            <w:r>
              <w:rPr>
                <w:rFonts w:ascii="Arial" w:cs="Arial" w:eastAsia="Arial" w:hAnsi="Arial"/>
                <w:sz w:val="14"/>
                <w:szCs w:val="14"/>
                <w:i w:val="1"/>
                <w:iCs w:val="1"/>
                <w:color w:val="auto"/>
              </w:rPr>
              <w:t>P.C.</w:t>
            </w: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460" w:type="dxa"/>
            <w:vAlign w:val="bottom"/>
            <w:gridSpan w:val="2"/>
            <w:vMerge w:val="continue"/>
          </w:tcPr>
          <w:p>
            <w:pPr>
              <w:spacing w:after="0"/>
              <w:rPr>
                <w:sz w:val="8"/>
                <w:szCs w:val="8"/>
                <w:color w:val="auto"/>
              </w:rPr>
            </w:pPr>
          </w:p>
        </w:tc>
        <w:tc>
          <w:tcPr>
            <w:tcW w:w="45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6000" w:type="dxa"/>
            <w:vAlign w:val="bottom"/>
            <w:gridSpan w:val="3"/>
          </w:tcPr>
          <w:p>
            <w:pPr>
              <w:spacing w:after="0"/>
              <w:rPr>
                <w:sz w:val="20"/>
                <w:szCs w:val="20"/>
                <w:color w:val="auto"/>
              </w:rPr>
            </w:pPr>
            <w:r>
              <w:rPr>
                <w:rFonts w:ascii="Arial" w:cs="Arial" w:eastAsia="Arial" w:hAnsi="Arial"/>
                <w:sz w:val="14"/>
                <w:szCs w:val="14"/>
                <w:i w:val="1"/>
                <w:iCs w:val="1"/>
                <w:color w:val="auto"/>
              </w:rPr>
              <w:t>(dba Pain Management Associates)</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Senior Secured Loan </w:t>
            </w:r>
            <w:r>
              <w:rPr>
                <w:rFonts w:ascii="Arial" w:cs="Arial" w:eastAsia="Arial" w:hAnsi="Arial"/>
                <w:sz w:val="12"/>
                <w:szCs w:val="12"/>
                <w:color w:val="auto"/>
              </w:rPr>
              <w:t>(i)</w:t>
            </w: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11.5%/0.0%</w:t>
            </w: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1/1/2018</w:t>
            </w:r>
          </w:p>
        </w:tc>
        <w:tc>
          <w:tcPr>
            <w:tcW w:w="4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571</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   614</w:t>
            </w:r>
          </w:p>
        </w:tc>
        <w:tc>
          <w:tcPr>
            <w:tcW w:w="3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633</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Senior Secured Loan </w:t>
            </w:r>
            <w:r>
              <w:rPr>
                <w:rFonts w:ascii="Arial" w:cs="Arial" w:eastAsia="Arial" w:hAnsi="Arial"/>
                <w:sz w:val="12"/>
                <w:szCs w:val="12"/>
                <w:color w:val="auto"/>
              </w:rPr>
              <w:t>(i)</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5"/>
              </w:rPr>
              <w:t>7.0%/12.0%</w:t>
            </w:r>
          </w:p>
        </w:tc>
        <w:tc>
          <w:tcPr>
            <w:tcW w:w="32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1/1/2018</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6,078</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6,405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4,663</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Revolving Loan ($2,500 commitment) </w:t>
            </w:r>
            <w:r>
              <w:rPr>
                <w:rFonts w:ascii="Arial" w:cs="Arial" w:eastAsia="Arial" w:hAnsi="Arial"/>
                <w:sz w:val="12"/>
                <w:szCs w:val="12"/>
                <w:color w:val="auto"/>
              </w:rPr>
              <w:t>(i)</w:t>
            </w: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11.5%/0.0%</w:t>
            </w: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1/1/2018</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2,500</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2,526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2,768</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9,545</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8,064</w:t>
            </w:r>
          </w:p>
        </w:tc>
        <w:tc>
          <w:tcPr>
            <w:tcW w:w="3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45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United Biologics, LLC</w:t>
            </w: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Note</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5"/>
              </w:rPr>
              <w:t>12.0%/2.0%</w:t>
            </w:r>
          </w:p>
        </w:tc>
        <w:tc>
          <w:tcPr>
            <w:tcW w:w="32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4/30/2018</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8,698</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8,659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8,698</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Preferred Equity (98,377 units) </w:t>
            </w:r>
            <w:r>
              <w:rPr>
                <w:rFonts w:ascii="Arial" w:cs="Arial" w:eastAsia="Arial" w:hAnsi="Arial"/>
                <w:sz w:val="12"/>
                <w:szCs w:val="12"/>
                <w:color w:val="auto"/>
              </w:rPr>
              <w:t>(g)(i)</w:t>
            </w: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1,069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729</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Warrant (57,469 units) </w:t>
            </w:r>
            <w:r>
              <w:rPr>
                <w:rFonts w:ascii="Arial" w:cs="Arial" w:eastAsia="Arial" w:hAnsi="Arial"/>
                <w:sz w:val="12"/>
                <w:szCs w:val="12"/>
                <w:color w:val="auto"/>
              </w:rPr>
              <w:t>(l)</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191</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5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10,294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9,618</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Industrial Cleaning &amp; Coatings</w:t>
            </w: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i w:val="1"/>
                <w:iCs w:val="1"/>
                <w:color w:val="auto"/>
              </w:rPr>
              <w:t>K2 Industrial Services, Inc.</w:t>
            </w:r>
          </w:p>
        </w:tc>
        <w:tc>
          <w:tcPr>
            <w:tcW w:w="7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Arial" w:cs="Arial" w:eastAsia="Arial" w:hAnsi="Arial"/>
                <w:sz w:val="14"/>
                <w:szCs w:val="14"/>
                <w:color w:val="auto"/>
              </w:rPr>
              <w:t>Tranche A Loan</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5"/>
              </w:rPr>
              <w:t>11.8%/2.5%</w:t>
            </w:r>
          </w:p>
        </w:tc>
        <w:tc>
          <w:tcPr>
            <w:tcW w:w="32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4/25/2022</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10,047</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10,005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10,005</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Tranche B Loan</w:t>
            </w: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11.8%/7.3%</w:t>
            </w: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4/25/2022</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2,027</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2,019</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Arial" w:cs="Arial" w:eastAsia="Arial" w:hAnsi="Arial"/>
                <w:sz w:val="14"/>
                <w:szCs w:val="14"/>
                <w:color w:val="auto"/>
              </w:rPr>
              <w:t>Common Equity (1,673 shares)</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1,268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553</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5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13,292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12,577</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7"/>
        </w:trPr>
        <w:tc>
          <w:tcPr>
            <w:tcW w:w="6000" w:type="dxa"/>
            <w:vAlign w:val="bottom"/>
            <w:gridSpan w:val="3"/>
          </w:tcPr>
          <w:p>
            <w:pPr>
              <w:spacing w:after="0"/>
              <w:rPr>
                <w:sz w:val="20"/>
                <w:szCs w:val="20"/>
                <w:color w:val="auto"/>
              </w:rPr>
            </w:pPr>
            <w:r>
              <w:rPr>
                <w:rFonts w:ascii="Arial" w:cs="Arial" w:eastAsia="Arial" w:hAnsi="Arial"/>
                <w:sz w:val="14"/>
                <w:szCs w:val="14"/>
                <w:b w:val="1"/>
                <w:bCs w:val="1"/>
                <w:color w:val="auto"/>
              </w:rPr>
              <w:t>Information Technology Services</w:t>
            </w: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FTH Acquisition Corp. VII</w:t>
            </w: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Note</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5"/>
              </w:rPr>
              <w:t>13.0%/0.0%</w:t>
            </w:r>
          </w:p>
        </w:tc>
        <w:tc>
          <w:tcPr>
            <w:tcW w:w="32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3/9/2017</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8,178</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8,178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7,937</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Equity (887,122 shares)</w:t>
            </w: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887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444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9,065</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8,381</w:t>
            </w:r>
          </w:p>
        </w:tc>
        <w:tc>
          <w:tcPr>
            <w:tcW w:w="3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45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inthinc Technology Solutions, Inc.</w:t>
            </w: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Arial" w:cs="Arial" w:eastAsia="Arial" w:hAnsi="Arial"/>
                <w:sz w:val="14"/>
                <w:szCs w:val="14"/>
                <w:color w:val="auto"/>
              </w:rPr>
              <w:t>Subordinate Note ($5,000 commitment)</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5"/>
              </w:rPr>
              <w:t>12.5%/0.0%</w:t>
            </w:r>
          </w:p>
        </w:tc>
        <w:tc>
          <w:tcPr>
            <w:tcW w:w="32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4/24/2020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4,000</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3,984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4,000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0.0%/12.5%</w:t>
            </w: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4/24/2020</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1,178</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1,039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1,141</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Arial" w:cs="Arial" w:eastAsia="Arial" w:hAnsi="Arial"/>
                <w:sz w:val="14"/>
                <w:szCs w:val="14"/>
                <w:color w:val="auto"/>
              </w:rPr>
              <w:t>Royalty Rights</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4/24/2020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5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5,208</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5,141</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7"/>
        </w:trPr>
        <w:tc>
          <w:tcPr>
            <w:tcW w:w="6000" w:type="dxa"/>
            <w:vAlign w:val="bottom"/>
            <w:gridSpan w:val="3"/>
          </w:tcPr>
          <w:p>
            <w:pPr>
              <w:spacing w:after="0"/>
              <w:rPr>
                <w:sz w:val="20"/>
                <w:szCs w:val="20"/>
                <w:color w:val="auto"/>
              </w:rPr>
            </w:pPr>
            <w:r>
              <w:rPr>
                <w:rFonts w:ascii="Arial" w:cs="Arial" w:eastAsia="Arial" w:hAnsi="Arial"/>
                <w:sz w:val="14"/>
                <w:szCs w:val="14"/>
                <w:i w:val="1"/>
                <w:iCs w:val="1"/>
                <w:color w:val="auto"/>
              </w:rPr>
              <w:t>Software Technology, LLC</w:t>
            </w: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11.0%/0.0%</w:t>
            </w: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6/23/2023</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8,750</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8,706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8,706</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Arial" w:cs="Arial" w:eastAsia="Arial" w:hAnsi="Arial"/>
                <w:sz w:val="14"/>
                <w:szCs w:val="14"/>
                <w:color w:val="auto"/>
              </w:rPr>
              <w:t>Common Equity (11 units)</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1,125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1,125</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5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9,831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9,831</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7"/>
        </w:trPr>
        <w:tc>
          <w:tcPr>
            <w:tcW w:w="6000" w:type="dxa"/>
            <w:vAlign w:val="bottom"/>
            <w:gridSpan w:val="3"/>
          </w:tcPr>
          <w:p>
            <w:pPr>
              <w:spacing w:after="0"/>
              <w:rPr>
                <w:sz w:val="20"/>
                <w:szCs w:val="20"/>
                <w:color w:val="auto"/>
              </w:rPr>
            </w:pPr>
            <w:r>
              <w:rPr>
                <w:rFonts w:ascii="Arial" w:cs="Arial" w:eastAsia="Arial" w:hAnsi="Arial"/>
                <w:sz w:val="14"/>
                <w:szCs w:val="14"/>
                <w:b w:val="1"/>
                <w:bCs w:val="1"/>
                <w:color w:val="auto"/>
              </w:rPr>
              <w:t>Laundry Services</w:t>
            </w: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Caldwell &amp; Gregory, LLC</w:t>
            </w: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Note</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5"/>
              </w:rPr>
              <w:t>11.5%/1.0%</w:t>
            </w:r>
          </w:p>
        </w:tc>
        <w:tc>
          <w:tcPr>
            <w:tcW w:w="32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w w:val="91"/>
              </w:rPr>
              <w:t>11/30/2018</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1,555</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1,545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1,555</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0.0%/12.0%</w:t>
            </w: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5/31/2019</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4,583</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4,460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4,583</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Common Equity (500,000 units) </w:t>
            </w:r>
            <w:r>
              <w:rPr>
                <w:rFonts w:ascii="Arial" w:cs="Arial" w:eastAsia="Arial" w:hAnsi="Arial"/>
                <w:sz w:val="12"/>
                <w:szCs w:val="12"/>
                <w:color w:val="auto"/>
              </w:rPr>
              <w:t>(g)</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650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Warrant (242,121 units) </w:t>
            </w:r>
            <w:r>
              <w:rPr>
                <w:rFonts w:ascii="Arial" w:cs="Arial" w:eastAsia="Arial" w:hAnsi="Arial"/>
                <w:sz w:val="12"/>
                <w:szCs w:val="12"/>
                <w:color w:val="auto"/>
              </w:rPr>
              <w:t>(g)(l)</w:t>
            </w: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315</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6,747</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7,103</w:t>
            </w:r>
          </w:p>
        </w:tc>
        <w:tc>
          <w:tcPr>
            <w:tcW w:w="3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45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Oil &amp; Gas Distribution</w:t>
            </w: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LNG Indy, LLC</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(dba Kinetrex Energy)</w:t>
            </w: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5"/>
              </w:rPr>
              <w:t>11.5%/0.0%</w:t>
            </w:r>
          </w:p>
        </w:tc>
        <w:tc>
          <w:tcPr>
            <w:tcW w:w="32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9/28/2021</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5,000</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4,975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4,975</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(1,000 units)</w:t>
            </w: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1,000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5,975</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5,975</w:t>
            </w:r>
          </w:p>
        </w:tc>
        <w:tc>
          <w:tcPr>
            <w:tcW w:w="3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0" w:type="dxa"/>
            <w:vAlign w:val="bottom"/>
            <w:gridSpan w:val="3"/>
          </w:tcPr>
          <w:p>
            <w:pPr>
              <w:spacing w:after="0"/>
              <w:rPr>
                <w:sz w:val="20"/>
                <w:szCs w:val="20"/>
                <w:color w:val="auto"/>
              </w:rPr>
            </w:pPr>
            <w:r>
              <w:rPr>
                <w:rFonts w:ascii="Arial" w:cs="Arial" w:eastAsia="Arial" w:hAnsi="Arial"/>
                <w:sz w:val="14"/>
                <w:szCs w:val="14"/>
                <w:b w:val="1"/>
                <w:bCs w:val="1"/>
                <w:color w:val="auto"/>
              </w:rPr>
              <w:t>Industry</w:t>
            </w:r>
          </w:p>
        </w:tc>
        <w:tc>
          <w:tcPr>
            <w:tcW w:w="1760" w:type="dxa"/>
            <w:vAlign w:val="bottom"/>
          </w:tcPr>
          <w:p>
            <w:pPr>
              <w:spacing w:after="0"/>
              <w:rPr>
                <w:sz w:val="16"/>
                <w:szCs w:val="16"/>
                <w:color w:val="auto"/>
              </w:rPr>
            </w:pPr>
          </w:p>
        </w:tc>
        <w:tc>
          <w:tcPr>
            <w:tcW w:w="13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 xml:space="preserve">Rate </w:t>
            </w:r>
            <w:r>
              <w:rPr>
                <w:rFonts w:ascii="Arial" w:cs="Arial" w:eastAsia="Arial" w:hAnsi="Arial"/>
                <w:sz w:val="12"/>
                <w:szCs w:val="12"/>
                <w:b w:val="1"/>
                <w:bCs w:val="1"/>
                <w:color w:val="auto"/>
                <w:w w:val="96"/>
              </w:rPr>
              <w:t>(d)</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7"/>
              </w:rPr>
              <w:t>Principal</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9"/>
        </w:trPr>
        <w:tc>
          <w:tcPr>
            <w:tcW w:w="4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2"/>
                <w:szCs w:val="12"/>
                <w:b w:val="1"/>
                <w:bCs w:val="1"/>
                <w:color w:val="auto"/>
              </w:rPr>
              <w:t>(a)(b)</w:t>
            </w:r>
          </w:p>
        </w:tc>
        <w:tc>
          <w:tcPr>
            <w:tcW w:w="17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Maturity</w:t>
            </w:r>
          </w:p>
        </w:tc>
        <w:tc>
          <w:tcPr>
            <w:tcW w:w="900" w:type="dxa"/>
            <w:vAlign w:val="bottom"/>
            <w:gridSpan w:val="3"/>
            <w:vMerge w:val="continue"/>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49"/>
        </w:trPr>
        <w:tc>
          <w:tcPr>
            <w:tcW w:w="44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12"/>
                <w:szCs w:val="12"/>
                <w:b w:val="1"/>
                <w:bCs w:val="1"/>
                <w:color w:val="auto"/>
              </w:rPr>
              <w:t>(c)</w:t>
            </w:r>
          </w:p>
        </w:tc>
        <w:tc>
          <w:tcPr>
            <w:tcW w:w="1760" w:type="dxa"/>
            <w:vAlign w:val="bottom"/>
          </w:tcPr>
          <w:p>
            <w:pPr>
              <w:spacing w:after="0"/>
              <w:rPr>
                <w:sz w:val="12"/>
                <w:szCs w:val="12"/>
                <w:color w:val="auto"/>
              </w:rPr>
            </w:pPr>
          </w:p>
        </w:tc>
        <w:tc>
          <w:tcPr>
            <w:tcW w:w="138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7"/>
              </w:rPr>
              <w:t>Cash/PIK</w:t>
            </w:r>
          </w:p>
        </w:tc>
        <w:tc>
          <w:tcPr>
            <w:tcW w:w="800" w:type="dxa"/>
            <w:vAlign w:val="bottom"/>
            <w:gridSpan w:val="2"/>
            <w:vMerge w:val="continue"/>
          </w:tcPr>
          <w:p>
            <w:pPr>
              <w:spacing w:after="0"/>
              <w:rPr>
                <w:sz w:val="12"/>
                <w:szCs w:val="12"/>
                <w:color w:val="auto"/>
              </w:rPr>
            </w:pPr>
          </w:p>
        </w:tc>
        <w:tc>
          <w:tcPr>
            <w:tcW w:w="900" w:type="dxa"/>
            <w:vAlign w:val="bottom"/>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94"/>
              </w:rPr>
              <w:t>Amount</w:t>
            </w:r>
          </w:p>
        </w:tc>
        <w:tc>
          <w:tcPr>
            <w:tcW w:w="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4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20"/>
        </w:trPr>
        <w:tc>
          <w:tcPr>
            <w:tcW w:w="1460" w:type="dxa"/>
            <w:vAlign w:val="bottom"/>
            <w:tcBorders>
              <w:top w:val="single" w:sz="8" w:color="auto"/>
              <w:bottom w:val="single" w:sz="8" w:color="auto"/>
            </w:tcBorders>
            <w:gridSpan w:val="2"/>
            <w:vMerge w:val="restart"/>
          </w:tcPr>
          <w:p>
            <w:pPr>
              <w:spacing w:after="0" w:line="155" w:lineRule="exact"/>
              <w:rPr>
                <w:sz w:val="20"/>
                <w:szCs w:val="20"/>
                <w:color w:val="auto"/>
              </w:rPr>
            </w:pPr>
            <w:r>
              <w:rPr>
                <w:rFonts w:ascii="Arial" w:cs="Arial" w:eastAsia="Arial" w:hAnsi="Arial"/>
                <w:sz w:val="14"/>
                <w:szCs w:val="14"/>
                <w:b w:val="1"/>
                <w:bCs w:val="1"/>
                <w:color w:val="auto"/>
              </w:rPr>
              <w:t>Oil &amp; Gas Services</w:t>
            </w:r>
          </w:p>
        </w:tc>
        <w:tc>
          <w:tcPr>
            <w:tcW w:w="2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460" w:type="dxa"/>
            <w:vAlign w:val="bottom"/>
            <w:gridSpan w:val="2"/>
            <w:vMerge w:val="continue"/>
          </w:tcPr>
          <w:p>
            <w:pPr>
              <w:spacing w:after="0"/>
              <w:rPr>
                <w:sz w:val="10"/>
                <w:szCs w:val="10"/>
                <w:color w:val="auto"/>
              </w:rPr>
            </w:pPr>
          </w:p>
        </w:tc>
        <w:tc>
          <w:tcPr>
            <w:tcW w:w="29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 xml:space="preserve">IOS Acquisitions, Inc. </w:t>
            </w:r>
            <w:r>
              <w:rPr>
                <w:rFonts w:ascii="Arial" w:cs="Arial" w:eastAsia="Arial" w:hAnsi="Arial"/>
                <w:sz w:val="12"/>
                <w:szCs w:val="12"/>
                <w:i w:val="1"/>
                <w:iCs w:val="1"/>
                <w:color w:val="auto"/>
              </w:rPr>
              <w:t>(m)</w:t>
            </w:r>
          </w:p>
        </w:tc>
        <w:tc>
          <w:tcPr>
            <w:tcW w:w="17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 xml:space="preserve">Common Equity (2,152 units) </w:t>
            </w:r>
            <w:r>
              <w:rPr>
                <w:rFonts w:ascii="Arial" w:cs="Arial" w:eastAsia="Arial" w:hAnsi="Arial"/>
                <w:sz w:val="12"/>
                <w:szCs w:val="12"/>
                <w:color w:val="auto"/>
              </w:rPr>
              <w:t>(i)</w:t>
            </w:r>
          </w:p>
        </w:tc>
        <w:tc>
          <w:tcPr>
            <w:tcW w:w="1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103</w:t>
            </w:r>
          </w:p>
        </w:tc>
        <w:tc>
          <w:tcPr>
            <w:tcW w:w="2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17</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440" w:type="dxa"/>
            <w:vAlign w:val="bottom"/>
          </w:tcPr>
          <w:p>
            <w:pPr>
              <w:spacing w:after="0"/>
              <w:rPr>
                <w:sz w:val="6"/>
                <w:szCs w:val="6"/>
                <w:color w:val="auto"/>
              </w:rPr>
            </w:pPr>
          </w:p>
        </w:tc>
        <w:tc>
          <w:tcPr>
            <w:tcW w:w="29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 xml:space="preserve">Pinnergy, Ltd. </w:t>
            </w:r>
            <w:r>
              <w:rPr>
                <w:rFonts w:ascii="Arial" w:cs="Arial" w:eastAsia="Arial" w:hAnsi="Arial"/>
                <w:sz w:val="12"/>
                <w:szCs w:val="12"/>
                <w:i w:val="1"/>
                <w:iCs w:val="1"/>
                <w:color w:val="auto"/>
              </w:rPr>
              <w:t>(k)</w:t>
            </w:r>
          </w:p>
        </w:tc>
        <w:tc>
          <w:tcPr>
            <w:tcW w:w="17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2940" w:type="dxa"/>
            <w:vAlign w:val="bottom"/>
            <w:gridSpan w:val="2"/>
          </w:tcPr>
          <w:p>
            <w:pPr>
              <w:jc w:val="right"/>
              <w:ind w:right="388"/>
              <w:spacing w:after="0" w:line="149" w:lineRule="exact"/>
              <w:rPr>
                <w:sz w:val="20"/>
                <w:szCs w:val="20"/>
                <w:color w:val="auto"/>
              </w:rPr>
            </w:pPr>
            <w:r>
              <w:rPr>
                <w:rFonts w:ascii="Arial" w:cs="Arial" w:eastAsia="Arial" w:hAnsi="Arial"/>
                <w:sz w:val="14"/>
                <w:szCs w:val="14"/>
                <w:color w:val="auto"/>
              </w:rPr>
              <w:t>0.0%/10.0%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9"/>
              </w:rPr>
              <w:t>1/24/2020</w:t>
            </w:r>
          </w:p>
        </w:tc>
        <w:tc>
          <w:tcPr>
            <w:tcW w:w="2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   8,414</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8,394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8,414</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Common Equity - Class A-2 (42,500 units) </w:t>
            </w:r>
            <w:r>
              <w:rPr>
                <w:rFonts w:ascii="Arial" w:cs="Arial" w:eastAsia="Arial" w:hAnsi="Arial"/>
                <w:sz w:val="12"/>
                <w:szCs w:val="12"/>
                <w:color w:val="auto"/>
              </w:rPr>
              <w:t>(j)</w:t>
            </w:r>
          </w:p>
        </w:tc>
        <w:tc>
          <w:tcPr>
            <w:tcW w:w="17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3,000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Common Equity - Class B (1,000 units) </w:t>
            </w:r>
            <w:r>
              <w:rPr>
                <w:rFonts w:ascii="Arial" w:cs="Arial" w:eastAsia="Arial" w:hAnsi="Arial"/>
                <w:sz w:val="12"/>
                <w:szCs w:val="12"/>
                <w:color w:val="auto"/>
              </w:rPr>
              <w:t>(j)</w:t>
            </w:r>
          </w:p>
        </w:tc>
        <w:tc>
          <w:tcPr>
            <w:tcW w:w="1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3,000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14,394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14,414</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7"/>
        </w:trPr>
        <w:tc>
          <w:tcPr>
            <w:tcW w:w="4400" w:type="dxa"/>
            <w:vAlign w:val="bottom"/>
            <w:gridSpan w:val="3"/>
          </w:tcPr>
          <w:p>
            <w:pPr>
              <w:spacing w:after="0"/>
              <w:rPr>
                <w:sz w:val="20"/>
                <w:szCs w:val="20"/>
                <w:color w:val="auto"/>
              </w:rPr>
            </w:pPr>
            <w:r>
              <w:rPr>
                <w:rFonts w:ascii="Arial" w:cs="Arial" w:eastAsia="Arial" w:hAnsi="Arial"/>
                <w:sz w:val="14"/>
                <w:szCs w:val="14"/>
                <w:b w:val="1"/>
                <w:bCs w:val="1"/>
                <w:color w:val="auto"/>
              </w:rPr>
              <w:t>Packaging</w:t>
            </w:r>
          </w:p>
        </w:tc>
        <w:tc>
          <w:tcPr>
            <w:tcW w:w="1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Rohrer Corporation</w:t>
            </w:r>
          </w:p>
        </w:tc>
        <w:tc>
          <w:tcPr>
            <w:tcW w:w="17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2940" w:type="dxa"/>
            <w:vAlign w:val="bottom"/>
            <w:gridSpan w:val="2"/>
          </w:tcPr>
          <w:p>
            <w:pPr>
              <w:jc w:val="right"/>
              <w:ind w:right="388"/>
              <w:spacing w:after="0" w:line="149" w:lineRule="exact"/>
              <w:rPr>
                <w:sz w:val="20"/>
                <w:szCs w:val="20"/>
                <w:color w:val="auto"/>
              </w:rPr>
            </w:pPr>
            <w:r>
              <w:rPr>
                <w:rFonts w:ascii="Arial" w:cs="Arial" w:eastAsia="Arial" w:hAnsi="Arial"/>
                <w:sz w:val="14"/>
                <w:szCs w:val="14"/>
                <w:color w:val="auto"/>
              </w:rPr>
              <w:t>11.0%/1.5%</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9"/>
              </w:rPr>
              <w:t>1/18/2022</w:t>
            </w:r>
          </w:p>
        </w:tc>
        <w:tc>
          <w:tcPr>
            <w:tcW w:w="2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16,614</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16,539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16,539</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(389 shares)</w:t>
            </w:r>
          </w:p>
        </w:tc>
        <w:tc>
          <w:tcPr>
            <w:tcW w:w="17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17,289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17,289</w:t>
            </w:r>
          </w:p>
        </w:tc>
        <w:tc>
          <w:tcPr>
            <w:tcW w:w="2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29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Printing Services</w:t>
            </w:r>
          </w:p>
        </w:tc>
        <w:tc>
          <w:tcPr>
            <w:tcW w:w="17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Brook &amp; Whittle Limited</w:t>
            </w:r>
          </w:p>
        </w:tc>
        <w:tc>
          <w:tcPr>
            <w:tcW w:w="1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2940" w:type="dxa"/>
            <w:vAlign w:val="bottom"/>
            <w:gridSpan w:val="2"/>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12.0%/4.8%</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6/30/2017</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8,031</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8,031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8,198</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Note</w:t>
            </w:r>
          </w:p>
        </w:tc>
        <w:tc>
          <w:tcPr>
            <w:tcW w:w="2940" w:type="dxa"/>
            <w:vAlign w:val="bottom"/>
            <w:gridSpan w:val="2"/>
          </w:tcPr>
          <w:p>
            <w:pPr>
              <w:jc w:val="right"/>
              <w:ind w:right="388"/>
              <w:spacing w:after="0" w:line="149" w:lineRule="exact"/>
              <w:rPr>
                <w:sz w:val="20"/>
                <w:szCs w:val="20"/>
                <w:color w:val="auto"/>
              </w:rPr>
            </w:pPr>
            <w:r>
              <w:rPr>
                <w:rFonts w:ascii="Arial" w:cs="Arial" w:eastAsia="Arial" w:hAnsi="Arial"/>
                <w:sz w:val="14"/>
                <w:szCs w:val="14"/>
                <w:color w:val="auto"/>
              </w:rPr>
              <w:t>12.0%/2.0%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9"/>
              </w:rPr>
              <w:t>6/30/2017</w:t>
            </w:r>
          </w:p>
        </w:tc>
        <w:tc>
          <w:tcPr>
            <w:tcW w:w="2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2,342</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2,342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2,342</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Warrant (1,051 shares) </w:t>
            </w:r>
            <w:r>
              <w:rPr>
                <w:rFonts w:ascii="Arial" w:cs="Arial" w:eastAsia="Arial" w:hAnsi="Arial"/>
                <w:sz w:val="12"/>
                <w:szCs w:val="12"/>
                <w:color w:val="auto"/>
              </w:rPr>
              <w:t>(l)</w:t>
            </w:r>
          </w:p>
        </w:tc>
        <w:tc>
          <w:tcPr>
            <w:tcW w:w="17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263</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Common Equity - Series A (148 shares)</w:t>
            </w:r>
          </w:p>
        </w:tc>
        <w:tc>
          <w:tcPr>
            <w:tcW w:w="1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 Series D (527 shares)</w:t>
            </w:r>
          </w:p>
        </w:tc>
        <w:tc>
          <w:tcPr>
            <w:tcW w:w="17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125</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10,820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10,965</w:t>
            </w:r>
          </w:p>
        </w:tc>
        <w:tc>
          <w:tcPr>
            <w:tcW w:w="2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29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Promotional Products</w:t>
            </w:r>
          </w:p>
        </w:tc>
        <w:tc>
          <w:tcPr>
            <w:tcW w:w="17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Hub Acquisition Sub, LLC</w:t>
            </w:r>
          </w:p>
        </w:tc>
        <w:tc>
          <w:tcPr>
            <w:tcW w:w="1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(dba Hub Pen)</w:t>
            </w:r>
          </w:p>
        </w:tc>
        <w:tc>
          <w:tcPr>
            <w:tcW w:w="17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2940" w:type="dxa"/>
            <w:vAlign w:val="bottom"/>
            <w:gridSpan w:val="2"/>
          </w:tcPr>
          <w:p>
            <w:pPr>
              <w:jc w:val="right"/>
              <w:ind w:right="388"/>
              <w:spacing w:after="0" w:line="149" w:lineRule="exact"/>
              <w:rPr>
                <w:sz w:val="20"/>
                <w:szCs w:val="20"/>
                <w:color w:val="auto"/>
              </w:rPr>
            </w:pPr>
            <w:r>
              <w:rPr>
                <w:rFonts w:ascii="Arial" w:cs="Arial" w:eastAsia="Arial" w:hAnsi="Arial"/>
                <w:sz w:val="14"/>
                <w:szCs w:val="14"/>
                <w:color w:val="auto"/>
              </w:rPr>
              <w:t>12.3%/0.0%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9"/>
              </w:rPr>
              <w:t>9/23/2021</w:t>
            </w:r>
          </w:p>
        </w:tc>
        <w:tc>
          <w:tcPr>
            <w:tcW w:w="2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11,350</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11,301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11,350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(7,500 units)</w:t>
            </w:r>
          </w:p>
        </w:tc>
        <w:tc>
          <w:tcPr>
            <w:tcW w:w="17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1,010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12,051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12,360</w:t>
            </w:r>
          </w:p>
        </w:tc>
        <w:tc>
          <w:tcPr>
            <w:tcW w:w="2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29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Restaurants</w:t>
            </w:r>
          </w:p>
        </w:tc>
        <w:tc>
          <w:tcPr>
            <w:tcW w:w="17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 xml:space="preserve">ACFP Management, Inc. </w:t>
            </w:r>
            <w:r>
              <w:rPr>
                <w:rFonts w:ascii="Arial" w:cs="Arial" w:eastAsia="Arial" w:hAnsi="Arial"/>
                <w:sz w:val="12"/>
                <w:szCs w:val="12"/>
                <w:i w:val="1"/>
                <w:iCs w:val="1"/>
                <w:color w:val="auto"/>
              </w:rPr>
              <w:t>(m)</w:t>
            </w:r>
          </w:p>
        </w:tc>
        <w:tc>
          <w:tcPr>
            <w:tcW w:w="1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Common Equity (1,000,000 units) </w:t>
            </w:r>
            <w:r>
              <w:rPr>
                <w:rFonts w:ascii="Arial" w:cs="Arial" w:eastAsia="Arial" w:hAnsi="Arial"/>
                <w:sz w:val="12"/>
                <w:szCs w:val="12"/>
                <w:color w:val="auto"/>
              </w:rPr>
              <w:t>(i)</w:t>
            </w:r>
          </w:p>
        </w:tc>
        <w:tc>
          <w:tcPr>
            <w:tcW w:w="17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7"/>
        </w:trPr>
        <w:tc>
          <w:tcPr>
            <w:tcW w:w="4400" w:type="dxa"/>
            <w:vAlign w:val="bottom"/>
            <w:gridSpan w:val="3"/>
          </w:tcPr>
          <w:p>
            <w:pPr>
              <w:spacing w:after="0"/>
              <w:rPr>
                <w:sz w:val="20"/>
                <w:szCs w:val="20"/>
                <w:color w:val="auto"/>
              </w:rPr>
            </w:pPr>
            <w:r>
              <w:rPr>
                <w:rFonts w:ascii="Arial" w:cs="Arial" w:eastAsia="Arial" w:hAnsi="Arial"/>
                <w:sz w:val="14"/>
                <w:szCs w:val="14"/>
                <w:i w:val="1"/>
                <w:iCs w:val="1"/>
                <w:color w:val="auto"/>
              </w:rPr>
              <w:t>Cardboard Box LLC</w:t>
            </w:r>
          </w:p>
        </w:tc>
        <w:tc>
          <w:tcPr>
            <w:tcW w:w="1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(dba Anthony’s Coal Fired Pizza)</w:t>
            </w:r>
          </w:p>
        </w:tc>
        <w:tc>
          <w:tcPr>
            <w:tcW w:w="17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 xml:space="preserve">Common Equity (521,021 units) </w:t>
            </w:r>
            <w:r>
              <w:rPr>
                <w:rFonts w:ascii="Arial" w:cs="Arial" w:eastAsia="Arial" w:hAnsi="Arial"/>
                <w:sz w:val="12"/>
                <w:szCs w:val="12"/>
                <w:color w:val="auto"/>
              </w:rPr>
              <w:t>(i)</w:t>
            </w:r>
          </w:p>
        </w:tc>
        <w:tc>
          <w:tcPr>
            <w:tcW w:w="1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520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240</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440" w:type="dxa"/>
            <w:vAlign w:val="bottom"/>
          </w:tcPr>
          <w:p>
            <w:pPr>
              <w:spacing w:after="0"/>
              <w:rPr>
                <w:sz w:val="6"/>
                <w:szCs w:val="6"/>
                <w:color w:val="auto"/>
              </w:rPr>
            </w:pPr>
          </w:p>
        </w:tc>
        <w:tc>
          <w:tcPr>
            <w:tcW w:w="29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Restaurant Finance Co, LLC</w:t>
            </w:r>
          </w:p>
        </w:tc>
        <w:tc>
          <w:tcPr>
            <w:tcW w:w="17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 xml:space="preserve">Senior Secured Loan </w:t>
            </w:r>
            <w:r>
              <w:rPr>
                <w:rFonts w:ascii="Arial" w:cs="Arial" w:eastAsia="Arial" w:hAnsi="Arial"/>
                <w:sz w:val="12"/>
                <w:szCs w:val="12"/>
                <w:color w:val="auto"/>
              </w:rPr>
              <w:t>(j)</w:t>
            </w:r>
          </w:p>
        </w:tc>
        <w:tc>
          <w:tcPr>
            <w:tcW w:w="2940" w:type="dxa"/>
            <w:vAlign w:val="bottom"/>
            <w:gridSpan w:val="2"/>
          </w:tcPr>
          <w:p>
            <w:pPr>
              <w:jc w:val="right"/>
              <w:ind w:right="388"/>
              <w:spacing w:after="0"/>
              <w:rPr>
                <w:sz w:val="20"/>
                <w:szCs w:val="20"/>
                <w:color w:val="auto"/>
              </w:rPr>
            </w:pPr>
            <w:r>
              <w:rPr>
                <w:rFonts w:ascii="Arial" w:cs="Arial" w:eastAsia="Arial" w:hAnsi="Arial"/>
                <w:sz w:val="14"/>
                <w:szCs w:val="14"/>
                <w:color w:val="auto"/>
              </w:rPr>
              <w:t>12.0%/4.0%</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9"/>
              </w:rPr>
              <w:t>7/31/2020</w:t>
            </w:r>
          </w:p>
        </w:tc>
        <w:tc>
          <w:tcPr>
            <w:tcW w:w="2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9,154</w:t>
            </w:r>
          </w:p>
        </w:tc>
        <w:tc>
          <w:tcPr>
            <w:tcW w:w="8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9,126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7,377</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440" w:type="dxa"/>
            <w:vAlign w:val="bottom"/>
          </w:tcPr>
          <w:p>
            <w:pPr>
              <w:spacing w:after="0"/>
              <w:rPr>
                <w:sz w:val="6"/>
                <w:szCs w:val="6"/>
                <w:color w:val="auto"/>
              </w:rPr>
            </w:pPr>
          </w:p>
        </w:tc>
        <w:tc>
          <w:tcPr>
            <w:tcW w:w="29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Retail</w:t>
            </w:r>
          </w:p>
        </w:tc>
        <w:tc>
          <w:tcPr>
            <w:tcW w:w="17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EBL, LLC (EbLens)</w:t>
            </w:r>
          </w:p>
        </w:tc>
        <w:tc>
          <w:tcPr>
            <w:tcW w:w="1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Common Equity (750,000 units) </w:t>
            </w:r>
            <w:r>
              <w:rPr>
                <w:rFonts w:ascii="Arial" w:cs="Arial" w:eastAsia="Arial" w:hAnsi="Arial"/>
                <w:sz w:val="12"/>
                <w:szCs w:val="12"/>
                <w:color w:val="auto"/>
              </w:rPr>
              <w:t>(g)(i)</w:t>
            </w:r>
          </w:p>
        </w:tc>
        <w:tc>
          <w:tcPr>
            <w:tcW w:w="17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2,044</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40" w:type="dxa"/>
            <w:vAlign w:val="bottom"/>
            <w:gridSpan w:val="3"/>
          </w:tcPr>
          <w:p>
            <w:pPr>
              <w:spacing w:after="0"/>
              <w:rPr>
                <w:sz w:val="20"/>
                <w:szCs w:val="20"/>
                <w:color w:val="auto"/>
              </w:rPr>
            </w:pPr>
            <w:r>
              <w:rPr>
                <w:rFonts w:ascii="Arial" w:cs="Arial" w:eastAsia="Arial" w:hAnsi="Arial"/>
                <w:sz w:val="14"/>
                <w:szCs w:val="14"/>
                <w:b w:val="1"/>
                <w:bCs w:val="1"/>
                <w:color w:val="auto"/>
              </w:rPr>
              <w:t>Industry</w:t>
            </w: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 xml:space="preserve">Rate </w:t>
            </w:r>
            <w:r>
              <w:rPr>
                <w:rFonts w:ascii="Arial" w:cs="Arial" w:eastAsia="Arial" w:hAnsi="Arial"/>
                <w:sz w:val="12"/>
                <w:szCs w:val="12"/>
                <w:b w:val="1"/>
                <w:bCs w:val="1"/>
                <w:color w:val="auto"/>
                <w:w w:val="96"/>
              </w:rPr>
              <w:t>(d)</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Principal</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9"/>
        </w:trPr>
        <w:tc>
          <w:tcPr>
            <w:tcW w:w="5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2"/>
                <w:szCs w:val="12"/>
                <w:b w:val="1"/>
                <w:bCs w:val="1"/>
                <w:color w:val="auto"/>
              </w:rPr>
              <w:t>(a)(b)</w:t>
            </w:r>
          </w:p>
        </w:tc>
        <w:tc>
          <w:tcPr>
            <w:tcW w:w="1080" w:type="dxa"/>
            <w:vAlign w:val="bottom"/>
            <w:gridSpan w:val="2"/>
            <w:vMerge w:val="continue"/>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92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49"/>
        </w:trPr>
        <w:tc>
          <w:tcPr>
            <w:tcW w:w="5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12"/>
                <w:szCs w:val="12"/>
                <w:b w:val="1"/>
                <w:bCs w:val="1"/>
                <w:color w:val="auto"/>
              </w:rPr>
              <w:t>(c)</w:t>
            </w:r>
          </w:p>
        </w:tc>
        <w:tc>
          <w:tcPr>
            <w:tcW w:w="108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7"/>
              </w:rPr>
              <w:t>Cash/PIK</w:t>
            </w:r>
          </w:p>
        </w:tc>
        <w:tc>
          <w:tcPr>
            <w:tcW w:w="1040" w:type="dxa"/>
            <w:vAlign w:val="bottom"/>
            <w:gridSpan w:val="2"/>
            <w:vMerge w:val="continue"/>
          </w:tcPr>
          <w:p>
            <w:pPr>
              <w:spacing w:after="0"/>
              <w:rPr>
                <w:sz w:val="12"/>
                <w:szCs w:val="12"/>
                <w:color w:val="auto"/>
              </w:rPr>
            </w:pPr>
          </w:p>
        </w:tc>
        <w:tc>
          <w:tcPr>
            <w:tcW w:w="92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4"/>
              </w:rPr>
              <w:t>Amount</w:t>
            </w:r>
          </w:p>
        </w:tc>
        <w:tc>
          <w:tcPr>
            <w:tcW w:w="82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4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20"/>
        </w:trPr>
        <w:tc>
          <w:tcPr>
            <w:tcW w:w="1460" w:type="dxa"/>
            <w:vAlign w:val="bottom"/>
            <w:tcBorders>
              <w:top w:val="single" w:sz="8" w:color="auto"/>
              <w:bottom w:val="single" w:sz="8" w:color="auto"/>
            </w:tcBorders>
            <w:gridSpan w:val="2"/>
            <w:vMerge w:val="restart"/>
          </w:tcPr>
          <w:p>
            <w:pPr>
              <w:spacing w:after="0" w:line="155" w:lineRule="exact"/>
              <w:rPr>
                <w:sz w:val="20"/>
                <w:szCs w:val="20"/>
                <w:color w:val="auto"/>
              </w:rPr>
            </w:pPr>
            <w:r>
              <w:rPr>
                <w:rFonts w:ascii="Arial" w:cs="Arial" w:eastAsia="Arial" w:hAnsi="Arial"/>
                <w:sz w:val="14"/>
                <w:szCs w:val="14"/>
                <w:i w:val="1"/>
                <w:iCs w:val="1"/>
                <w:color w:val="auto"/>
              </w:rPr>
              <w:t>Palmetto Moon, LLC</w:t>
            </w:r>
          </w:p>
        </w:tc>
        <w:tc>
          <w:tcPr>
            <w:tcW w:w="4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460" w:type="dxa"/>
            <w:vAlign w:val="bottom"/>
            <w:gridSpan w:val="2"/>
            <w:vMerge w:val="continue"/>
          </w:tcPr>
          <w:p>
            <w:pPr>
              <w:spacing w:after="0"/>
              <w:rPr>
                <w:sz w:val="10"/>
                <w:szCs w:val="10"/>
                <w:color w:val="auto"/>
              </w:rPr>
            </w:pPr>
          </w:p>
        </w:tc>
        <w:tc>
          <w:tcPr>
            <w:tcW w:w="4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Senior Secured Loan</w:t>
            </w: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11.5%/0.0%</w:t>
            </w: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1"/>
              </w:rPr>
              <w:t>10/31/2021</w:t>
            </w:r>
          </w:p>
        </w:tc>
        <w:tc>
          <w:tcPr>
            <w:tcW w:w="3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   6,402</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8"/>
              </w:rPr>
              <w:t>$ 6,364</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6,364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spacing w:after="0" w:line="149" w:lineRule="exact"/>
              <w:rPr>
                <w:sz w:val="20"/>
                <w:szCs w:val="20"/>
                <w:color w:val="auto"/>
              </w:rPr>
            </w:pPr>
            <w:r>
              <w:rPr>
                <w:rFonts w:ascii="Arial" w:cs="Arial" w:eastAsia="Arial" w:hAnsi="Arial"/>
                <w:sz w:val="14"/>
                <w:szCs w:val="14"/>
                <w:color w:val="auto"/>
              </w:rPr>
              <w:t>Common Equity (499 units)</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499</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499</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6,863</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6,863</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7"/>
        </w:trPr>
        <w:tc>
          <w:tcPr>
            <w:tcW w:w="5940" w:type="dxa"/>
            <w:vAlign w:val="bottom"/>
            <w:gridSpan w:val="3"/>
          </w:tcPr>
          <w:p>
            <w:pPr>
              <w:spacing w:after="0"/>
              <w:rPr>
                <w:sz w:val="20"/>
                <w:szCs w:val="20"/>
                <w:color w:val="auto"/>
              </w:rPr>
            </w:pPr>
            <w:r>
              <w:rPr>
                <w:rFonts w:ascii="Arial" w:cs="Arial" w:eastAsia="Arial" w:hAnsi="Arial"/>
                <w:sz w:val="14"/>
                <w:szCs w:val="14"/>
                <w:b w:val="1"/>
                <w:bCs w:val="1"/>
                <w:color w:val="auto"/>
              </w:rPr>
              <w:t>Safety Products Manufacturing</w:t>
            </w: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 xml:space="preserve">Safety Products Group, LLC </w:t>
            </w:r>
            <w:r>
              <w:rPr>
                <w:rFonts w:ascii="Arial" w:cs="Arial" w:eastAsia="Arial" w:hAnsi="Arial"/>
                <w:sz w:val="12"/>
                <w:szCs w:val="12"/>
                <w:i w:val="1"/>
                <w:iCs w:val="1"/>
                <w:color w:val="auto"/>
              </w:rPr>
              <w:t>(k)(m)</w:t>
            </w: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Preferred Equity (749 units) </w:t>
            </w:r>
            <w:r>
              <w:rPr>
                <w:rFonts w:ascii="Arial" w:cs="Arial" w:eastAsia="Arial" w:hAnsi="Arial"/>
                <w:sz w:val="12"/>
                <w:szCs w:val="12"/>
                <w:color w:val="auto"/>
              </w:rPr>
              <w:t>(g)(i)</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22</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Common Equity (676 units) ($2,852 commitment) </w:t>
            </w:r>
            <w:r>
              <w:rPr>
                <w:rFonts w:ascii="Arial" w:cs="Arial" w:eastAsia="Arial" w:hAnsi="Arial"/>
                <w:sz w:val="12"/>
                <w:szCs w:val="12"/>
                <w:color w:val="auto"/>
              </w:rPr>
              <w:t>(g)(i)</w:t>
            </w: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3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4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Specialty Chemicals</w:t>
            </w: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 xml:space="preserve">FAR Research Inc. </w:t>
            </w:r>
            <w:r>
              <w:rPr>
                <w:rFonts w:ascii="Arial" w:cs="Arial" w:eastAsia="Arial" w:hAnsi="Arial"/>
                <w:sz w:val="12"/>
                <w:szCs w:val="12"/>
                <w:i w:val="1"/>
                <w:iCs w:val="1"/>
                <w:color w:val="auto"/>
              </w:rPr>
              <w:t>(k)</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Senior Secured Loan </w:t>
            </w:r>
            <w:r>
              <w:rPr>
                <w:rFonts w:ascii="Arial" w:cs="Arial" w:eastAsia="Arial" w:hAnsi="Arial"/>
                <w:sz w:val="12"/>
                <w:szCs w:val="12"/>
                <w:color w:val="auto"/>
              </w:rPr>
              <w:t>(j)</w:t>
            </w: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11.8%/1.0%</w:t>
            </w: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3/31/2019</w:t>
            </w:r>
          </w:p>
        </w:tc>
        <w:tc>
          <w:tcPr>
            <w:tcW w:w="3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7,271</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7,256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7,271</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Revolving Loan ($1,750 commitment) </w:t>
            </w:r>
            <w:r>
              <w:rPr>
                <w:rFonts w:ascii="Arial" w:cs="Arial" w:eastAsia="Arial" w:hAnsi="Arial"/>
                <w:sz w:val="12"/>
                <w:szCs w:val="12"/>
                <w:color w:val="auto"/>
              </w:rPr>
              <w:t>(i)</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2"/>
              </w:rPr>
              <w:t>11.8%/1.0%</w:t>
            </w:r>
          </w:p>
        </w:tc>
        <w:tc>
          <w:tcPr>
            <w:tcW w:w="32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3/31/2019</w:t>
            </w:r>
          </w:p>
        </w:tc>
        <w:tc>
          <w:tcPr>
            <w:tcW w:w="34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138</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134</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138</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(1,396 units)</w:t>
            </w: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1,395</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1,012</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8,785</w:t>
            </w:r>
          </w:p>
        </w:tc>
        <w:tc>
          <w:tcPr>
            <w:tcW w:w="3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8,421</w:t>
            </w:r>
          </w:p>
        </w:tc>
        <w:tc>
          <w:tcPr>
            <w:tcW w:w="3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4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Specialty Distribution</w:t>
            </w: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 xml:space="preserve">Carlson Systems Holdings, Inc. </w:t>
            </w:r>
            <w:r>
              <w:rPr>
                <w:rFonts w:ascii="Arial" w:cs="Arial" w:eastAsia="Arial" w:hAnsi="Arial"/>
                <w:sz w:val="12"/>
                <w:szCs w:val="12"/>
                <w:i w:val="1"/>
                <w:iCs w:val="1"/>
                <w:color w:val="auto"/>
              </w:rPr>
              <w:t>(m)</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Common Equity (15,000 units) </w:t>
            </w:r>
            <w:r>
              <w:rPr>
                <w:rFonts w:ascii="Arial" w:cs="Arial" w:eastAsia="Arial" w:hAnsi="Arial"/>
                <w:sz w:val="12"/>
                <w:szCs w:val="12"/>
                <w:color w:val="auto"/>
              </w:rPr>
              <w:t>(i)</w:t>
            </w: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73</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3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4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Pugh Lubricants, LLC</w:t>
            </w: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2"/>
              </w:rPr>
              <w:t>12.3%/0.0%</w:t>
            </w:r>
          </w:p>
        </w:tc>
        <w:tc>
          <w:tcPr>
            <w:tcW w:w="32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5/10/2022</w:t>
            </w:r>
          </w:p>
        </w:tc>
        <w:tc>
          <w:tcPr>
            <w:tcW w:w="34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12,256</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12,197</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12,197</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Common Equity (5,000 units) </w:t>
            </w:r>
            <w:r>
              <w:rPr>
                <w:rFonts w:ascii="Arial" w:cs="Arial" w:eastAsia="Arial" w:hAnsi="Arial"/>
                <w:sz w:val="12"/>
                <w:szCs w:val="12"/>
                <w:color w:val="auto"/>
              </w:rPr>
              <w:t>(g)(i)</w:t>
            </w: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500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500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12,697</w:t>
            </w:r>
          </w:p>
        </w:tc>
        <w:tc>
          <w:tcPr>
            <w:tcW w:w="3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12,697</w:t>
            </w:r>
          </w:p>
        </w:tc>
        <w:tc>
          <w:tcPr>
            <w:tcW w:w="3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4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Virginia Tile Company, LLC</w:t>
            </w: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2"/>
              </w:rPr>
              <w:t>12.3%/0.0%</w:t>
            </w:r>
          </w:p>
        </w:tc>
        <w:tc>
          <w:tcPr>
            <w:tcW w:w="32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4/7/2022</w:t>
            </w:r>
          </w:p>
        </w:tc>
        <w:tc>
          <w:tcPr>
            <w:tcW w:w="34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12,000</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11,962</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12,000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(17 units)</w:t>
            </w: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342</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1,220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12,304</w:t>
            </w:r>
          </w:p>
        </w:tc>
        <w:tc>
          <w:tcPr>
            <w:tcW w:w="3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13,220</w:t>
            </w:r>
          </w:p>
        </w:tc>
        <w:tc>
          <w:tcPr>
            <w:tcW w:w="3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4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Transportation Services</w:t>
            </w: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Cavallo Bus Lines Holdings, LLC</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12.0%/3.0%</w:t>
            </w: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4/26/2021</w:t>
            </w:r>
          </w:p>
        </w:tc>
        <w:tc>
          <w:tcPr>
            <w:tcW w:w="3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8,250</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8,218</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8,250</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7"/>
        </w:trPr>
        <w:tc>
          <w:tcPr>
            <w:tcW w:w="5940" w:type="dxa"/>
            <w:vAlign w:val="bottom"/>
            <w:gridSpan w:val="3"/>
          </w:tcPr>
          <w:p>
            <w:pPr>
              <w:spacing w:after="0"/>
              <w:rPr>
                <w:sz w:val="20"/>
                <w:szCs w:val="20"/>
                <w:color w:val="auto"/>
              </w:rPr>
            </w:pPr>
            <w:r>
              <w:rPr>
                <w:rFonts w:ascii="Arial" w:cs="Arial" w:eastAsia="Arial" w:hAnsi="Arial"/>
                <w:sz w:val="14"/>
                <w:szCs w:val="14"/>
                <w:i w:val="1"/>
                <w:iCs w:val="1"/>
                <w:color w:val="auto"/>
              </w:rPr>
              <w:t>US Pack Logistics LLC</w:t>
            </w: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(j)</w:t>
            </w: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12.0%/1.8%</w:t>
            </w: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9/27/2020</w:t>
            </w:r>
          </w:p>
        </w:tc>
        <w:tc>
          <w:tcPr>
            <w:tcW w:w="3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14,027</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13,923</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14,027</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Common Equity (5,357 units) </w:t>
            </w:r>
            <w:r>
              <w:rPr>
                <w:rFonts w:ascii="Arial" w:cs="Arial" w:eastAsia="Arial" w:hAnsi="Arial"/>
                <w:sz w:val="12"/>
                <w:szCs w:val="12"/>
                <w:color w:val="auto"/>
              </w:rPr>
              <w:t>(g)(i)</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583</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675</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14,506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14,702</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7"/>
        </w:trPr>
        <w:tc>
          <w:tcPr>
            <w:tcW w:w="5940" w:type="dxa"/>
            <w:vAlign w:val="bottom"/>
            <w:gridSpan w:val="3"/>
          </w:tcPr>
          <w:p>
            <w:pPr>
              <w:spacing w:after="0"/>
              <w:rPr>
                <w:sz w:val="20"/>
                <w:szCs w:val="20"/>
                <w:color w:val="auto"/>
              </w:rPr>
            </w:pPr>
            <w:r>
              <w:rPr>
                <w:rFonts w:ascii="Arial" w:cs="Arial" w:eastAsia="Arial" w:hAnsi="Arial"/>
                <w:sz w:val="14"/>
                <w:szCs w:val="14"/>
                <w:i w:val="1"/>
                <w:iCs w:val="1"/>
                <w:color w:val="auto"/>
              </w:rPr>
              <w:t>Worldwide Express Operations, LLC</w:t>
            </w: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11.5%/1.0%</w:t>
            </w: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8/1/2020</w:t>
            </w:r>
          </w:p>
        </w:tc>
        <w:tc>
          <w:tcPr>
            <w:tcW w:w="3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17,468</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17,368</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17,559</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Common Equity (2,500,000 units) </w:t>
            </w:r>
            <w:r>
              <w:rPr>
                <w:rFonts w:ascii="Arial" w:cs="Arial" w:eastAsia="Arial" w:hAnsi="Arial"/>
                <w:sz w:val="12"/>
                <w:szCs w:val="12"/>
                <w:color w:val="auto"/>
              </w:rPr>
              <w:t>(g)(i)</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2,500</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6,613</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19,868</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24,172</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920" w:type="dxa"/>
            <w:vAlign w:val="bottom"/>
            <w:gridSpan w:val="2"/>
          </w:tcPr>
          <w:p>
            <w:pPr>
              <w:spacing w:after="0"/>
              <w:rPr>
                <w:sz w:val="20"/>
                <w:szCs w:val="20"/>
                <w:color w:val="auto"/>
              </w:rPr>
            </w:pPr>
            <w:r>
              <w:rPr>
                <w:rFonts w:ascii="Arial" w:cs="Arial" w:eastAsia="Arial" w:hAnsi="Arial"/>
                <w:sz w:val="14"/>
                <w:szCs w:val="14"/>
                <w:b w:val="1"/>
                <w:bCs w:val="1"/>
                <w:color w:val="auto"/>
              </w:rPr>
              <w:t>Utility Equipment Manufacturing</w:t>
            </w: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i w:val="1"/>
                <w:iCs w:val="1"/>
                <w:color w:val="auto"/>
              </w:rPr>
              <w:t xml:space="preserve">Mirage Trailers LLC </w:t>
            </w:r>
            <w:r>
              <w:rPr>
                <w:rFonts w:ascii="Arial" w:cs="Arial" w:eastAsia="Arial" w:hAnsi="Arial"/>
                <w:sz w:val="12"/>
                <w:szCs w:val="12"/>
                <w:i w:val="1"/>
                <w:iCs w:val="1"/>
                <w:color w:val="auto"/>
              </w:rPr>
              <w:t>(k)</w:t>
            </w:r>
          </w:p>
        </w:tc>
        <w:tc>
          <w:tcPr>
            <w:tcW w:w="7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Senior Secured Loan </w:t>
            </w:r>
            <w:r>
              <w:rPr>
                <w:rFonts w:ascii="Arial" w:cs="Arial" w:eastAsia="Arial" w:hAnsi="Arial"/>
                <w:sz w:val="12"/>
                <w:szCs w:val="12"/>
                <w:color w:val="auto"/>
              </w:rPr>
              <w:t>(j)(e)</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2"/>
              </w:rPr>
              <w:t>12.5%/0.0%</w:t>
            </w:r>
          </w:p>
        </w:tc>
        <w:tc>
          <w:tcPr>
            <w:tcW w:w="32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w w:val="91"/>
              </w:rPr>
              <w:t>11/25/2020</w:t>
            </w:r>
          </w:p>
        </w:tc>
        <w:tc>
          <w:tcPr>
            <w:tcW w:w="34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8,208</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8,138</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8,208</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(2,500,000 shares)</w:t>
            </w: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2,480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2,721</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10,618</w:t>
            </w:r>
          </w:p>
        </w:tc>
        <w:tc>
          <w:tcPr>
            <w:tcW w:w="3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10,929</w:t>
            </w:r>
          </w:p>
        </w:tc>
        <w:tc>
          <w:tcPr>
            <w:tcW w:w="3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Schedule of Investments (continued)</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420"/>
          </w:cols>
          <w:pgMar w:left="240" w:top="459" w:right="239" w:bottom="1440" w:gutter="0" w:footer="0" w:header="0"/>
        </w:sect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w:t>
      </w:r>
    </w:p>
    <w:p>
      <w:pPr>
        <w:spacing w:after="0" w:line="226" w:lineRule="auto"/>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2"/>
          <w:szCs w:val="12"/>
          <w:b w:val="1"/>
          <w:bCs w:val="1"/>
          <w:color w:val="auto"/>
        </w:rPr>
        <w:t>(a)(b)</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12"/>
          <w:szCs w:val="12"/>
          <w:b w:val="1"/>
          <w:bCs w:val="1"/>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9175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i w:val="1"/>
          <w:iCs w:val="1"/>
          <w:color w:val="auto"/>
        </w:rPr>
        <w:t xml:space="preserve">Trantech Radiator Products, Inc. </w:t>
      </w:r>
      <w:r>
        <w:rPr>
          <w:rFonts w:ascii="Arial" w:cs="Arial" w:eastAsia="Arial" w:hAnsi="Arial"/>
          <w:sz w:val="11"/>
          <w:szCs w:val="11"/>
          <w:i w:val="1"/>
          <w:iCs w:val="1"/>
          <w:color w:val="auto"/>
        </w:rPr>
        <w:t>(k)</w:t>
      </w:r>
    </w:p>
    <w:p>
      <w:pPr>
        <w:spacing w:after="0" w:line="237" w:lineRule="auto"/>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(i)</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Common Equity (6,875 shares) </w:t>
      </w:r>
      <w:r>
        <w:rPr>
          <w:rFonts w:ascii="Arial" w:cs="Arial" w:eastAsia="Arial" w:hAnsi="Arial"/>
          <w:sz w:val="11"/>
          <w:szCs w:val="11"/>
          <w:color w:val="auto"/>
        </w:rPr>
        <w:t>(i)</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 xml:space="preserve">Rate </w:t>
            </w:r>
            <w:r>
              <w:rPr>
                <w:rFonts w:ascii="Arial" w:cs="Arial" w:eastAsia="Arial" w:hAnsi="Arial"/>
                <w:sz w:val="12"/>
                <w:szCs w:val="12"/>
                <w:b w:val="1"/>
                <w:bCs w:val="1"/>
                <w:color w:val="auto"/>
                <w:w w:val="96"/>
              </w:rPr>
              <w:t>(d)</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49"/>
        </w:trPr>
        <w:tc>
          <w:tcPr>
            <w:tcW w:w="1000" w:type="dxa"/>
            <w:vAlign w:val="bottom"/>
            <w:gridSpan w:val="2"/>
            <w:vMerge w:val="continue"/>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2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Fair Value</w:t>
            </w:r>
          </w:p>
        </w:tc>
        <w:tc>
          <w:tcPr>
            <w:tcW w:w="240" w:type="dxa"/>
            <w:vAlign w:val="bottom"/>
            <w:vMerge w:val="restart"/>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Net</w:t>
            </w: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Cash/PIK</w:t>
            </w:r>
          </w:p>
        </w:tc>
        <w:tc>
          <w:tcPr>
            <w:tcW w:w="24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58"/>
        </w:trPr>
        <w:tc>
          <w:tcPr>
            <w:tcW w:w="760" w:type="dxa"/>
            <w:vAlign w:val="bottom"/>
          </w:tcPr>
          <w:p>
            <w:pPr>
              <w:jc w:val="center"/>
              <w:spacing w:after="0"/>
              <w:rPr>
                <w:sz w:val="20"/>
                <w:szCs w:val="20"/>
                <w:color w:val="auto"/>
              </w:rPr>
            </w:pPr>
            <w:r>
              <w:rPr>
                <w:rFonts w:ascii="Arial" w:cs="Arial" w:eastAsia="Arial" w:hAnsi="Arial"/>
                <w:sz w:val="14"/>
                <w:szCs w:val="14"/>
                <w:color w:val="auto"/>
                <w:w w:val="92"/>
              </w:rPr>
              <w:t>12.0%/2.3%</w:t>
            </w:r>
          </w:p>
        </w:tc>
        <w:tc>
          <w:tcPr>
            <w:tcW w:w="24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Arial" w:cs="Arial" w:eastAsia="Arial" w:hAnsi="Arial"/>
                <w:sz w:val="14"/>
                <w:szCs w:val="14"/>
                <w:color w:val="auto"/>
                <w:w w:val="93"/>
              </w:rPr>
              <w:t>5/31/2018</w:t>
            </w:r>
          </w:p>
        </w:tc>
        <w:tc>
          <w:tcPr>
            <w:tcW w:w="940" w:type="dxa"/>
            <w:vAlign w:val="bottom"/>
            <w:gridSpan w:val="3"/>
          </w:tcPr>
          <w:p>
            <w:pPr>
              <w:jc w:val="center"/>
              <w:ind w:left="48"/>
              <w:spacing w:after="0"/>
              <w:rPr>
                <w:sz w:val="20"/>
                <w:szCs w:val="20"/>
                <w:color w:val="auto"/>
              </w:rPr>
            </w:pPr>
            <w:r>
              <w:rPr>
                <w:rFonts w:ascii="Arial" w:cs="Arial" w:eastAsia="Arial" w:hAnsi="Arial"/>
                <w:sz w:val="14"/>
                <w:szCs w:val="14"/>
                <w:color w:val="auto"/>
              </w:rPr>
              <w:t>$   6,994</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  6,988</w:t>
            </w:r>
          </w:p>
        </w:tc>
        <w:tc>
          <w:tcPr>
            <w:tcW w:w="3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6,994</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688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242</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-187960</wp:posOffset>
            </wp:positionV>
            <wp:extent cx="7246620" cy="946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680" w:space="720"/>
            <w:col w:w="50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430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7,676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4"/>
                <w:szCs w:val="14"/>
                <w:color w:val="auto"/>
              </w:rPr>
              <w:t>7,236</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7"/>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Vending Equipment Manufacturing</w:t>
            </w:r>
          </w:p>
        </w:tc>
        <w:tc>
          <w:tcPr>
            <w:tcW w:w="2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Accent Food Services, LLC</w:t>
            </w:r>
          </w:p>
        </w:tc>
        <w:tc>
          <w:tcPr>
            <w:tcW w:w="29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Subordinated Note</w:t>
            </w:r>
          </w:p>
        </w:tc>
        <w:tc>
          <w:tcPr>
            <w:tcW w:w="29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10.0%/1.3%</w:t>
            </w:r>
          </w:p>
        </w:tc>
        <w:tc>
          <w:tcPr>
            <w:tcW w:w="940" w:type="dxa"/>
            <w:vAlign w:val="bottom"/>
          </w:tcPr>
          <w:p>
            <w:pPr>
              <w:ind w:left="140"/>
              <w:spacing w:after="0" w:line="149" w:lineRule="exact"/>
              <w:rPr>
                <w:sz w:val="20"/>
                <w:szCs w:val="20"/>
                <w:color w:val="auto"/>
              </w:rPr>
            </w:pPr>
            <w:r>
              <w:rPr>
                <w:rFonts w:ascii="Arial" w:cs="Arial" w:eastAsia="Arial" w:hAnsi="Arial"/>
                <w:sz w:val="14"/>
                <w:szCs w:val="14"/>
                <w:color w:val="auto"/>
              </w:rPr>
              <w:t>5/30/2022</w:t>
            </w: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14,516</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14,436</w:t>
            </w:r>
          </w:p>
        </w:tc>
        <w:tc>
          <w:tcPr>
            <w:tcW w:w="10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14,436</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Common Equity (7,500 units) </w:t>
            </w:r>
            <w:r>
              <w:rPr>
                <w:rFonts w:ascii="Arial" w:cs="Arial" w:eastAsia="Arial" w:hAnsi="Arial"/>
                <w:sz w:val="12"/>
                <w:szCs w:val="12"/>
                <w:color w:val="auto"/>
              </w:rPr>
              <w:t>(g)(i)</w:t>
            </w:r>
          </w:p>
        </w:tc>
        <w:tc>
          <w:tcPr>
            <w:tcW w:w="29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750</w:t>
            </w:r>
          </w:p>
        </w:tc>
        <w:tc>
          <w:tcPr>
            <w:tcW w:w="10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750</w:t>
            </w: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15,186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15,186</w:t>
            </w: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300" w:type="dxa"/>
            <w:vAlign w:val="bottom"/>
          </w:tcPr>
          <w:p>
            <w:pPr>
              <w:spacing w:after="0"/>
              <w:rPr>
                <w:sz w:val="7"/>
                <w:szCs w:val="7"/>
                <w:color w:val="auto"/>
              </w:rPr>
            </w:pPr>
          </w:p>
        </w:tc>
        <w:tc>
          <w:tcPr>
            <w:tcW w:w="2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Ice House America, LLC</w:t>
            </w:r>
          </w:p>
        </w:tc>
        <w:tc>
          <w:tcPr>
            <w:tcW w:w="29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12"/>
                <w:szCs w:val="12"/>
                <w:color w:val="auto"/>
              </w:rPr>
              <w:t>(i)</w:t>
            </w:r>
          </w:p>
        </w:tc>
        <w:tc>
          <w:tcPr>
            <w:tcW w:w="29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12.0%/3.0%</w:t>
            </w:r>
          </w:p>
        </w:tc>
        <w:tc>
          <w:tcPr>
            <w:tcW w:w="940" w:type="dxa"/>
            <w:vAlign w:val="bottom"/>
          </w:tcPr>
          <w:p>
            <w:pPr>
              <w:ind w:left="140"/>
              <w:spacing w:after="0" w:line="149" w:lineRule="exact"/>
              <w:rPr>
                <w:sz w:val="20"/>
                <w:szCs w:val="20"/>
                <w:color w:val="auto"/>
              </w:rPr>
            </w:pPr>
            <w:r>
              <w:rPr>
                <w:rFonts w:ascii="Arial" w:cs="Arial" w:eastAsia="Arial" w:hAnsi="Arial"/>
                <w:sz w:val="14"/>
                <w:szCs w:val="14"/>
                <w:color w:val="auto"/>
              </w:rPr>
              <w:t>1/1/2020</w:t>
            </w: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4,237</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4,090</w:t>
            </w:r>
          </w:p>
        </w:tc>
        <w:tc>
          <w:tcPr>
            <w:tcW w:w="10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4,237</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Warrant (1,957,895 units) </w:t>
            </w:r>
            <w:r>
              <w:rPr>
                <w:rFonts w:ascii="Arial" w:cs="Arial" w:eastAsia="Arial" w:hAnsi="Arial"/>
                <w:sz w:val="12"/>
                <w:szCs w:val="12"/>
                <w:color w:val="auto"/>
              </w:rPr>
              <w:t>(g)(i)(l)</w:t>
            </w:r>
          </w:p>
        </w:tc>
        <w:tc>
          <w:tcPr>
            <w:tcW w:w="29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216</w:t>
            </w:r>
          </w:p>
        </w:tc>
        <w:tc>
          <w:tcPr>
            <w:tcW w:w="10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101</w:t>
            </w: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4,306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4,338</w:t>
            </w: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300" w:type="dxa"/>
            <w:vAlign w:val="bottom"/>
          </w:tcPr>
          <w:p>
            <w:pPr>
              <w:spacing w:after="0"/>
              <w:rPr>
                <w:sz w:val="7"/>
                <w:szCs w:val="7"/>
                <w:color w:val="auto"/>
              </w:rPr>
            </w:pPr>
          </w:p>
        </w:tc>
        <w:tc>
          <w:tcPr>
            <w:tcW w:w="2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w:t>
            </w:r>
          </w:p>
        </w:tc>
        <w:tc>
          <w:tcPr>
            <w:tcW w:w="29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500,514</w:t>
            </w:r>
          </w:p>
        </w:tc>
        <w:tc>
          <w:tcPr>
            <w:tcW w:w="10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  524,454</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Note 3 to the consolidated financial statements for portfolio composition by geographic location.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Equity ownership may be held in shares or units of companies related to the portfolio companies.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 debt investments are income producing, unless otherwise indicated. Equity investments are non-income producing unless otherwise noted.</w:t>
      </w:r>
    </w:p>
    <w:p>
      <w:pPr>
        <w:spacing w:after="0" w:line="20" w:lineRule="exact"/>
        <w:rPr>
          <w:rFonts w:ascii="Arial" w:cs="Arial" w:eastAsia="Arial" w:hAnsi="Arial"/>
          <w:sz w:val="17"/>
          <w:szCs w:val="17"/>
          <w:color w:val="auto"/>
        </w:rPr>
      </w:pPr>
    </w:p>
    <w:p>
      <w:pPr>
        <w:ind w:left="460" w:right="14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Rate includes the cash interest or dividend rate and paid-in-kind interest or dividend rate, if any, as of December 31, 2016. Generally, payment-in-kind interest can be paid-in-kind or all in cash.</w:t>
      </w:r>
    </w:p>
    <w:p>
      <w:pPr>
        <w:ind w:left="460" w:right="6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investment bears interest at a variable rate that is determined by reference to one-month LIBOR, which is reset monthly. The interest rate is set as one-month LIBOR + 11.5% and is subject to a 12.5% interest rate floor. The Company has provided the interest rate in effect as of December 31, 2016.</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producing. Maturity date, if any, represents mandatory redemption date.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 is held by a wholly-owned subsidiary of the Company, other than the Funds.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entire commitment was unfunded at December 31, 2016. As such, no interest is being earned on this investment.</w:t>
      </w:r>
    </w:p>
    <w:p>
      <w:pPr>
        <w:spacing w:after="0" w:line="9" w:lineRule="exact"/>
        <w:rPr>
          <w:rFonts w:ascii="Arial" w:cs="Arial" w:eastAsia="Arial" w:hAnsi="Arial"/>
          <w:sz w:val="18"/>
          <w:szCs w:val="18"/>
          <w:color w:val="auto"/>
        </w:rPr>
      </w:pPr>
    </w:p>
    <w:p>
      <w:pPr>
        <w:ind w:left="460" w:right="56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8"/>
          <w:szCs w:val="18"/>
          <w:color w:val="auto"/>
        </w:rPr>
      </w:pPr>
    </w:p>
    <w:p>
      <w:pPr>
        <w:ind w:left="460" w:right="60" w:hanging="452"/>
        <w:spacing w:after="0" w:line="265"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left="460" w:right="10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Warrants entitle the Company to purchase a predetermined number of shares of common stock, and are non-income producing. The purchase price and number of shares are subject to adjustment under certain conditions until the expiration date, if any.</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 in portfolio company that has sold its operations and is in the process of winding down.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debt investment continues to pay interest, including the default rate, while the portfolio company pursues refinancing options.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Nature of Business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Fidus Investment Corporation, a Maryland corporation (“FIC,” and together with its subsidiaries, the “Company”), was formed on February 14, 2011 for the purposes of (i) acquiring 100% of the limited partnership interests of Fidus Mezzanine Capital, L.P. and its consolidated subsidiaries (collectively, “Fund I”) and 100% of the membership interests of Fund I’s general partner, Fidus Mezzanine Capital GP, LLC (“FMCGP”), (ii) raising capital in an initial public offering that was completed in June 2011 (the “IPO”) and (iii) thereafter operating as an externally managed, closed-end, non-diversified management investment company, within the meaning of the Investment Company Act of 1940, as amended (the “1940 Act”), that has elected to be regulated as a business development company (“BDC”) under the 1940 Act.</w:t>
      </w:r>
    </w:p>
    <w:p>
      <w:pPr>
        <w:spacing w:after="0" w:line="193"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On June 20, 2011, FIC acquired 100% of the limited partnership interests in Fund I and 100% of the equity interests in FMCGP, in exchange for 4,056,521 shares of common stock in FIC (the “Formation Transactions”). Fund I became FIC’s wholly-owned subsidiary, retained its license to operate as a Small Business Investment Company (“SBIC”), and continues to hold investments and make new investments. The IPO consisted of the sale of 5,370,500 shares of the Company’s common stock, including shares purchased by the underwriters pursuant to their exercise of the over-allotment option, at a price of $15.00 per share resulting in net proceeds of $73,626, after deducting underwriting fees and commissions and offering costs totaling $6,932.</w:t>
      </w:r>
    </w:p>
    <w:p>
      <w:pPr>
        <w:spacing w:after="0" w:line="158"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Company provides customized debt and equity financing solutions to lower middle-market companies. Fund I commenced operations on May 1, 2007, and on October 22, 2007, was granted a license to operate as a SBIC under the authority of the U.S. Small Business Administration (“SBA”). On March 29, 2013, the Company commenced operations of a second wholly-owned subsidiary, Fidus Mezzanine Capital II, L.P. (“Fund II”), and, on May 28, 2013, was granted a second license to operate Fund II as an SBIC. Collectively, Fund I and Fund II are referred to as the “Funds.” The SBIC licenses allow the Funds to obtain leverage by issuing SBA-guaranteed debentures (“SBA debentures”), subject to the issuance of leverage commitments by the SBA and other customary procedures. As SBICs, the Funds are subject to a variety of regulations and oversight by the SBA under the Small Business Investment Act of 1958, as amended (the “SBIC Act”), concerning, among other things, the size and nature of the companies in which they may invest and the structure of those investments.</w:t>
      </w:r>
    </w:p>
    <w:p>
      <w:pPr>
        <w:spacing w:after="0" w:line="19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Fund I has also elected to be regulated as a BDC under the 1940 Act. Fund II is not registered under the 1940 Act and relies on the exclusion from the definition of investment company contained in Section 3(c)(7) of the 1940 Act. In addition, for federal income tax purposes, the Company elected to be treated as a regulated investment company (“RIC”) under Subchapter M of the Internal Revenue Code of 1986, as amended (the “Code”), commencing with its taxable year ended December 31, 2011.</w:t>
      </w:r>
    </w:p>
    <w:p>
      <w:pPr>
        <w:spacing w:after="0" w:line="187" w:lineRule="exact"/>
        <w:rPr>
          <w:sz w:val="20"/>
          <w:szCs w:val="20"/>
          <w:color w:val="auto"/>
        </w:rPr>
      </w:pPr>
    </w:p>
    <w:p>
      <w:pPr>
        <w:jc w:val="both"/>
        <w:ind w:right="340" w:firstLine="456"/>
        <w:spacing w:after="0" w:line="286" w:lineRule="auto"/>
        <w:rPr>
          <w:sz w:val="20"/>
          <w:szCs w:val="20"/>
          <w:color w:val="auto"/>
        </w:rPr>
      </w:pPr>
      <w:r>
        <w:rPr>
          <w:rFonts w:ascii="Arial" w:cs="Arial" w:eastAsia="Arial" w:hAnsi="Arial"/>
          <w:sz w:val="17"/>
          <w:szCs w:val="17"/>
          <w:color w:val="auto"/>
        </w:rPr>
        <w:t>The Company pays a quarterly base management fee and an incentive fee to Fidus Investment Advisors, LLC (the “Investment Advisor”) under an investment advisory agreement (the “Investment Advisory Agreement”). The initial investment professionals of the Investment Advisor were previously employed by Fidus Capital, LLC, who was the investment advisor to Fund I prior to consummation of the Formation Transactions.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accompanying consolidated financial statements of the Company have been prepared in accordance with generally accepted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principles in the United States of America (“GAAP”) pursuant to the requirements for reporting on Form 10-Q, Accounting Standards Codification (“ASC”) 946, </w:t>
      </w:r>
      <w:r>
        <w:rPr>
          <w:rFonts w:ascii="Arial" w:cs="Arial" w:eastAsia="Arial" w:hAnsi="Arial"/>
          <w:sz w:val="16"/>
          <w:szCs w:val="16"/>
          <w:i w:val="1"/>
          <w:iCs w:val="1"/>
          <w:color w:val="auto"/>
        </w:rPr>
        <w:t>Financial Services – Investment Companies</w:t>
      </w:r>
      <w:r>
        <w:rPr>
          <w:rFonts w:ascii="Arial" w:cs="Arial" w:eastAsia="Arial" w:hAnsi="Arial"/>
          <w:sz w:val="16"/>
          <w:szCs w:val="16"/>
          <w:color w:val="auto"/>
        </w:rPr>
        <w:t xml:space="preserve"> (“ASC 946), and Articles 6 or 10 of Regulation S-X. In the opinion of management, the consolidated financial statements reflect all adjustments and reclassifications that are necessary for the fair presentation of financial results as of and for the periods presented. Certain prior period amounts have been reclassified to conform to the current period presentation. The current period’s results of operation are not necessarily indicative of results that ultimately may be achieved for the year. Therefore, the unaudited financial statements and notes should be read in conjunction with the audited financial statements and notes thereto for the year ended December 31, 2016.</w:t>
      </w:r>
    </w:p>
    <w:p>
      <w:pPr>
        <w:spacing w:after="0" w:line="16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the consolidated financial statements in conformity with GAAP requires management to make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Pursuant to Article 6 of Regulation S-X and ASC 946, the Company will generally not consolidate its investments in a company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an investment company subsidiary or a controlled operating company whose business consists of providing services to the Company. As a result, the consolidated financial statements of the Company include only the accounts of the Company and its wholly-owned subsidiaries, including the Funds. All significant intercompany balances and transactions have been eliminated.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Investment risks: </w:t>
      </w:r>
      <w:r>
        <w:rPr>
          <w:rFonts w:ascii="Arial" w:cs="Arial" w:eastAsia="Arial" w:hAnsi="Arial"/>
          <w:sz w:val="17"/>
          <w:szCs w:val="17"/>
          <w:color w:val="auto"/>
        </w:rPr>
        <w:t>The Company’s investments are subject to a variety of risks. These risks may include, but are not limited to the following:</w:t>
      </w:r>
    </w:p>
    <w:p>
      <w:pPr>
        <w:spacing w:after="0" w:line="142" w:lineRule="exact"/>
        <w:rPr>
          <w:sz w:val="20"/>
          <w:szCs w:val="20"/>
          <w:color w:val="auto"/>
        </w:rPr>
      </w:pPr>
    </w:p>
    <w:p>
      <w:pPr>
        <w:ind w:left="900" w:right="22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Market risk - </w:t>
      </w:r>
      <w:r>
        <w:rPr>
          <w:rFonts w:ascii="Arial" w:cs="Arial" w:eastAsia="Arial" w:hAnsi="Arial"/>
          <w:sz w:val="18"/>
          <w:szCs w:val="18"/>
          <w:color w:val="auto"/>
        </w:rPr>
        <w:t>Market risk represents the potential loss that can be caused by a change in the fair value of the financial instrument due to market</w:t>
      </w:r>
      <w:r>
        <w:rPr>
          <w:rFonts w:ascii="Arial" w:cs="Arial" w:eastAsia="Arial" w:hAnsi="Arial"/>
          <w:sz w:val="18"/>
          <w:szCs w:val="18"/>
          <w:i w:val="1"/>
          <w:iCs w:val="1"/>
          <w:color w:val="auto"/>
        </w:rPr>
        <w:t xml:space="preserve"> </w:t>
      </w:r>
      <w:r>
        <w:rPr>
          <w:rFonts w:ascii="Arial" w:cs="Arial" w:eastAsia="Arial" w:hAnsi="Arial"/>
          <w:sz w:val="18"/>
          <w:szCs w:val="18"/>
          <w:color w:val="auto"/>
        </w:rPr>
        <w:t>changes.</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Credit risk represents the risk that the Company would incur if the counterparties failed to perform pursuant to the terms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with the Company.</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Liquidity risk - </w:t>
      </w:r>
      <w:r>
        <w:rPr>
          <w:rFonts w:ascii="Arial" w:cs="Arial" w:eastAsia="Arial" w:hAnsi="Arial"/>
          <w:sz w:val="18"/>
          <w:szCs w:val="18"/>
          <w:color w:val="auto"/>
        </w:rPr>
        <w:t>Liquidity risk represents the possibility that the Company may not maintain sufficient cash balances or may not have access to</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 cash to meet loan and other commitments as they become due.</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Interest rate risk represents the likelihood that a change in interest rates could have an adverse impact on the fair value of an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interest-bearing financial instrument.</w:t>
      </w:r>
    </w:p>
    <w:p>
      <w:pPr>
        <w:spacing w:after="0" w:line="75"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Prepayment risk - </w:t>
      </w:r>
      <w:r>
        <w:rPr>
          <w:rFonts w:ascii="Arial" w:cs="Arial" w:eastAsia="Arial" w:hAnsi="Arial"/>
          <w:sz w:val="18"/>
          <w:szCs w:val="18"/>
          <w:color w:val="auto"/>
        </w:rPr>
        <w:t>Certain of the Company’s debt investments allow for prepayment of principal without penalty. Downward changes in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rates may cause prepayments to occur at a faster than expected rate, thereby effectively shortening the maturity of the debt investments and making the instrument less likely to be an income producing instrument.</w:t>
      </w:r>
    </w:p>
    <w:p>
      <w:pPr>
        <w:spacing w:after="0" w:line="86" w:lineRule="exact"/>
        <w:rPr>
          <w:rFonts w:ascii="Arial" w:cs="Arial" w:eastAsia="Arial" w:hAnsi="Arial"/>
          <w:sz w:val="18"/>
          <w:szCs w:val="18"/>
          <w:color w:val="auto"/>
        </w:rPr>
      </w:pPr>
    </w:p>
    <w:p>
      <w:pPr>
        <w:ind w:left="900" w:right="380" w:hanging="446"/>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Off-Balance sheet risk - </w:t>
      </w:r>
      <w:r>
        <w:rPr>
          <w:rFonts w:ascii="Arial" w:cs="Arial" w:eastAsia="Arial" w:hAnsi="Arial"/>
          <w:sz w:val="16"/>
          <w:szCs w:val="16"/>
          <w:color w:val="auto"/>
        </w:rPr>
        <w:t>Some of the Company’s financial instruments contain off-balance sheet risk. Generally, these financial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 future commitments to purchase other financial instruments at specific terms at specific future dates. See Note 7 for further details.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The Company measures and discloses fair value with respect to substantially all of its financial instruments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 xml:space="preserve">Investment classification: </w:t>
      </w:r>
      <w:r>
        <w:rPr>
          <w:rFonts w:ascii="Arial" w:cs="Arial" w:eastAsia="Arial" w:hAnsi="Arial"/>
          <w:sz w:val="18"/>
          <w:szCs w:val="18"/>
          <w:color w:val="auto"/>
        </w:rPr>
        <w:t>The Company classifies its investments in accordance with the requirements of the 1940 Act. Under the 1940 Act,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Segments: </w:t>
      </w:r>
      <w:r>
        <w:rPr>
          <w:rFonts w:ascii="Arial" w:cs="Arial" w:eastAsia="Arial" w:hAnsi="Arial"/>
          <w:sz w:val="18"/>
          <w:szCs w:val="18"/>
          <w:color w:val="auto"/>
        </w:rPr>
        <w:t>In accordance with ASC Topic 280 —</w:t>
      </w:r>
      <w:r>
        <w:rPr>
          <w:rFonts w:ascii="Arial" w:cs="Arial" w:eastAsia="Arial" w:hAnsi="Arial"/>
          <w:sz w:val="18"/>
          <w:szCs w:val="18"/>
          <w:i w:val="1"/>
          <w:iCs w:val="1"/>
          <w:color w:val="auto"/>
        </w:rPr>
        <w:t xml:space="preserve"> Segment Reporting</w:t>
      </w:r>
      <w:r>
        <w:rPr>
          <w:rFonts w:ascii="Arial" w:cs="Arial" w:eastAsia="Arial" w:hAnsi="Arial"/>
          <w:sz w:val="18"/>
          <w:szCs w:val="18"/>
          <w:color w:val="auto"/>
        </w:rPr>
        <w:t>, the Company has determined that it has a single reporting segment and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unit structure.</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and cash equivalents are highly liquid investments with an original maturity of three months or less at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The Company places its cash in financial institutions and, at times, such balances may be in excess of the Federal Deposit Insurance Corporation insurance limits. The Company does not believe its cash balances are exposed to any significant credit risk.</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i w:val="1"/>
          <w:iCs w:val="1"/>
          <w:color w:val="auto"/>
        </w:rPr>
        <w:t xml:space="preserve">Deferred financing costs: </w:t>
      </w:r>
      <w:r>
        <w:rPr>
          <w:rFonts w:ascii="Arial" w:cs="Arial" w:eastAsia="Arial" w:hAnsi="Arial"/>
          <w:sz w:val="16"/>
          <w:szCs w:val="16"/>
          <w:color w:val="auto"/>
        </w:rPr>
        <w:t>Deferred financing costs consist of fees and expenses paid in connection with the Credit Facility (as defined in Note 6) and</w:t>
      </w:r>
      <w:r>
        <w:rPr>
          <w:rFonts w:ascii="Arial" w:cs="Arial" w:eastAsia="Arial" w:hAnsi="Arial"/>
          <w:sz w:val="16"/>
          <w:szCs w:val="16"/>
          <w:i w:val="1"/>
          <w:iCs w:val="1"/>
          <w:color w:val="auto"/>
        </w:rPr>
        <w:t xml:space="preserve"> </w:t>
      </w:r>
      <w:r>
        <w:rPr>
          <w:rFonts w:ascii="Arial" w:cs="Arial" w:eastAsia="Arial" w:hAnsi="Arial"/>
          <w:sz w:val="16"/>
          <w:szCs w:val="16"/>
          <w:color w:val="auto"/>
        </w:rPr>
        <w:t>SBA debentures. Deferred financing costs are capitalized and amortized over the term of the debt agreement using the effective interest method. Unamortized deferred financing costs are presented as an offset to the corresponding debt liabilities on the consolidated statements of assets and liabilities.</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Deferred equity offering costs: </w:t>
      </w:r>
      <w:r>
        <w:rPr>
          <w:rFonts w:ascii="Arial" w:cs="Arial" w:eastAsia="Arial" w:hAnsi="Arial"/>
          <w:sz w:val="18"/>
          <w:szCs w:val="18"/>
          <w:color w:val="auto"/>
        </w:rPr>
        <w:t>Deferred equity offering costs include registration expenses related to shelf filings, including expenses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launch of the ATM Program. These expenses primarily consist of Securities and Exchange Commission (“SEC”) registration fees, legal fees and accounting fees incurred. These expenses are included in prepaid assets and are charged to additional paid in capital upon the receipt of proceeds from an equity offering or charged to expense if no offering is completed.</w:t>
      </w:r>
    </w:p>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 xml:space="preserve">Realized gains or losses and unrealized appreciation or depreciation on investments: </w:t>
      </w:r>
      <w:r>
        <w:rPr>
          <w:rFonts w:ascii="Arial" w:cs="Arial" w:eastAsia="Arial" w:hAnsi="Arial"/>
          <w:sz w:val="17"/>
          <w:szCs w:val="17"/>
          <w:color w:val="auto"/>
        </w:rPr>
        <w:t>Realized gains or losses on investments are recorded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Interest and dividend income: </w:t>
      </w:r>
      <w:r>
        <w:rPr>
          <w:rFonts w:ascii="Arial" w:cs="Arial" w:eastAsia="Arial" w:hAnsi="Arial"/>
          <w:sz w:val="18"/>
          <w:szCs w:val="18"/>
          <w:color w:val="auto"/>
        </w:rPr>
        <w:t>Interest and dividend income is recorded on the accrual basis to the extent that we expect to collect such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when the relevant tax forms are received from the portfolio company.</w:t>
      </w:r>
    </w:p>
    <w:p>
      <w:pPr>
        <w:spacing w:after="0" w:line="193"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Certain of the Company’s investments contain a payment-in-kind (“PIK”) income provision. The PIK income, computed at the 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is included in the Company’s taxable income and, therefore, affects the amount the Company is required to pay to shareholders in the form of dividends in order to maintain the Company’s tax treatment as a RIC and to avoid corporate federal income tax, even though the Company has not yet collected the cash.</w:t>
      </w:r>
    </w:p>
    <w:p>
      <w:pPr>
        <w:spacing w:after="0" w:line="178"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When there is reasonable doubt that principal, interest or dividends will be collected, loans or preferred equity investments are placed on non-accrual status and the Company will generally cease recognizing interest or dividend income.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Fee income</w:t>
      </w:r>
      <w:r>
        <w:rPr>
          <w:rFonts w:ascii="Arial" w:cs="Arial" w:eastAsia="Arial" w:hAnsi="Arial"/>
          <w:sz w:val="18"/>
          <w:szCs w:val="18"/>
          <w:color w:val="auto"/>
        </w:rPr>
        <w:t>: Transaction fees earned in connection with the Company’s investments are recognized as fee income. Such fees typically include fees for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including structuring and advisory services, provided to portfolio companies. The Company recognizes income from fees for providing such structuring and advisory services when the services are rendered or the transactions are completed. Upon the prepayment of a loan or debt security, any prepayment penalties are recorded as fee income when earned.</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Company also typically receives loan origination or closing fees in connection with investments. Such loan origination and closing fees are capitalized as unearned income and offset against investment cost basis on the consolidated statements of assets and liabilities and accreted into income over the life of the investment.</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i w:val="1"/>
          <w:iCs w:val="1"/>
          <w:color w:val="auto"/>
        </w:rPr>
        <w:t>Warrants</w:t>
      </w:r>
      <w:r>
        <w:rPr>
          <w:rFonts w:ascii="Arial" w:cs="Arial" w:eastAsia="Arial" w:hAnsi="Arial"/>
          <w:sz w:val="18"/>
          <w:szCs w:val="18"/>
          <w:color w:val="auto"/>
        </w:rPr>
        <w:t>: In connection with the Company’s debt investments, the Company will sometimes receive warrants or other equity-related securities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w:t>
      </w:r>
    </w:p>
    <w:p>
      <w:pPr>
        <w:spacing w:after="0" w:line="188"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i w:val="1"/>
          <w:iCs w:val="1"/>
          <w:color w:val="auto"/>
        </w:rPr>
        <w:t xml:space="preserve">Partial loan sales: </w:t>
      </w:r>
      <w:r>
        <w:rPr>
          <w:rFonts w:ascii="Arial" w:cs="Arial" w:eastAsia="Arial" w:hAnsi="Arial"/>
          <w:sz w:val="17"/>
          <w:szCs w:val="17"/>
          <w:color w:val="auto"/>
        </w:rPr>
        <w:t>The Company follows the guidance in ASC 860,</w:t>
      </w:r>
      <w:r>
        <w:rPr>
          <w:rFonts w:ascii="Arial" w:cs="Arial" w:eastAsia="Arial" w:hAnsi="Arial"/>
          <w:sz w:val="17"/>
          <w:szCs w:val="17"/>
          <w:i w:val="1"/>
          <w:iCs w:val="1"/>
          <w:color w:val="auto"/>
        </w:rPr>
        <w:t xml:space="preserve"> Transfers and Servicing, </w:t>
      </w:r>
      <w:r>
        <w:rPr>
          <w:rFonts w:ascii="Arial" w:cs="Arial" w:eastAsia="Arial" w:hAnsi="Arial"/>
          <w:sz w:val="17"/>
          <w:szCs w:val="17"/>
          <w:color w:val="auto"/>
        </w:rPr>
        <w:t>when accounting for loan participations and other partial</w:t>
      </w:r>
      <w:r>
        <w:rPr>
          <w:rFonts w:ascii="Arial" w:cs="Arial" w:eastAsia="Arial" w:hAnsi="Arial"/>
          <w:sz w:val="17"/>
          <w:szCs w:val="17"/>
          <w:i w:val="1"/>
          <w:iCs w:val="1"/>
          <w:color w:val="auto"/>
        </w:rPr>
        <w:t xml:space="preserve"> </w:t>
      </w:r>
      <w:r>
        <w:rPr>
          <w:rFonts w:ascii="Arial" w:cs="Arial" w:eastAsia="Arial" w:hAnsi="Arial"/>
          <w:sz w:val="17"/>
          <w:szCs w:val="17"/>
          <w:color w:val="auto"/>
        </w:rPr>
        <w:t>loan sales. Such guidance requires a participation or other partial loan sale to meet the definition of a “participating interest,” as defined in the guidance, in order for sale treatment to be allowed. Participations or other partial loan sales which do not meet the definition of a participating interest should remain on the Company’s consolidated statement of assets and liabilities and the proceeds recorded as a secured borrowing until the definition is met. Management has determined that all participations and other partial loan sale transactions entered into by the Company have met the definition of a participating interest. Accordingly, the Company uses sale treatment in accounting for such transactions.</w:t>
      </w:r>
    </w:p>
    <w:p>
      <w:pPr>
        <w:spacing w:after="0" w:line="17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Company has elected to be treated as a RIC under Subchapter M of the Code, which will generally relieve the Company from U.S.</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income taxes with respect to all income distributed to stockholders. To maintain the tax treatment of a RIC, the Company is required to timely distribute to its stockholders at least 90.0% of “investment company taxable income,” as defined by Subchapter M of the Code, each year. Depending on the level of taxable income earned in a tax year, the Company may choose to carry forward taxable income in excess of current year distributions into the next tax year; however, the Company will pay a 4.0% excise tax if it does not distribute at least 98.0% of the current year’s ordinary taxable income. Any such carryover taxable income must be distributed through a dividend declared prior to the later of the date on which the final tax return related to the year in which the Company generated such taxable income is filed or the 15</w:t>
      </w:r>
      <w:r>
        <w:rPr>
          <w:rFonts w:ascii="Arial" w:cs="Arial" w:eastAsia="Arial" w:hAnsi="Arial"/>
          <w:sz w:val="15"/>
          <w:szCs w:val="15"/>
          <w:color w:val="auto"/>
        </w:rPr>
        <w:t>th</w:t>
      </w:r>
      <w:r>
        <w:rPr>
          <w:rFonts w:ascii="Arial" w:cs="Arial" w:eastAsia="Arial" w:hAnsi="Arial"/>
          <w:sz w:val="18"/>
          <w:szCs w:val="18"/>
          <w:color w:val="auto"/>
        </w:rPr>
        <w:t xml:space="preserve"> day of the 9</w:t>
      </w:r>
      <w:r>
        <w:rPr>
          <w:rFonts w:ascii="Arial" w:cs="Arial" w:eastAsia="Arial" w:hAnsi="Arial"/>
          <w:sz w:val="15"/>
          <w:szCs w:val="15"/>
          <w:color w:val="auto"/>
        </w:rPr>
        <w:t>th</w:t>
      </w:r>
      <w:r>
        <w:rPr>
          <w:rFonts w:ascii="Arial" w:cs="Arial" w:eastAsia="Arial" w:hAnsi="Arial"/>
          <w:sz w:val="18"/>
          <w:szCs w:val="18"/>
          <w:color w:val="auto"/>
        </w:rPr>
        <w:t xml:space="preserve"> month following the close of such taxable year. In addition, the Company will be subject to federal excise tax if it does not distribute at least 98.2% of its net capital gains realized, computed for any one year period ending October 31.</w:t>
      </w:r>
    </w:p>
    <w:p>
      <w:pPr>
        <w:spacing w:after="0" w:line="19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the future, the Funds may be limited by provisions of the SBIC Act and SBA regulations governing SBICs from making certain distributions to FIC that may be necessary to enable FIC to make the minimum distributions required to maintain the tax treatment of a RIC.</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The Company has certain wholly-owned taxable subsidiaries (the “Taxable Subsidiaries”),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companies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spacing w:after="0" w:line="17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federal income taxes. Temporary differences arise when certain items of income, expense, gain or loss are recognized at some time in the future.</w:t>
      </w:r>
    </w:p>
    <w:p>
      <w:pPr>
        <w:spacing w:after="0" w:line="18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ASC Topic 740 —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 income tax provision, if any. There were no material uncertain income tax positions at June 30, 2017 and December 31, 2016. The Company’s tax returns are generally subject to examination by U.S. federal and most state tax authorities for a period of three years from the date the respective returns are filed, and, accordingly, the Company’s 2013 through 2016 tax years remain subject to examination.</w:t>
      </w:r>
    </w:p>
    <w:p>
      <w:pPr>
        <w:spacing w:after="0" w:line="192"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i w:val="1"/>
          <w:iCs w:val="1"/>
          <w:color w:val="auto"/>
        </w:rPr>
        <w:t xml:space="preserve">Distributions to stockholders: </w:t>
      </w:r>
      <w:r>
        <w:rPr>
          <w:rFonts w:ascii="Arial" w:cs="Arial" w:eastAsia="Arial" w:hAnsi="Arial"/>
          <w:sz w:val="17"/>
          <w:szCs w:val="17"/>
          <w:color w:val="auto"/>
        </w:rPr>
        <w:t>Distributions to stockholders are recorded on the record date with respect to such distributions. The amount, if any, to be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spacing w:after="0" w:line="166" w:lineRule="exact"/>
        <w:rPr>
          <w:sz w:val="20"/>
          <w:szCs w:val="20"/>
          <w:color w:val="auto"/>
        </w:rPr>
      </w:pPr>
    </w:p>
    <w:p>
      <w:pPr>
        <w:ind w:right="480" w:firstLine="456"/>
        <w:spacing w:after="0" w:line="276" w:lineRule="auto"/>
        <w:rPr>
          <w:sz w:val="20"/>
          <w:szCs w:val="20"/>
          <w:color w:val="auto"/>
        </w:rPr>
      </w:pPr>
      <w:r>
        <w:rPr>
          <w:rFonts w:ascii="Arial" w:cs="Arial" w:eastAsia="Arial" w:hAnsi="Arial"/>
          <w:sz w:val="17"/>
          <w:szCs w:val="17"/>
          <w:color w:val="auto"/>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spacing w:after="0" w:line="17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three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spacing w:after="0" w:line="179"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i w:val="1"/>
          <w:iCs w:val="1"/>
          <w:color w:val="auto"/>
        </w:rPr>
        <w:t xml:space="preserve">Earnings and net asset value per share: </w:t>
      </w:r>
      <w:r>
        <w:rPr>
          <w:rFonts w:ascii="Arial" w:cs="Arial" w:eastAsia="Arial" w:hAnsi="Arial"/>
          <w:sz w:val="18"/>
          <w:szCs w:val="18"/>
          <w:color w:val="auto"/>
        </w:rPr>
        <w:t>The earnings per share calculations for the three and six months ended June 30, 2017 and 2016, are computed</w:t>
      </w:r>
      <w:r>
        <w:rPr>
          <w:rFonts w:ascii="Arial" w:cs="Arial" w:eastAsia="Arial" w:hAnsi="Arial"/>
          <w:sz w:val="18"/>
          <w:szCs w:val="18"/>
          <w:i w:val="1"/>
          <w:iCs w:val="1"/>
          <w:color w:val="auto"/>
        </w:rPr>
        <w:t xml:space="preserve"> </w:t>
      </w:r>
      <w:r>
        <w:rPr>
          <w:rFonts w:ascii="Arial" w:cs="Arial" w:eastAsia="Arial" w:hAnsi="Arial"/>
          <w:sz w:val="18"/>
          <w:szCs w:val="18"/>
          <w:color w:val="auto"/>
        </w:rPr>
        <w:t>utilizing the weighted average shares outstanding for the period. Net asset value per share is calculated using the number of shares outstanding as of the end of the period.</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 xml:space="preserve">Stock repurchase plan: </w:t>
      </w:r>
      <w:r>
        <w:rPr>
          <w:rFonts w:ascii="Arial" w:cs="Arial" w:eastAsia="Arial" w:hAnsi="Arial"/>
          <w:sz w:val="17"/>
          <w:szCs w:val="17"/>
          <w:color w:val="auto"/>
        </w:rPr>
        <w:t>The Company has an open market stock repurchase program (the “Program”) under which the Company may acquire up to $5.0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its outstanding common stock. Under the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On November 1, 2016, the Board extended the Program through December 31, 2017, or until the approved dollar amount has been used to repurchase shares. The Program does not require the Company to repurchase any specific number of shares and the Company cannot assure that any shares will be repurchased under the Program. The Program may be suspended, extended, modified or discontinued at any time. The Company did not make any repurchases of common stock during the three and six months ended June 30, 2017 or 2016.</w:t>
      </w:r>
    </w:p>
    <w:p>
      <w:pPr>
        <w:sectPr>
          <w:pgSz w:w="11900" w:h="16838" w:orient="portrait"/>
          <w:cols w:equalWidth="0" w:num="1">
            <w:col w:w="11420"/>
          </w:cols>
          <w:pgMar w:left="240" w:top="459"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 xml:space="preserve">Recent accounting pronouncements: </w:t>
      </w:r>
      <w:r>
        <w:rPr>
          <w:rFonts w:ascii="Arial" w:cs="Arial" w:eastAsia="Arial" w:hAnsi="Arial"/>
          <w:sz w:val="17"/>
          <w:szCs w:val="17"/>
          <w:color w:val="auto"/>
        </w:rPr>
        <w:t>In May 2014, the Financial Accounting Standards Board (“FASB”) issued Accounting Standards Update (“ASU”)</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which supersedes the revenue recognition requirements in </w:t>
      </w:r>
      <w:r>
        <w:rPr>
          <w:rFonts w:ascii="Arial" w:cs="Arial" w:eastAsia="Arial" w:hAnsi="Arial"/>
          <w:sz w:val="17"/>
          <w:szCs w:val="17"/>
          <w:i w:val="1"/>
          <w:iCs w:val="1"/>
          <w:color w:val="auto"/>
        </w:rPr>
        <w:t>Revenue Recognition (Topic 605)</w:t>
      </w:r>
      <w:r>
        <w:rPr>
          <w:rFonts w:ascii="Arial" w:cs="Arial" w:eastAsia="Arial" w:hAnsi="Arial"/>
          <w:sz w:val="17"/>
          <w:szCs w:val="17"/>
          <w:color w:val="auto"/>
        </w:rPr>
        <w:t>. Under the new guidance, an entity should recognize revenue to depict the transfer of promised goods or services to customers in an amount that reflects the consideration to which the entity expects to be entitled in exchange for those goods or services. In August 2015, the FASB issued ASU 2015-14, which defers the effective date of ASU 2014-09, such that the guidance is effective for annual and interim reporting periods beginning after December 15, 2017 and early application is permitted only for annual reporting periods beginning after December 15, 2016, including interim reporting periods within that reporting period. The Company is currently evaluating the impact this ASU will have on the Company’s consolidated financial position or disclosures, but the Company does not expect the impact to be material.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Portfolio Company Investments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portfolio investments principally consist of secured and unsecured debt, equity warrants and direct equity investments in privately held companies. The debt investments may or may not be secured by either a first or second lien on the assets of the portfolio company. The debt investments generally bear interest at fixed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periodically makes equity investments in its portfolio companies through Taxable Subsidiaries. In both situations, the investment is generally reported under the name of the operating company on the consolidated schedules of investments.</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June 30, 2017, the Company had active investments in 55 portfolio companies and residual investments in five portfolio companies that have sold their underlying operations. The aggregate fair value of the total portfolio was $553,260 and the weighted average effective yield on the Company’s debt investments was 13.0% as of such date. As of June 30, 2017, the Company held equity investments in 86.7% of its portfolio companies and the average fully diluted equity ownership in those portfolio companies was 7.3%.</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December 31, 2016, the Company had active investments in 53 portfolio companies and residual investments in four portfolio companies that have sold their underlying operations. The aggregate fair value of the total portfolio was $524,454 and the weighted average effective yield on the Company’s debt investments was 13.1% as of such date. As of December 31, 2016, the Company held equity investments in 86.0% of its portfolio companies and the average fully diluted equity ownership in those portfolio companies was 7.3%.</w:t>
      </w:r>
    </w:p>
    <w:p>
      <w:pPr>
        <w:spacing w:after="0" w:line="18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 The weighted average yields were computed using the effective interest rates for debt investments at cost as of June 30, 2017 and December 31, 2016, including accretion of original issue discount and loan origination fees, but excluding investments on non-accrual status, if any.</w:t>
      </w:r>
    </w:p>
    <w:p>
      <w:pPr>
        <w:spacing w:after="0" w:line="17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Purchases of debt and equity investments for the six months ended June 30, 2017 and 2016, totaled $87,087 and $44,422, respectively. Proceeds from sales and repayments, including principal, return of capital distributions and realized gains, of portfolio investments for the six months ended June 30, 2017 and 2016 totaled $66,733 and $46,034, respectively.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by type with corresponding percentage of total portfolio investments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Fair Value</w:t>
            </w: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Cost</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9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June 30, 2017</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December 31, 2016</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June 30, 2017</w:t>
            </w:r>
          </w:p>
        </w:tc>
        <w:tc>
          <w:tcPr>
            <w:tcW w:w="3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110"/>
              <w:spacing w:after="0" w:line="142" w:lineRule="exact"/>
              <w:rPr>
                <w:sz w:val="20"/>
                <w:szCs w:val="20"/>
                <w:color w:val="auto"/>
              </w:rPr>
            </w:pPr>
            <w:r>
              <w:rPr>
                <w:rFonts w:ascii="Arial" w:cs="Arial" w:eastAsia="Arial" w:hAnsi="Arial"/>
                <w:sz w:val="14"/>
                <w:szCs w:val="14"/>
                <w:b w:val="1"/>
                <w:bCs w:val="1"/>
                <w:color w:val="auto"/>
                <w:w w:val="95"/>
              </w:rPr>
              <w:t>December 31, 2016</w:t>
            </w:r>
          </w:p>
        </w:tc>
        <w:tc>
          <w:tcPr>
            <w:tcW w:w="200" w:type="dxa"/>
            <w:vAlign w:val="bottom"/>
            <w:tcBorders>
              <w:bottom w:val="single" w:sz="8" w:color="CCEEFF"/>
            </w:tcBorders>
          </w:tcPr>
          <w:p>
            <w:pPr>
              <w:spacing w:after="0"/>
              <w:rPr>
                <w:sz w:val="12"/>
                <w:szCs w:val="12"/>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387,806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363,646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389,454</w:t>
            </w:r>
          </w:p>
        </w:tc>
        <w:tc>
          <w:tcPr>
            <w:tcW w:w="8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73.3%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364,543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Senior secured loans</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76,045</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79,758</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82,724</w:t>
            </w:r>
          </w:p>
        </w:tc>
        <w:tc>
          <w:tcPr>
            <w:tcW w:w="840" w:type="dxa"/>
            <w:vAlign w:val="bottom"/>
            <w:gridSpan w:val="2"/>
          </w:tcPr>
          <w:p>
            <w:pPr>
              <w:jc w:val="right"/>
              <w:ind w:right="308"/>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83,426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16.7</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75,823</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70,849</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50,972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45,207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Warrants</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13,586</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10,201</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8,009</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7,153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Royalty rights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553,260</w:t>
            </w:r>
          </w:p>
        </w:tc>
        <w:tc>
          <w:tcPr>
            <w:tcW w:w="2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100.0%</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524,454</w:t>
            </w:r>
          </w:p>
        </w:tc>
        <w:tc>
          <w:tcPr>
            <w:tcW w:w="2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100.0%</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531,344</w:t>
            </w:r>
          </w:p>
        </w:tc>
        <w:tc>
          <w:tcPr>
            <w:tcW w:w="240" w:type="dxa"/>
            <w:vAlign w:val="bottom"/>
          </w:tcPr>
          <w:p>
            <w:pPr>
              <w:spacing w:after="0"/>
              <w:rPr>
                <w:sz w:val="19"/>
                <w:szCs w:val="19"/>
                <w:color w:val="auto"/>
              </w:rPr>
            </w:pPr>
          </w:p>
        </w:tc>
        <w:tc>
          <w:tcPr>
            <w:tcW w:w="840" w:type="dxa"/>
            <w:vAlign w:val="bottom"/>
            <w:gridSpan w:val="2"/>
          </w:tcPr>
          <w:p>
            <w:pPr>
              <w:jc w:val="right"/>
              <w:ind w:right="168"/>
              <w:spacing w:after="0"/>
              <w:rPr>
                <w:sz w:val="20"/>
                <w:szCs w:val="20"/>
                <w:color w:val="auto"/>
              </w:rPr>
            </w:pPr>
            <w:r>
              <w:rPr>
                <w:rFonts w:ascii="Arial" w:cs="Arial" w:eastAsia="Arial" w:hAnsi="Arial"/>
                <w:sz w:val="18"/>
                <w:szCs w:val="18"/>
                <w:color w:val="auto"/>
                <w:w w:val="94"/>
              </w:rPr>
              <w:t>100.0%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500,514</w:t>
            </w:r>
          </w:p>
        </w:tc>
        <w:tc>
          <w:tcPr>
            <w:tcW w:w="2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0"/>
        </w:trPr>
        <w:tc>
          <w:tcPr>
            <w:tcW w:w="3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9"/>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24</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All investments made by the Company as of June 30, 2017 and December 31, 2016 were made in portfolio companies headquartered in the U.S. 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Fair Value</w:t>
            </w: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Cost</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ind w:left="180"/>
              <w:spacing w:after="0" w:line="142" w:lineRule="exact"/>
              <w:rPr>
                <w:sz w:val="20"/>
                <w:szCs w:val="20"/>
                <w:color w:val="auto"/>
              </w:rPr>
            </w:pPr>
            <w:r>
              <w:rPr>
                <w:rFonts w:ascii="Arial" w:cs="Arial" w:eastAsia="Arial" w:hAnsi="Arial"/>
                <w:sz w:val="14"/>
                <w:szCs w:val="14"/>
                <w:b w:val="1"/>
                <w:bCs w:val="1"/>
                <w:color w:val="auto"/>
              </w:rPr>
              <w:t>June 30, 2017</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December 31, 2016</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June 30, 2017</w:t>
            </w:r>
          </w:p>
        </w:tc>
        <w:tc>
          <w:tcPr>
            <w:tcW w:w="3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110"/>
              <w:spacing w:after="0" w:line="142" w:lineRule="exact"/>
              <w:rPr>
                <w:sz w:val="20"/>
                <w:szCs w:val="20"/>
                <w:color w:val="auto"/>
              </w:rPr>
            </w:pPr>
            <w:r>
              <w:rPr>
                <w:rFonts w:ascii="Arial" w:cs="Arial" w:eastAsia="Arial" w:hAnsi="Arial"/>
                <w:sz w:val="14"/>
                <w:szCs w:val="14"/>
                <w:b w:val="1"/>
                <w:bCs w:val="1"/>
                <w:color w:val="auto"/>
                <w:w w:val="95"/>
              </w:rPr>
              <w:t>December 31, 2016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186,915</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166,412</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176,787</w:t>
            </w:r>
          </w:p>
        </w:tc>
        <w:tc>
          <w:tcPr>
            <w:tcW w:w="8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153,456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Southeast</w:t>
            </w: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119,355</w:t>
            </w:r>
          </w:p>
        </w:tc>
        <w:tc>
          <w:tcPr>
            <w:tcW w:w="2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122,633</w:t>
            </w:r>
          </w:p>
        </w:tc>
        <w:tc>
          <w:tcPr>
            <w:tcW w:w="2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126,283</w:t>
            </w:r>
          </w:p>
        </w:tc>
        <w:tc>
          <w:tcPr>
            <w:tcW w:w="840" w:type="dxa"/>
            <w:vAlign w:val="bottom"/>
            <w:gridSpan w:val="2"/>
          </w:tcPr>
          <w:p>
            <w:pPr>
              <w:jc w:val="right"/>
              <w:ind w:right="308"/>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130,107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105,735</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98,470</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100,801</w:t>
            </w:r>
          </w:p>
        </w:tc>
        <w:tc>
          <w:tcPr>
            <w:tcW w:w="8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94,481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West</w:t>
            </w: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71,561</w:t>
            </w:r>
          </w:p>
        </w:tc>
        <w:tc>
          <w:tcPr>
            <w:tcW w:w="2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73,703</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56,673</w:t>
            </w:r>
          </w:p>
        </w:tc>
        <w:tc>
          <w:tcPr>
            <w:tcW w:w="840" w:type="dxa"/>
            <w:vAlign w:val="bottom"/>
            <w:gridSpan w:val="2"/>
          </w:tcPr>
          <w:p>
            <w:pPr>
              <w:jc w:val="right"/>
              <w:ind w:right="308"/>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63,717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63,236</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70,800</w:t>
            </w:r>
          </w:p>
        </w:tc>
        <w:tc>
          <w:tcPr>
            <w:tcW w:w="8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58,753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vMerge w:val="continue"/>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553,260</w:t>
            </w:r>
          </w:p>
        </w:tc>
        <w:tc>
          <w:tcPr>
            <w:tcW w:w="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100.0%</w:t>
            </w:r>
          </w:p>
        </w:tc>
        <w:tc>
          <w:tcPr>
            <w:tcW w:w="1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524,454</w:t>
            </w:r>
          </w:p>
        </w:tc>
        <w:tc>
          <w:tcPr>
            <w:tcW w:w="240" w:type="dxa"/>
            <w:vAlign w:val="bottom"/>
            <w:vMerge w:val="continue"/>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100.0%</w:t>
            </w:r>
          </w:p>
        </w:tc>
        <w:tc>
          <w:tcPr>
            <w:tcW w:w="10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531,344</w:t>
            </w:r>
          </w:p>
        </w:tc>
        <w:tc>
          <w:tcPr>
            <w:tcW w:w="240" w:type="dxa"/>
            <w:vAlign w:val="bottom"/>
            <w:vMerge w:val="continue"/>
          </w:tcPr>
          <w:p>
            <w:pPr>
              <w:spacing w:after="0"/>
              <w:rPr>
                <w:sz w:val="19"/>
                <w:szCs w:val="19"/>
                <w:color w:val="auto"/>
              </w:rPr>
            </w:pPr>
          </w:p>
        </w:tc>
        <w:tc>
          <w:tcPr>
            <w:tcW w:w="840" w:type="dxa"/>
            <w:vAlign w:val="bottom"/>
            <w:gridSpan w:val="2"/>
          </w:tcPr>
          <w:p>
            <w:pPr>
              <w:jc w:val="right"/>
              <w:ind w:right="168"/>
              <w:spacing w:after="0"/>
              <w:rPr>
                <w:sz w:val="20"/>
                <w:szCs w:val="20"/>
                <w:color w:val="auto"/>
              </w:rPr>
            </w:pPr>
            <w:r>
              <w:rPr>
                <w:rFonts w:ascii="Arial" w:cs="Arial" w:eastAsia="Arial" w:hAnsi="Arial"/>
                <w:sz w:val="18"/>
                <w:szCs w:val="18"/>
                <w:color w:val="auto"/>
                <w:w w:val="94"/>
              </w:rPr>
              <w:t>100.0%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500,514</w:t>
            </w:r>
          </w:p>
        </w:tc>
        <w:tc>
          <w:tcPr>
            <w:tcW w:w="24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As of June 30, 2017 and December 31, 2016, the Company had no portfolio company investments that represented more than 10% of the total investment portfolio on a fair value or cost basis. As of June 30, 2017, the Company had debt investments in one portfolio company on non-accrual status, which had an aggregate cost and fair value of $9,314 and $6,175, respectively. As of December 31, 2016, there were no investments on non-accrual status.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12-14. Consolidated Schedule of Investments In and Advances To Affiliates</w:t>
      </w:r>
    </w:p>
    <w:p>
      <w:pPr>
        <w:spacing w:after="0" w:line="12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table below represents the fair value of affiliate investments as of December 31, 2016 and any gross additions and reductions made to such investments during the six months ended June 30, 2017, as well as the ending fair value as of June 30,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Credited to</w:t>
            </w:r>
          </w:p>
        </w:tc>
        <w:tc>
          <w:tcPr>
            <w:tcW w:w="13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8"/>
              </w:rPr>
              <w:t>Gross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4"/>
                <w:szCs w:val="14"/>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9"/>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2"/>
                <w:szCs w:val="12"/>
                <w:b w:val="1"/>
                <w:bCs w:val="1"/>
                <w:color w:val="auto"/>
              </w:rPr>
              <w:t>(1)</w:t>
            </w:r>
          </w:p>
        </w:tc>
        <w:tc>
          <w:tcPr>
            <w:tcW w:w="12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2016</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center"/>
              <w:ind w:right="51"/>
              <w:spacing w:after="0" w:line="149"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00" w:type="dxa"/>
            <w:vAlign w:val="bottom"/>
            <w:gridSpan w:val="2"/>
            <w:vMerge w:val="continue"/>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Income</w:t>
            </w: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Fair Value</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Additions</w:t>
            </w: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Reductions</w:t>
            </w:r>
            <w:r>
              <w:rPr>
                <w:rFonts w:ascii="Arial" w:cs="Arial" w:eastAsia="Arial" w:hAnsi="Arial"/>
                <w:sz w:val="12"/>
                <w:szCs w:val="12"/>
                <w:b w:val="1"/>
                <w:bCs w:val="1"/>
                <w:color w:val="auto"/>
              </w:rPr>
              <w:t>(4)</w:t>
            </w:r>
          </w:p>
        </w:tc>
        <w:tc>
          <w:tcPr>
            <w:tcW w:w="260" w:type="dxa"/>
            <w:vAlign w:val="bottom"/>
          </w:tcPr>
          <w:p>
            <w:pPr>
              <w:spacing w:after="0"/>
              <w:rPr>
                <w:sz w:val="14"/>
                <w:szCs w:val="14"/>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Affiliate Investments</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Apex Microtechnology, Inc.</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Common Equity</w:t>
            </w: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FAR Research Inc.</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7,271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7,297</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Revolving Loan</w:t>
            </w: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1,012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6"/>
              </w:rPr>
              <w:t>468</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8,421</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86"/>
              </w:rPr>
              <w:t>120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FDS Avionics Corp. (dba Flight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Display Systems)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5,005</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Preferred Equity</w:t>
            </w:r>
          </w:p>
        </w:tc>
        <w:tc>
          <w:tcPr>
            <w:tcW w:w="26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2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371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309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6"/>
              </w:rPr>
              <w:t>247</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86"/>
              </w:rPr>
              <w:t>309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Fiber Materials, Inc.</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Subordinated Note</w:t>
            </w:r>
          </w:p>
        </w:tc>
        <w:tc>
          <w:tcPr>
            <w:tcW w:w="26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3,984</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4,023</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6"/>
              </w:rPr>
              <w:t>264</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4,984</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Inflexxion, Inc.</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Senior Secured Loan</w:t>
            </w:r>
          </w:p>
        </w:tc>
        <w:tc>
          <w:tcPr>
            <w:tcW w:w="26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3,579</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172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Loan</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Preferred Equity</w:t>
            </w:r>
          </w:p>
        </w:tc>
        <w:tc>
          <w:tcPr>
            <w:tcW w:w="26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Equity</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Preferred Equity</w:t>
            </w: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3,968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216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4,167</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6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w w:val="91"/>
              </w:rPr>
              <w:t>Credited to</w:t>
            </w:r>
          </w:p>
        </w:tc>
        <w:tc>
          <w:tcPr>
            <w:tcW w:w="14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9"/>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2"/>
                <w:szCs w:val="12"/>
                <w:b w:val="1"/>
                <w:bCs w:val="1"/>
                <w:color w:val="auto"/>
              </w:rPr>
              <w:t>(1)</w:t>
            </w:r>
          </w:p>
        </w:tc>
        <w:tc>
          <w:tcPr>
            <w:tcW w:w="1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89"/>
              </w:rPr>
              <w:t>2016</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tcPr>
          <w:p>
            <w:pPr>
              <w:jc w:val="center"/>
              <w:ind w:left="191"/>
              <w:spacing w:after="0" w:line="149"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80" w:type="dxa"/>
            <w:vAlign w:val="bottom"/>
            <w:gridSpan w:val="2"/>
            <w:vMerge w:val="continue"/>
          </w:tcPr>
          <w:p>
            <w:pPr>
              <w:spacing w:after="0"/>
              <w:rPr>
                <w:sz w:val="14"/>
                <w:szCs w:val="1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Income</w:t>
            </w: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3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Fair Value</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Additions</w:t>
            </w:r>
            <w:r>
              <w:rPr>
                <w:rFonts w:ascii="Arial" w:cs="Arial" w:eastAsia="Arial" w:hAnsi="Arial"/>
                <w:sz w:val="12"/>
                <w:szCs w:val="12"/>
                <w:b w:val="1"/>
                <w:bCs w:val="1"/>
                <w:color w:val="auto"/>
              </w:rPr>
              <w:t>(3)</w:t>
            </w:r>
          </w:p>
        </w:tc>
        <w:tc>
          <w:tcPr>
            <w:tcW w:w="2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Reductions</w:t>
            </w:r>
            <w:r>
              <w:rPr>
                <w:rFonts w:ascii="Arial" w:cs="Arial" w:eastAsia="Arial" w:hAnsi="Arial"/>
                <w:sz w:val="12"/>
                <w:szCs w:val="12"/>
                <w:b w:val="1"/>
                <w:bCs w:val="1"/>
                <w:color w:val="auto"/>
              </w:rPr>
              <w:t>(4)</w:t>
            </w:r>
          </w:p>
        </w:tc>
        <w:tc>
          <w:tcPr>
            <w:tcW w:w="28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40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Malabar International</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Subordinated Note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7,617</w:t>
            </w:r>
          </w:p>
        </w:tc>
        <w:tc>
          <w:tcPr>
            <w:tcW w:w="5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  7,693</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Equity</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6,009</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w w:val="79"/>
              </w:rPr>
              <w:t>570</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12,984</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Medsurant Holdings, LLC</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Subordinated Note</w:t>
            </w: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6,267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Equity</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Warrant</w:t>
            </w: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5,199</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2,785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7,984</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12,971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3,542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16,508</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i w:val="1"/>
                <w:iCs w:val="1"/>
                <w:color w:val="auto"/>
              </w:rPr>
              <w:t>Microbiology Research Associates, Inc.</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8,602</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Common Equity</w:t>
            </w: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11,421</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i w:val="1"/>
                <w:iCs w:val="1"/>
                <w:color w:val="auto"/>
              </w:rPr>
              <w:t>Mirage Trailers LLC</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2,248</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Common Equity</w:t>
            </w:r>
          </w:p>
        </w:tc>
        <w:tc>
          <w:tcPr>
            <w:tcW w:w="16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10,929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2,248</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8,798</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i w:val="1"/>
                <w:iCs w:val="1"/>
                <w:color w:val="auto"/>
              </w:rPr>
              <w:t>Pinnergy, Ltd.</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8,843</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Common Equity — Class A-2</w:t>
            </w: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3,000</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2,494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 — Class B</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w w:val="79"/>
              </w:rPr>
              <w:t>451</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14,414</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Pfanstiehl, Inc.</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Subordinated Note</w:t>
            </w: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6,208</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6,208</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13,750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2,613</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11,137</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w w:val="79"/>
              </w:rPr>
              <w:t>505</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19,958</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Safety Products Group, LLC</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Preferred Equity</w:t>
            </w: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SES Investors, LLC</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i w:val="1"/>
                <w:iCs w:val="1"/>
                <w:color w:val="auto"/>
              </w:rPr>
              <w:t>(dba SES Foam)</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10,424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1,089</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9,340</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Revolving Loan</w:t>
            </w:r>
          </w:p>
        </w:tc>
        <w:tc>
          <w:tcPr>
            <w:tcW w:w="16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993</w:t>
            </w: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507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w w:val="79"/>
              </w:rPr>
              <w:t>629</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12,017</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auto"/>
              </w:rPr>
              <w:t>26</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Credited to</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8"/>
              </w:rPr>
              <w:t>Gross</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9"/>
        </w:trPr>
        <w:tc>
          <w:tcPr>
            <w:tcW w:w="6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2"/>
                <w:szCs w:val="12"/>
                <w:b w:val="1"/>
                <w:bCs w:val="1"/>
                <w:color w:val="auto"/>
              </w:rPr>
              <w:t>(1)</w:t>
            </w: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93"/>
              <w:spacing w:after="0" w:line="149"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60" w:type="dxa"/>
            <w:vAlign w:val="bottom"/>
            <w:gridSpan w:val="4"/>
            <w:vMerge w:val="continue"/>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Income</w:t>
            </w: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2"/>
              </w:rPr>
              <w:t>Fair Value</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Additions</w:t>
            </w:r>
            <w:r>
              <w:rPr>
                <w:rFonts w:ascii="Arial" w:cs="Arial" w:eastAsia="Arial" w:hAnsi="Arial"/>
                <w:sz w:val="12"/>
                <w:szCs w:val="12"/>
                <w:b w:val="1"/>
                <w:bCs w:val="1"/>
                <w:color w:val="auto"/>
              </w:rPr>
              <w:t>(3)</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Reductions</w:t>
            </w: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w w:val="98"/>
              </w:rPr>
              <w:t>Steward Holding</w:t>
            </w:r>
          </w:p>
        </w:tc>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LLC</w:t>
            </w:r>
          </w:p>
        </w:tc>
        <w:tc>
          <w:tcPr>
            <w:tcW w:w="1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i w:val="1"/>
                <w:iCs w:val="1"/>
                <w:color w:val="auto"/>
              </w:rPr>
              <w:t>(dba Steward Advanced Materials)</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Note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7,181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Common Equity</w:t>
            </w:r>
          </w:p>
        </w:tc>
        <w:tc>
          <w:tcPr>
            <w:tcW w:w="18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678</w:t>
            </w:r>
          </w:p>
        </w:tc>
        <w:tc>
          <w:tcPr>
            <w:tcW w:w="14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562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7,859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i w:val="1"/>
                <w:iCs w:val="1"/>
                <w:color w:val="auto"/>
              </w:rPr>
              <w:t>Trantech Radiator Products, Inc.</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Note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6,994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Common Equity</w:t>
            </w:r>
          </w:p>
        </w:tc>
        <w:tc>
          <w:tcPr>
            <w:tcW w:w="18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504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7,236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i w:val="1"/>
                <w:iCs w:val="1"/>
                <w:color w:val="auto"/>
              </w:rPr>
              <w:t>World Wide Packaging, LLC</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2,898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6"/>
              </w:rPr>
              <w:t>126</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Affiliate Investments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132,013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15,234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139,800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40" w:hanging="452"/>
        <w:spacing w:after="0" w:line="25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principal amount, the ownership detail for equity investments, and if the investment is income producing is shown in the consolidated schedule of investments.</w:t>
      </w:r>
    </w:p>
    <w:p>
      <w:pPr>
        <w:spacing w:after="0" w:line="1" w:lineRule="exact"/>
        <w:rPr>
          <w:rFonts w:ascii="Arial" w:cs="Arial" w:eastAsia="Arial" w:hAnsi="Arial"/>
          <w:sz w:val="18"/>
          <w:szCs w:val="18"/>
          <w:color w:val="auto"/>
        </w:rPr>
      </w:pPr>
    </w:p>
    <w:p>
      <w:pPr>
        <w:ind w:left="460" w:right="62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total amount of interest, fees or dividends included in 2017 income for the portion of the six months ended June 30, 2017 that an investment was included in the Affiliate category.</w:t>
      </w:r>
    </w:p>
    <w:p>
      <w:pPr>
        <w:jc w:val="both"/>
        <w:ind w:left="460" w:right="54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Gross additions include increases in the cost basis of investments resulting from a new portfolio investment, follow on investments, accrued PIK interest or dividends, and accretion of OID and loan origination fees. Gross additions also include net increases in unrealized appreciation or net decreases in unrealized depreciation, as well as the movement of an existing portfolio company into this category and out of a different category.</w:t>
      </w:r>
    </w:p>
    <w:p>
      <w:pPr>
        <w:spacing w:after="0" w:line="2" w:lineRule="exact"/>
        <w:rPr>
          <w:rFonts w:ascii="Arial" w:cs="Arial" w:eastAsia="Arial" w:hAnsi="Arial"/>
          <w:sz w:val="16"/>
          <w:szCs w:val="16"/>
          <w:color w:val="auto"/>
        </w:rPr>
      </w:pPr>
    </w:p>
    <w:p>
      <w:pPr>
        <w:ind w:left="460" w:right="30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repayments, if any. Gross reductions also include net increases in unrealized depreciation or net decreases in unrealized appreciation as well as the movement of an existing portfolio company out of this category and into a different category.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unadjusted, quoted prices in active markets for identical assets as of the measurement date.</w:t>
      </w:r>
    </w:p>
    <w:p>
      <w:pPr>
        <w:spacing w:after="0" w:line="225"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Inputs include quoted prices for similar assets in active markets, or that are quoted prices for identical or similar assets in markets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not active and inputs that are observable, either directly or indirectly, for substantially the full term, if applicable, of the investment.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include those that are both unobservable and significant to the overall fair value measurement.</w:t>
      </w:r>
    </w:p>
    <w:p>
      <w:pPr>
        <w:spacing w:after="0" w:line="22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using Level 3 inputs. The degree of judgment exercised by the Board in determining fair value is greatest for investments classified as Level 3 inputs. Due to the inherent uncertainty of determining the fair values of investments that do not have readily available market values,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spacing w:after="0" w:line="166"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the Board undertakes a multi-step valuation process each quarter, as described below:</w:t>
      </w:r>
    </w:p>
    <w:p>
      <w:pPr>
        <w:spacing w:after="0" w:line="76" w:lineRule="exact"/>
        <w:rPr>
          <w:sz w:val="20"/>
          <w:szCs w:val="20"/>
          <w:color w:val="auto"/>
        </w:rPr>
      </w:pPr>
    </w:p>
    <w:p>
      <w:pPr>
        <w:ind w:left="900" w:right="82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evaluated and rated by the investment professionals of the Investment Advisor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investment committee of the Investment Advisor;</w:t>
      </w:r>
    </w:p>
    <w:p>
      <w:pPr>
        <w:spacing w:after="0" w:line="130" w:lineRule="exact"/>
        <w:rPr>
          <w:rFonts w:ascii="Arial" w:cs="Arial" w:eastAsia="Arial" w:hAnsi="Arial"/>
          <w:sz w:val="18"/>
          <w:szCs w:val="18"/>
          <w:color w:val="auto"/>
        </w:rPr>
      </w:pPr>
    </w:p>
    <w:p>
      <w:pPr>
        <w:ind w:left="900" w:right="40" w:hanging="446"/>
        <w:spacing w:after="0" w:line="270"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 The Board consulted with the independent valuation firm(s) in arriving at the Company’s determination of fair value for 16 and 13 of its portfolio company investments representing 34.9% and 30.5% of the total portfolio investments at fair value (exclusive of new portfolio company investments made during the three months ended June 30, 2017 and December 31, 2016, respectively) as of June 30, 2017 and December 31, 2016, respectively.</w:t>
      </w:r>
    </w:p>
    <w:p>
      <w:pPr>
        <w:spacing w:after="0" w:line="83" w:lineRule="exact"/>
        <w:rPr>
          <w:rFonts w:ascii="Arial" w:cs="Arial" w:eastAsia="Arial" w:hAnsi="Arial"/>
          <w:sz w:val="17"/>
          <w:szCs w:val="17"/>
          <w:color w:val="auto"/>
        </w:rPr>
      </w:pPr>
    </w:p>
    <w:p>
      <w:pPr>
        <w:ind w:left="900" w:right="42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Board discusses these valuations and determines the fair value of each investment in our portfolio in good faith, based on the input of the Investment Advisor, the independent valuation firm(s) and the audit committee.</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Consistent with the policies and methodologies adopted by the Board, the Company performs detailed valuations of its debt and equity investments, including an analysis on the Company’s unfunded loan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spacing w:after="0" w:line="16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sectPr>
          <w:pgSz w:w="11900" w:h="16838" w:orient="portrait"/>
          <w:cols w:equalWidth="0" w:num="1">
            <w:col w:w="11420"/>
          </w:cols>
          <w:pgMar w:left="240" w:top="459" w:right="239" w:bottom="379"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59" w:right="239" w:bottom="379"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the Company’s debt investments, including senior secured loans and subordinated notes,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loan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loans to maturity. However, if the Company has information available to it that the loan is expected to be repaid in the near term, it would use an estimated remaining life based on the expected repayment date.</w:t>
      </w:r>
    </w:p>
    <w:p>
      <w:pPr>
        <w:spacing w:after="0" w:line="17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For the Company’s equity investments, including equity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 Where applicable, the Company considers the Company’s ability to influence the capital structure of the portfolio company, as well as the timing of a potential exit.</w:t>
      </w:r>
    </w:p>
    <w:p>
      <w:pPr>
        <w:spacing w:after="0" w:line="19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Company may also utilize an income approach when estimating the fair value of its equity securities,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78"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The fair value of the Company’s royalty rights are calculated based on projected future cash flows and the specific provisions contained in the pertinent agreements. The determination of the fair value of such royalty rights is not a significant component of the Company’s valuation process.</w:t>
      </w:r>
    </w:p>
    <w:p>
      <w:pPr>
        <w:spacing w:after="0" w:line="14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six months ended June 30, 2017 and 2016.</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tables present a reconciliation of the beginning and ending balances for fair valued investments measured using significant unobservable inputs (Level 3) for the six months ended June 30, 2017 and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Subordinated</w:t>
            </w: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Senior</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Royalty</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Secured</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Warrants</w:t>
            </w:r>
          </w:p>
        </w:tc>
        <w:tc>
          <w:tcPr>
            <w:tcW w:w="720" w:type="dxa"/>
            <w:vAlign w:val="bottom"/>
            <w:gridSpan w:val="3"/>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Loans</w:t>
            </w: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Rights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300,467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$ 88,485</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$44,899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9,233</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185</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$443,269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Net realized gains (losses) on investments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appreciation on investments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(4,005)</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(1,805)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39,350</w:t>
            </w:r>
          </w:p>
        </w:tc>
        <w:tc>
          <w:tcPr>
            <w:tcW w:w="12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2,757</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44,422</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repayments of investments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(17,772)</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(26,177)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(46,034)</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Interest and dividend income paid-in-kind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537</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 origination fees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(268)</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Accretion of loan origination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289</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b w:val="1"/>
                <w:bCs w:val="1"/>
                <w:color w:val="auto"/>
              </w:rPr>
              <w:t>Balance, June 30, 2016</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319,692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$ 64,073</w:t>
            </w: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59,543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9,189</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241</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452,738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2016</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363,646</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$ 79,758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$70,849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10,201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$524,454</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Net realized gains (losses) on investments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6,473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appreciation on investments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(751)</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(3,011)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2,529</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78,971</w:t>
            </w:r>
          </w:p>
        </w:tc>
        <w:tc>
          <w:tcPr>
            <w:tcW w:w="12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2,200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5,060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856</w:t>
            </w:r>
          </w:p>
        </w:tc>
        <w:tc>
          <w:tcPr>
            <w:tcW w:w="16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87,087</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repayments of investments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(56,907)</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(3,967)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(66,733)</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Interest and dividend income paid-in-kind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3,057</w:t>
            </w:r>
          </w:p>
        </w:tc>
        <w:tc>
          <w:tcPr>
            <w:tcW w:w="12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721</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 origination fees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Accretion of loan origination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344</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b w:val="1"/>
                <w:bCs w:val="1"/>
                <w:color w:val="auto"/>
              </w:rPr>
              <w:t>Balance, June 30, 2017</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387,806</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$ 76,045</w:t>
            </w: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75,823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13,586</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553,260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Net change in unrealized appreciation of $1,525 and $2,134 for the three and six months ended June 30, 2017, respectively, was attributable to Level 3 investments held at June 30, 2017. Net change in unrealized appreciation of $7,509 and $7,370 for the three and six months ended June 30, 2016, respectively, were attributable to Level 3 investments held at June 30, 2016.</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following tables summarize the significant unobservable inputs by valuation technique used to determine the fair value of the Company’s Level 3 debt and equity investments as of June 30, 2017 and December 31, 2016. The tables are not intended to be all-inclusive, but instead capture the significant unobservable inputs relevant to the Company’s determination of fair values.</w:t>
      </w:r>
    </w:p>
    <w:p>
      <w:pPr>
        <w:sectPr>
          <w:pgSz w:w="11900" w:h="16838" w:orient="portrait"/>
          <w:cols w:equalWidth="0" w:num="1">
            <w:col w:w="11420"/>
          </w:cols>
          <w:pgMar w:left="240" w:top="459" w:right="239" w:bottom="1440" w:gutter="0" w:footer="0" w:header="0"/>
        </w:sect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4"/>
                <w:szCs w:val="14"/>
                <w:color w:val="auto"/>
              </w:rPr>
            </w:pPr>
          </w:p>
        </w:tc>
        <w:tc>
          <w:tcPr>
            <w:tcW w:w="18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Valuation Techniques</w:t>
            </w:r>
          </w:p>
        </w:tc>
        <w:tc>
          <w:tcPr>
            <w:tcW w:w="0" w:type="dxa"/>
            <w:vAlign w:val="bottom"/>
          </w:tcPr>
          <w:p>
            <w:pPr>
              <w:spacing w:after="0"/>
              <w:rPr>
                <w:sz w:val="1"/>
                <w:szCs w:val="1"/>
                <w:color w:val="auto"/>
              </w:rPr>
            </w:pPr>
          </w:p>
        </w:tc>
      </w:tr>
      <w:tr>
        <w:trPr>
          <w:trHeight w:val="171"/>
        </w:trPr>
        <w:tc>
          <w:tcPr>
            <w:tcW w:w="2960" w:type="dxa"/>
            <w:vAlign w:val="bottom"/>
            <w:vMerge w:val="restart"/>
          </w:tcPr>
          <w:p>
            <w:pPr>
              <w:spacing w:after="0"/>
              <w:rPr>
                <w:sz w:val="20"/>
                <w:szCs w:val="20"/>
                <w:color w:val="auto"/>
              </w:rPr>
            </w:pPr>
            <w:r>
              <w:rPr>
                <w:rFonts w:ascii="Arial" w:cs="Arial" w:eastAsia="Arial" w:hAnsi="Arial"/>
                <w:sz w:val="18"/>
                <w:szCs w:val="18"/>
                <w:color w:val="auto"/>
              </w:rPr>
              <w:t>Debt investments: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60" w:type="dxa"/>
            <w:vAlign w:val="bottom"/>
            <w:vMerge w:val="continue"/>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Subordinated notes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378,964</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Discounted cash flow</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8,842</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Enterprise value</w:t>
            </w: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Senior secured loans</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61,487</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Discounted cash flow</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8,383</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Enterprise value</w:t>
            </w:r>
          </w:p>
        </w:tc>
        <w:tc>
          <w:tcPr>
            <w:tcW w:w="0" w:type="dxa"/>
            <w:vAlign w:val="bottom"/>
          </w:tcPr>
          <w:p>
            <w:pPr>
              <w:spacing w:after="0"/>
              <w:rPr>
                <w:sz w:val="1"/>
                <w:szCs w:val="1"/>
                <w:color w:val="auto"/>
              </w:rPr>
            </w:pPr>
          </w:p>
        </w:tc>
      </w:tr>
      <w:tr>
        <w:trPr>
          <w:trHeight w:val="230"/>
        </w:trPr>
        <w:tc>
          <w:tcPr>
            <w:tcW w:w="2960" w:type="dxa"/>
            <w:vAlign w:val="bottom"/>
            <w:vMerge w:val="restart"/>
          </w:tcPr>
          <w:p>
            <w:pPr>
              <w:spacing w:after="0"/>
              <w:rPr>
                <w:sz w:val="20"/>
                <w:szCs w:val="20"/>
                <w:color w:val="auto"/>
              </w:rPr>
            </w:pPr>
            <w:r>
              <w:rPr>
                <w:rFonts w:ascii="Arial" w:cs="Arial" w:eastAsia="Arial" w:hAnsi="Arial"/>
                <w:sz w:val="18"/>
                <w:szCs w:val="18"/>
                <w:color w:val="auto"/>
              </w:rPr>
              <w:t>Equity investments:</w:t>
            </w:r>
          </w:p>
        </w:tc>
        <w:tc>
          <w:tcPr>
            <w:tcW w:w="1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6,175</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Enterprise value</w:t>
            </w:r>
          </w:p>
        </w:tc>
        <w:tc>
          <w:tcPr>
            <w:tcW w:w="0" w:type="dxa"/>
            <w:vAlign w:val="bottom"/>
          </w:tcPr>
          <w:p>
            <w:pPr>
              <w:spacing w:after="0"/>
              <w:rPr>
                <w:sz w:val="1"/>
                <w:szCs w:val="1"/>
                <w:color w:val="auto"/>
              </w:rPr>
            </w:pPr>
          </w:p>
        </w:tc>
      </w:tr>
      <w:tr>
        <w:trPr>
          <w:trHeight w:val="202"/>
        </w:trPr>
        <w:tc>
          <w:tcPr>
            <w:tcW w:w="29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66,998</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Enterprise value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8,825</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Enterprise value</w:t>
            </w: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Warrants</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13,586</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Enterprise value</w:t>
            </w:r>
          </w:p>
        </w:tc>
        <w:tc>
          <w:tcPr>
            <w:tcW w:w="0" w:type="dxa"/>
            <w:vAlign w:val="bottom"/>
          </w:tcPr>
          <w:p>
            <w:pPr>
              <w:spacing w:after="0"/>
              <w:rPr>
                <w:sz w:val="1"/>
                <w:szCs w:val="1"/>
                <w:color w:val="auto"/>
              </w:rPr>
            </w:pPr>
          </w:p>
        </w:tc>
      </w:tr>
      <w:tr>
        <w:trPr>
          <w:trHeight w:val="230"/>
        </w:trPr>
        <w:tc>
          <w:tcPr>
            <w:tcW w:w="2960" w:type="dxa"/>
            <w:vAlign w:val="bottom"/>
          </w:tcPr>
          <w:p>
            <w:pPr>
              <w:ind w:left="360"/>
              <w:spacing w:after="0"/>
              <w:rPr>
                <w:sz w:val="20"/>
                <w:szCs w:val="20"/>
                <w:color w:val="auto"/>
              </w:rPr>
            </w:pPr>
            <w:r>
              <w:rPr>
                <w:rFonts w:ascii="Arial" w:cs="Arial" w:eastAsia="Arial" w:hAnsi="Arial"/>
                <w:sz w:val="18"/>
                <w:szCs w:val="18"/>
                <w:color w:val="auto"/>
              </w:rPr>
              <w:t>Royalty rights</w:t>
            </w:r>
          </w:p>
        </w:tc>
        <w:tc>
          <w:tcPr>
            <w:tcW w:w="180" w:type="dxa"/>
            <w:vAlign w:val="bottom"/>
          </w:tcPr>
          <w:p>
            <w:pPr>
              <w:spacing w:after="0"/>
              <w:rPr>
                <w:sz w:val="20"/>
                <w:szCs w:val="20"/>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Discounted cash flow</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8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Valuation Techniques</w:t>
            </w:r>
          </w:p>
        </w:tc>
        <w:tc>
          <w:tcPr>
            <w:tcW w:w="0" w:type="dxa"/>
            <w:vAlign w:val="bottom"/>
          </w:tcPr>
          <w:p>
            <w:pPr>
              <w:spacing w:after="0"/>
              <w:rPr>
                <w:sz w:val="1"/>
                <w:szCs w:val="1"/>
                <w:color w:val="auto"/>
              </w:rPr>
            </w:pPr>
          </w:p>
        </w:tc>
      </w:tr>
      <w:tr>
        <w:trPr>
          <w:trHeight w:val="171"/>
        </w:trPr>
        <w:tc>
          <w:tcPr>
            <w:tcW w:w="2960" w:type="dxa"/>
            <w:vAlign w:val="bottom"/>
            <w:vMerge w:val="restart"/>
          </w:tcPr>
          <w:p>
            <w:pPr>
              <w:spacing w:after="0"/>
              <w:rPr>
                <w:sz w:val="20"/>
                <w:szCs w:val="20"/>
                <w:color w:val="auto"/>
              </w:rPr>
            </w:pPr>
            <w:r>
              <w:rPr>
                <w:rFonts w:ascii="Arial" w:cs="Arial" w:eastAsia="Arial" w:hAnsi="Arial"/>
                <w:sz w:val="18"/>
                <w:szCs w:val="18"/>
                <w:color w:val="auto"/>
              </w:rPr>
              <w:t>Debt investments:</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Subordinated notes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355,232</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Discounted cash flow</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8,414</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Enterprise value</w:t>
            </w: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Senior secured loans</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71,693</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Discounted cash flow</w:t>
            </w:r>
          </w:p>
        </w:tc>
        <w:tc>
          <w:tcPr>
            <w:tcW w:w="0" w:type="dxa"/>
            <w:vAlign w:val="bottom"/>
          </w:tcPr>
          <w:p>
            <w:pPr>
              <w:spacing w:after="0"/>
              <w:rPr>
                <w:sz w:val="1"/>
                <w:szCs w:val="1"/>
                <w:color w:val="auto"/>
              </w:rPr>
            </w:pPr>
          </w:p>
        </w:tc>
      </w:tr>
      <w:tr>
        <w:trPr>
          <w:trHeight w:val="230"/>
        </w:trPr>
        <w:tc>
          <w:tcPr>
            <w:tcW w:w="2960" w:type="dxa"/>
            <w:vAlign w:val="bottom"/>
            <w:vMerge w:val="restart"/>
          </w:tcPr>
          <w:p>
            <w:pPr>
              <w:spacing w:after="0"/>
              <w:rPr>
                <w:sz w:val="20"/>
                <w:szCs w:val="20"/>
                <w:color w:val="auto"/>
              </w:rPr>
            </w:pPr>
            <w:r>
              <w:rPr>
                <w:rFonts w:ascii="Arial" w:cs="Arial" w:eastAsia="Arial" w:hAnsi="Arial"/>
                <w:sz w:val="18"/>
                <w:szCs w:val="18"/>
                <w:color w:val="auto"/>
              </w:rPr>
              <w:t>Equity investments:</w:t>
            </w:r>
          </w:p>
        </w:tc>
        <w:tc>
          <w:tcPr>
            <w:tcW w:w="1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8,065</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Enterprise value</w:t>
            </w:r>
          </w:p>
        </w:tc>
        <w:tc>
          <w:tcPr>
            <w:tcW w:w="0" w:type="dxa"/>
            <w:vAlign w:val="bottom"/>
          </w:tcPr>
          <w:p>
            <w:pPr>
              <w:spacing w:after="0"/>
              <w:rPr>
                <w:sz w:val="1"/>
                <w:szCs w:val="1"/>
                <w:color w:val="auto"/>
              </w:rPr>
            </w:pPr>
          </w:p>
        </w:tc>
      </w:tr>
      <w:tr>
        <w:trPr>
          <w:trHeight w:val="202"/>
        </w:trPr>
        <w:tc>
          <w:tcPr>
            <w:tcW w:w="29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64,596</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Enterprise value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6,253</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Enterprise value</w:t>
            </w: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Warrants</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10,201</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Enterprise value</w:t>
            </w:r>
          </w:p>
        </w:tc>
        <w:tc>
          <w:tcPr>
            <w:tcW w:w="0" w:type="dxa"/>
            <w:vAlign w:val="bottom"/>
          </w:tcPr>
          <w:p>
            <w:pPr>
              <w:spacing w:after="0"/>
              <w:rPr>
                <w:sz w:val="1"/>
                <w:szCs w:val="1"/>
                <w:color w:val="auto"/>
              </w:rPr>
            </w:pPr>
          </w:p>
        </w:tc>
      </w:tr>
      <w:tr>
        <w:trPr>
          <w:trHeight w:val="230"/>
        </w:trPr>
        <w:tc>
          <w:tcPr>
            <w:tcW w:w="2960" w:type="dxa"/>
            <w:vAlign w:val="bottom"/>
          </w:tcPr>
          <w:p>
            <w:pPr>
              <w:ind w:left="360"/>
              <w:spacing w:after="0"/>
              <w:rPr>
                <w:sz w:val="20"/>
                <w:szCs w:val="20"/>
                <w:color w:val="auto"/>
              </w:rPr>
            </w:pPr>
            <w:r>
              <w:rPr>
                <w:rFonts w:ascii="Arial" w:cs="Arial" w:eastAsia="Arial" w:hAnsi="Arial"/>
                <w:sz w:val="18"/>
                <w:szCs w:val="18"/>
                <w:color w:val="auto"/>
              </w:rPr>
              <w:t>Royalty rights</w:t>
            </w:r>
          </w:p>
        </w:tc>
        <w:tc>
          <w:tcPr>
            <w:tcW w:w="180" w:type="dxa"/>
            <w:vAlign w:val="bottom"/>
          </w:tcPr>
          <w:p>
            <w:pPr>
              <w:spacing w:after="0"/>
              <w:rPr>
                <w:sz w:val="20"/>
                <w:szCs w:val="20"/>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Discounted cash flow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-2957830</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-2683510</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-2409190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-2134870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-1371600</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-1097280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tcPr>
          <w:p>
            <w:pPr>
              <w:jc w:val="center"/>
              <w:ind w:right="257"/>
              <w:spacing w:after="0"/>
              <w:rPr>
                <w:sz w:val="20"/>
                <w:szCs w:val="20"/>
                <w:color w:val="auto"/>
              </w:rPr>
            </w:pPr>
            <w:r>
              <w:rPr>
                <w:rFonts w:ascii="Arial" w:cs="Arial" w:eastAsia="Arial" w:hAnsi="Arial"/>
                <w:sz w:val="14"/>
                <w:szCs w:val="14"/>
                <w:b w:val="1"/>
                <w:bCs w:val="1"/>
                <w:color w:val="auto"/>
                <w:w w:val="88"/>
              </w:rPr>
              <w:t>Range</w:t>
            </w:r>
          </w:p>
        </w:tc>
      </w:tr>
      <w:tr>
        <w:trPr>
          <w:trHeight w:val="185"/>
        </w:trPr>
        <w:tc>
          <w:tcPr>
            <w:tcW w:w="25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Unobservable Inputs</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93"/>
              </w:rPr>
              <w:t>(weighted average)</w:t>
            </w:r>
          </w:p>
        </w:tc>
      </w:tr>
      <w:tr>
        <w:trPr>
          <w:trHeight w:val="398"/>
        </w:trPr>
        <w:tc>
          <w:tcPr>
            <w:tcW w:w="2520" w:type="dxa"/>
            <w:vAlign w:val="bottom"/>
          </w:tcPr>
          <w:p>
            <w:pPr>
              <w:ind w:left="60"/>
              <w:spacing w:after="0"/>
              <w:rPr>
                <w:sz w:val="20"/>
                <w:szCs w:val="20"/>
                <w:color w:val="auto"/>
              </w:rPr>
            </w:pPr>
            <w:r>
              <w:rPr>
                <w:rFonts w:ascii="Arial" w:cs="Arial" w:eastAsia="Arial" w:hAnsi="Arial"/>
                <w:sz w:val="18"/>
                <w:szCs w:val="18"/>
                <w:color w:val="auto"/>
                <w:w w:val="93"/>
              </w:rPr>
              <w:t>Weighted average cost of capital</w:t>
            </w:r>
          </w:p>
        </w:tc>
        <w:tc>
          <w:tcPr>
            <w:tcW w:w="2780" w:type="dxa"/>
            <w:vAlign w:val="bottom"/>
            <w:gridSpan w:val="3"/>
          </w:tcPr>
          <w:p>
            <w:pPr>
              <w:ind w:left="280"/>
              <w:spacing w:after="0"/>
              <w:rPr>
                <w:sz w:val="20"/>
                <w:szCs w:val="20"/>
                <w:color w:val="auto"/>
              </w:rPr>
            </w:pPr>
            <w:r>
              <w:rPr>
                <w:rFonts w:ascii="Arial" w:cs="Arial" w:eastAsia="Arial" w:hAnsi="Arial"/>
                <w:sz w:val="18"/>
                <w:szCs w:val="18"/>
                <w:color w:val="auto"/>
              </w:rPr>
              <w:t>10.4% - 26.7% (14.1%)</w:t>
            </w:r>
          </w:p>
        </w:tc>
      </w:tr>
      <w:tr>
        <w:trPr>
          <w:trHeight w:val="216"/>
        </w:trPr>
        <w:tc>
          <w:tcPr>
            <w:tcW w:w="2520" w:type="dxa"/>
            <w:vAlign w:val="bottom"/>
          </w:tcPr>
          <w:p>
            <w:pPr>
              <w:ind w:left="60"/>
              <w:spacing w:after="0"/>
              <w:rPr>
                <w:sz w:val="20"/>
                <w:szCs w:val="20"/>
                <w:color w:val="auto"/>
              </w:rPr>
            </w:pPr>
            <w:r>
              <w:rPr>
                <w:rFonts w:ascii="Arial" w:cs="Arial" w:eastAsia="Arial" w:hAnsi="Arial"/>
                <w:sz w:val="18"/>
                <w:szCs w:val="18"/>
                <w:color w:val="auto"/>
              </w:rPr>
              <w:t>Asset coverage</w:t>
            </w:r>
          </w:p>
        </w:tc>
        <w:tc>
          <w:tcPr>
            <w:tcW w:w="2780" w:type="dxa"/>
            <w:vAlign w:val="bottom"/>
            <w:gridSpan w:val="3"/>
          </w:tcPr>
          <w:p>
            <w:pPr>
              <w:ind w:left="280"/>
              <w:spacing w:after="0"/>
              <w:rPr>
                <w:sz w:val="20"/>
                <w:szCs w:val="20"/>
                <w:color w:val="auto"/>
              </w:rPr>
            </w:pPr>
            <w:r>
              <w:rPr>
                <w:rFonts w:ascii="Arial" w:cs="Arial" w:eastAsia="Arial" w:hAnsi="Arial"/>
                <w:sz w:val="18"/>
                <w:szCs w:val="18"/>
                <w:color w:val="auto"/>
              </w:rPr>
              <w:t>89.7% - 89.7% (89.7%)</w:t>
            </w:r>
          </w:p>
        </w:tc>
      </w:tr>
      <w:tr>
        <w:trPr>
          <w:trHeight w:val="216"/>
        </w:trPr>
        <w:tc>
          <w:tcPr>
            <w:tcW w:w="2520" w:type="dxa"/>
            <w:vAlign w:val="bottom"/>
          </w:tcPr>
          <w:p>
            <w:pPr>
              <w:ind w:left="60"/>
              <w:spacing w:after="0"/>
              <w:rPr>
                <w:sz w:val="20"/>
                <w:szCs w:val="20"/>
                <w:color w:val="auto"/>
              </w:rPr>
            </w:pPr>
            <w:r>
              <w:rPr>
                <w:rFonts w:ascii="Arial" w:cs="Arial" w:eastAsia="Arial" w:hAnsi="Arial"/>
                <w:sz w:val="18"/>
                <w:szCs w:val="18"/>
                <w:color w:val="auto"/>
                <w:w w:val="93"/>
              </w:rPr>
              <w:t>Weighted average cost of capital</w:t>
            </w:r>
          </w:p>
        </w:tc>
        <w:tc>
          <w:tcPr>
            <w:tcW w:w="2780" w:type="dxa"/>
            <w:vAlign w:val="bottom"/>
            <w:gridSpan w:val="3"/>
          </w:tcPr>
          <w:p>
            <w:pPr>
              <w:ind w:left="280"/>
              <w:spacing w:after="0"/>
              <w:rPr>
                <w:sz w:val="20"/>
                <w:szCs w:val="20"/>
                <w:color w:val="auto"/>
              </w:rPr>
            </w:pPr>
            <w:r>
              <w:rPr>
                <w:rFonts w:ascii="Arial" w:cs="Arial" w:eastAsia="Arial" w:hAnsi="Arial"/>
                <w:sz w:val="18"/>
                <w:szCs w:val="18"/>
                <w:color w:val="auto"/>
              </w:rPr>
              <w:t>6.1% - 25.0% (13.0%)</w:t>
            </w:r>
          </w:p>
        </w:tc>
      </w:tr>
      <w:tr>
        <w:trPr>
          <w:trHeight w:val="216"/>
        </w:trPr>
        <w:tc>
          <w:tcPr>
            <w:tcW w:w="2520" w:type="dxa"/>
            <w:vAlign w:val="bottom"/>
          </w:tcPr>
          <w:p>
            <w:pPr>
              <w:ind w:left="60"/>
              <w:spacing w:after="0"/>
              <w:rPr>
                <w:sz w:val="20"/>
                <w:szCs w:val="20"/>
                <w:color w:val="auto"/>
              </w:rPr>
            </w:pPr>
            <w:r>
              <w:rPr>
                <w:rFonts w:ascii="Arial" w:cs="Arial" w:eastAsia="Arial" w:hAnsi="Arial"/>
                <w:sz w:val="18"/>
                <w:szCs w:val="18"/>
                <w:color w:val="auto"/>
              </w:rPr>
              <w:t>Asset Coverage</w:t>
            </w:r>
          </w:p>
        </w:tc>
        <w:tc>
          <w:tcPr>
            <w:tcW w:w="2780" w:type="dxa"/>
            <w:vAlign w:val="bottom"/>
            <w:gridSpan w:val="3"/>
          </w:tcPr>
          <w:p>
            <w:pPr>
              <w:ind w:left="280"/>
              <w:spacing w:after="0"/>
              <w:rPr>
                <w:sz w:val="20"/>
                <w:szCs w:val="20"/>
                <w:color w:val="auto"/>
              </w:rPr>
            </w:pPr>
            <w:r>
              <w:rPr>
                <w:rFonts w:ascii="Arial" w:cs="Arial" w:eastAsia="Arial" w:hAnsi="Arial"/>
                <w:sz w:val="18"/>
                <w:szCs w:val="18"/>
                <w:color w:val="auto"/>
              </w:rPr>
              <w:t>81.1% - 81.1% (81.1%)</w:t>
            </w:r>
          </w:p>
        </w:tc>
      </w:tr>
      <w:tr>
        <w:trPr>
          <w:trHeight w:val="230"/>
        </w:trPr>
        <w:tc>
          <w:tcPr>
            <w:tcW w:w="2520" w:type="dxa"/>
            <w:vAlign w:val="bottom"/>
          </w:tcPr>
          <w:p>
            <w:pPr>
              <w:ind w:left="60"/>
              <w:spacing w:after="0"/>
              <w:rPr>
                <w:sz w:val="20"/>
                <w:szCs w:val="20"/>
                <w:color w:val="auto"/>
              </w:rPr>
            </w:pPr>
            <w:r>
              <w:rPr>
                <w:rFonts w:ascii="Arial" w:cs="Arial" w:eastAsia="Arial" w:hAnsi="Arial"/>
                <w:sz w:val="18"/>
                <w:szCs w:val="18"/>
                <w:color w:val="auto"/>
              </w:rPr>
              <w:t>EBITDA multiples</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93"/>
              </w:rPr>
              <w:t>3.0x</w:t>
            </w:r>
          </w:p>
        </w:tc>
        <w:tc>
          <w:tcPr>
            <w:tcW w:w="2160" w:type="dxa"/>
            <w:vAlign w:val="bottom"/>
          </w:tcPr>
          <w:p>
            <w:pPr>
              <w:ind w:left="20"/>
              <w:spacing w:after="0"/>
              <w:rPr>
                <w:sz w:val="20"/>
                <w:szCs w:val="20"/>
                <w:color w:val="auto"/>
              </w:rPr>
            </w:pPr>
            <w:r>
              <w:rPr>
                <w:rFonts w:ascii="Arial" w:cs="Arial" w:eastAsia="Arial" w:hAnsi="Arial"/>
                <w:sz w:val="18"/>
                <w:szCs w:val="18"/>
                <w:color w:val="auto"/>
              </w:rPr>
              <w:t>– 3.0x (3.0x)</w:t>
            </w:r>
          </w:p>
        </w:tc>
      </w:tr>
      <w:tr>
        <w:trPr>
          <w:trHeight w:val="418"/>
        </w:trPr>
        <w:tc>
          <w:tcPr>
            <w:tcW w:w="2520" w:type="dxa"/>
            <w:vAlign w:val="bottom"/>
          </w:tcPr>
          <w:p>
            <w:pPr>
              <w:ind w:left="60"/>
              <w:spacing w:after="0"/>
              <w:rPr>
                <w:sz w:val="20"/>
                <w:szCs w:val="20"/>
                <w:color w:val="auto"/>
              </w:rPr>
            </w:pPr>
            <w:r>
              <w:rPr>
                <w:rFonts w:ascii="Arial" w:cs="Arial" w:eastAsia="Arial" w:hAnsi="Arial"/>
                <w:sz w:val="18"/>
                <w:szCs w:val="18"/>
                <w:color w:val="auto"/>
              </w:rPr>
              <w:t>EBITDA multiples</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93"/>
              </w:rPr>
              <w:t>5.0x</w:t>
            </w:r>
          </w:p>
        </w:tc>
        <w:tc>
          <w:tcPr>
            <w:tcW w:w="2160" w:type="dxa"/>
            <w:vAlign w:val="bottom"/>
          </w:tcPr>
          <w:p>
            <w:pPr>
              <w:ind w:left="20"/>
              <w:spacing w:after="0"/>
              <w:rPr>
                <w:sz w:val="20"/>
                <w:szCs w:val="20"/>
                <w:color w:val="auto"/>
              </w:rPr>
            </w:pPr>
            <w:r>
              <w:rPr>
                <w:rFonts w:ascii="Arial" w:cs="Arial" w:eastAsia="Arial" w:hAnsi="Arial"/>
                <w:sz w:val="18"/>
                <w:szCs w:val="18"/>
                <w:color w:val="auto"/>
              </w:rPr>
              <w:t>– 14.7x (8.1x)</w:t>
            </w:r>
          </w:p>
        </w:tc>
      </w:tr>
      <w:tr>
        <w:trPr>
          <w:trHeight w:val="216"/>
        </w:trPr>
        <w:tc>
          <w:tcPr>
            <w:tcW w:w="2520" w:type="dxa"/>
            <w:vAlign w:val="bottom"/>
          </w:tcPr>
          <w:p>
            <w:pPr>
              <w:ind w:left="60"/>
              <w:spacing w:after="0"/>
              <w:rPr>
                <w:sz w:val="20"/>
                <w:szCs w:val="20"/>
                <w:color w:val="auto"/>
              </w:rPr>
            </w:pPr>
            <w:r>
              <w:rPr>
                <w:rFonts w:ascii="Arial" w:cs="Arial" w:eastAsia="Arial" w:hAnsi="Arial"/>
                <w:sz w:val="18"/>
                <w:szCs w:val="18"/>
                <w:color w:val="auto"/>
              </w:rPr>
              <w:t>Revenue multiples</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93"/>
              </w:rPr>
              <w:t>0.6x</w:t>
            </w:r>
          </w:p>
        </w:tc>
        <w:tc>
          <w:tcPr>
            <w:tcW w:w="2160" w:type="dxa"/>
            <w:vAlign w:val="bottom"/>
          </w:tcPr>
          <w:p>
            <w:pPr>
              <w:ind w:left="20"/>
              <w:spacing w:after="0"/>
              <w:rPr>
                <w:sz w:val="20"/>
                <w:szCs w:val="20"/>
                <w:color w:val="auto"/>
              </w:rPr>
            </w:pPr>
            <w:r>
              <w:rPr>
                <w:rFonts w:ascii="Arial" w:cs="Arial" w:eastAsia="Arial" w:hAnsi="Arial"/>
                <w:sz w:val="18"/>
                <w:szCs w:val="18"/>
                <w:color w:val="auto"/>
              </w:rPr>
              <w:t>– 0.7x (0.6x)</w:t>
            </w:r>
          </w:p>
        </w:tc>
      </w:tr>
      <w:tr>
        <w:trPr>
          <w:trHeight w:val="216"/>
        </w:trPr>
        <w:tc>
          <w:tcPr>
            <w:tcW w:w="2520" w:type="dxa"/>
            <w:vAlign w:val="bottom"/>
          </w:tcPr>
          <w:p>
            <w:pPr>
              <w:ind w:left="60"/>
              <w:spacing w:after="0"/>
              <w:rPr>
                <w:sz w:val="20"/>
                <w:szCs w:val="20"/>
                <w:color w:val="auto"/>
              </w:rPr>
            </w:pPr>
            <w:r>
              <w:rPr>
                <w:rFonts w:ascii="Arial" w:cs="Arial" w:eastAsia="Arial" w:hAnsi="Arial"/>
                <w:sz w:val="18"/>
                <w:szCs w:val="18"/>
                <w:color w:val="auto"/>
              </w:rPr>
              <w:t>EBITDA multiples</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93"/>
              </w:rPr>
              <w:t>4.5x</w:t>
            </w:r>
          </w:p>
        </w:tc>
        <w:tc>
          <w:tcPr>
            <w:tcW w:w="2160" w:type="dxa"/>
            <w:vAlign w:val="bottom"/>
          </w:tcPr>
          <w:p>
            <w:pPr>
              <w:ind w:left="20"/>
              <w:spacing w:after="0"/>
              <w:rPr>
                <w:sz w:val="20"/>
                <w:szCs w:val="20"/>
                <w:color w:val="auto"/>
              </w:rPr>
            </w:pPr>
            <w:r>
              <w:rPr>
                <w:rFonts w:ascii="Arial" w:cs="Arial" w:eastAsia="Arial" w:hAnsi="Arial"/>
                <w:sz w:val="18"/>
                <w:szCs w:val="18"/>
                <w:color w:val="auto"/>
              </w:rPr>
              <w:t>– 9.5x (7.4x)</w:t>
            </w:r>
          </w:p>
        </w:tc>
      </w:tr>
      <w:tr>
        <w:trPr>
          <w:trHeight w:val="230"/>
        </w:trPr>
        <w:tc>
          <w:tcPr>
            <w:tcW w:w="2520" w:type="dxa"/>
            <w:vAlign w:val="bottom"/>
          </w:tcPr>
          <w:p>
            <w:pPr>
              <w:ind w:left="60"/>
              <w:spacing w:after="0"/>
              <w:rPr>
                <w:sz w:val="20"/>
                <w:szCs w:val="20"/>
                <w:color w:val="auto"/>
              </w:rPr>
            </w:pPr>
            <w:r>
              <w:rPr>
                <w:rFonts w:ascii="Arial" w:cs="Arial" w:eastAsia="Arial" w:hAnsi="Arial"/>
                <w:sz w:val="18"/>
                <w:szCs w:val="18"/>
                <w:color w:val="auto"/>
                <w:w w:val="93"/>
              </w:rPr>
              <w:t>Weighted average cost of capital</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2160" w:type="dxa"/>
            <w:vAlign w:val="bottom"/>
          </w:tcPr>
          <w:p>
            <w:pPr>
              <w:spacing w:after="0"/>
              <w:rPr>
                <w:sz w:val="20"/>
                <w:szCs w:val="20"/>
                <w:color w:val="auto"/>
              </w:rPr>
            </w:pPr>
          </w:p>
        </w:tc>
      </w:tr>
      <w:tr>
        <w:trPr>
          <w:trHeight w:val="369"/>
        </w:trPr>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jc w:val="center"/>
              <w:ind w:right="257"/>
              <w:spacing w:after="0"/>
              <w:rPr>
                <w:sz w:val="20"/>
                <w:szCs w:val="20"/>
                <w:color w:val="auto"/>
              </w:rPr>
            </w:pPr>
            <w:r>
              <w:rPr>
                <w:rFonts w:ascii="Arial" w:cs="Arial" w:eastAsia="Arial" w:hAnsi="Arial"/>
                <w:sz w:val="14"/>
                <w:szCs w:val="14"/>
                <w:b w:val="1"/>
                <w:bCs w:val="1"/>
                <w:color w:val="auto"/>
                <w:w w:val="88"/>
              </w:rPr>
              <w:t>Range</w:t>
            </w:r>
          </w:p>
        </w:tc>
      </w:tr>
      <w:tr>
        <w:trPr>
          <w:trHeight w:val="185"/>
        </w:trPr>
        <w:tc>
          <w:tcPr>
            <w:tcW w:w="25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Unobservable Inputs</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93"/>
              </w:rPr>
              <w:t>(weighted average)</w:t>
            </w:r>
          </w:p>
        </w:tc>
      </w:tr>
      <w:tr>
        <w:trPr>
          <w:trHeight w:val="398"/>
        </w:trPr>
        <w:tc>
          <w:tcPr>
            <w:tcW w:w="2520" w:type="dxa"/>
            <w:vAlign w:val="bottom"/>
          </w:tcPr>
          <w:p>
            <w:pPr>
              <w:ind w:left="60"/>
              <w:spacing w:after="0"/>
              <w:rPr>
                <w:sz w:val="20"/>
                <w:szCs w:val="20"/>
                <w:color w:val="auto"/>
              </w:rPr>
            </w:pPr>
            <w:r>
              <w:rPr>
                <w:rFonts w:ascii="Arial" w:cs="Arial" w:eastAsia="Arial" w:hAnsi="Arial"/>
                <w:sz w:val="18"/>
                <w:szCs w:val="18"/>
                <w:color w:val="auto"/>
                <w:w w:val="93"/>
              </w:rPr>
              <w:t>Weighted average cost of capital</w:t>
            </w:r>
          </w:p>
        </w:tc>
        <w:tc>
          <w:tcPr>
            <w:tcW w:w="2780" w:type="dxa"/>
            <w:vAlign w:val="bottom"/>
            <w:gridSpan w:val="3"/>
          </w:tcPr>
          <w:p>
            <w:pPr>
              <w:ind w:left="280"/>
              <w:spacing w:after="0"/>
              <w:rPr>
                <w:sz w:val="20"/>
                <w:szCs w:val="20"/>
                <w:color w:val="auto"/>
              </w:rPr>
            </w:pPr>
            <w:r>
              <w:rPr>
                <w:rFonts w:ascii="Arial" w:cs="Arial" w:eastAsia="Arial" w:hAnsi="Arial"/>
                <w:sz w:val="18"/>
                <w:szCs w:val="18"/>
                <w:color w:val="auto"/>
              </w:rPr>
              <w:t>10.9% - 26.5% (14.5%)</w:t>
            </w:r>
          </w:p>
        </w:tc>
      </w:tr>
      <w:tr>
        <w:trPr>
          <w:trHeight w:val="216"/>
        </w:trPr>
        <w:tc>
          <w:tcPr>
            <w:tcW w:w="2520" w:type="dxa"/>
            <w:vAlign w:val="bottom"/>
          </w:tcPr>
          <w:p>
            <w:pPr>
              <w:ind w:left="60"/>
              <w:spacing w:after="0"/>
              <w:rPr>
                <w:sz w:val="20"/>
                <w:szCs w:val="20"/>
                <w:color w:val="auto"/>
              </w:rPr>
            </w:pPr>
            <w:r>
              <w:rPr>
                <w:rFonts w:ascii="Arial" w:cs="Arial" w:eastAsia="Arial" w:hAnsi="Arial"/>
                <w:sz w:val="18"/>
                <w:szCs w:val="18"/>
                <w:color w:val="auto"/>
              </w:rPr>
              <w:t>Asset coverage</w:t>
            </w:r>
          </w:p>
        </w:tc>
        <w:tc>
          <w:tcPr>
            <w:tcW w:w="2780" w:type="dxa"/>
            <w:vAlign w:val="bottom"/>
            <w:gridSpan w:val="3"/>
          </w:tcPr>
          <w:p>
            <w:pPr>
              <w:ind w:left="280"/>
              <w:spacing w:after="0"/>
              <w:rPr>
                <w:sz w:val="20"/>
                <w:szCs w:val="20"/>
                <w:color w:val="auto"/>
              </w:rPr>
            </w:pPr>
            <w:r>
              <w:rPr>
                <w:rFonts w:ascii="Arial" w:cs="Arial" w:eastAsia="Arial" w:hAnsi="Arial"/>
                <w:sz w:val="18"/>
                <w:szCs w:val="18"/>
                <w:color w:val="auto"/>
              </w:rPr>
              <w:t>85.0% - 95.0% (87.3%)</w:t>
            </w:r>
          </w:p>
        </w:tc>
      </w:tr>
      <w:tr>
        <w:trPr>
          <w:trHeight w:val="216"/>
        </w:trPr>
        <w:tc>
          <w:tcPr>
            <w:tcW w:w="2520" w:type="dxa"/>
            <w:vAlign w:val="bottom"/>
          </w:tcPr>
          <w:p>
            <w:pPr>
              <w:ind w:left="60"/>
              <w:spacing w:after="0"/>
              <w:rPr>
                <w:sz w:val="20"/>
                <w:szCs w:val="20"/>
                <w:color w:val="auto"/>
              </w:rPr>
            </w:pPr>
            <w:r>
              <w:rPr>
                <w:rFonts w:ascii="Arial" w:cs="Arial" w:eastAsia="Arial" w:hAnsi="Arial"/>
                <w:sz w:val="18"/>
                <w:szCs w:val="18"/>
                <w:color w:val="auto"/>
                <w:w w:val="93"/>
              </w:rPr>
              <w:t>Weighted average cost of capital</w:t>
            </w:r>
          </w:p>
        </w:tc>
        <w:tc>
          <w:tcPr>
            <w:tcW w:w="2780" w:type="dxa"/>
            <w:vAlign w:val="bottom"/>
            <w:gridSpan w:val="3"/>
          </w:tcPr>
          <w:p>
            <w:pPr>
              <w:ind w:left="280"/>
              <w:spacing w:after="0"/>
              <w:rPr>
                <w:sz w:val="20"/>
                <w:szCs w:val="20"/>
                <w:color w:val="auto"/>
              </w:rPr>
            </w:pPr>
            <w:r>
              <w:rPr>
                <w:rFonts w:ascii="Arial" w:cs="Arial" w:eastAsia="Arial" w:hAnsi="Arial"/>
                <w:sz w:val="18"/>
                <w:szCs w:val="18"/>
                <w:color w:val="auto"/>
              </w:rPr>
              <w:t>10.9% - 21.0% (12.8%)</w:t>
            </w:r>
          </w:p>
        </w:tc>
      </w:tr>
      <w:tr>
        <w:trPr>
          <w:trHeight w:val="230"/>
        </w:trPr>
        <w:tc>
          <w:tcPr>
            <w:tcW w:w="2520" w:type="dxa"/>
            <w:vAlign w:val="bottom"/>
          </w:tcPr>
          <w:p>
            <w:pPr>
              <w:ind w:left="60"/>
              <w:spacing w:after="0"/>
              <w:rPr>
                <w:sz w:val="20"/>
                <w:szCs w:val="20"/>
                <w:color w:val="auto"/>
              </w:rPr>
            </w:pPr>
            <w:r>
              <w:rPr>
                <w:rFonts w:ascii="Arial" w:cs="Arial" w:eastAsia="Arial" w:hAnsi="Arial"/>
                <w:sz w:val="18"/>
                <w:szCs w:val="18"/>
                <w:color w:val="auto"/>
              </w:rPr>
              <w:t>Asset Coverage</w:t>
            </w:r>
          </w:p>
        </w:tc>
        <w:tc>
          <w:tcPr>
            <w:tcW w:w="2780" w:type="dxa"/>
            <w:vAlign w:val="bottom"/>
            <w:gridSpan w:val="3"/>
          </w:tcPr>
          <w:p>
            <w:pPr>
              <w:ind w:left="280"/>
              <w:spacing w:after="0"/>
              <w:rPr>
                <w:sz w:val="20"/>
                <w:szCs w:val="20"/>
                <w:color w:val="auto"/>
              </w:rPr>
            </w:pPr>
            <w:r>
              <w:rPr>
                <w:rFonts w:ascii="Arial" w:cs="Arial" w:eastAsia="Arial" w:hAnsi="Arial"/>
                <w:sz w:val="18"/>
                <w:szCs w:val="18"/>
                <w:color w:val="auto"/>
              </w:rPr>
              <w:t>80.0% - 92.2% (84.2%)</w:t>
            </w:r>
          </w:p>
        </w:tc>
      </w:tr>
      <w:tr>
        <w:trPr>
          <w:trHeight w:val="418"/>
        </w:trPr>
        <w:tc>
          <w:tcPr>
            <w:tcW w:w="2520" w:type="dxa"/>
            <w:vAlign w:val="bottom"/>
          </w:tcPr>
          <w:p>
            <w:pPr>
              <w:ind w:left="60"/>
              <w:spacing w:after="0"/>
              <w:rPr>
                <w:sz w:val="20"/>
                <w:szCs w:val="20"/>
                <w:color w:val="auto"/>
              </w:rPr>
            </w:pPr>
            <w:r>
              <w:rPr>
                <w:rFonts w:ascii="Arial" w:cs="Arial" w:eastAsia="Arial" w:hAnsi="Arial"/>
                <w:sz w:val="18"/>
                <w:szCs w:val="18"/>
                <w:color w:val="auto"/>
              </w:rPr>
              <w:t>EBITDA multiples</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93"/>
              </w:rPr>
              <w:t>5.0x</w:t>
            </w:r>
          </w:p>
        </w:tc>
        <w:tc>
          <w:tcPr>
            <w:tcW w:w="2160" w:type="dxa"/>
            <w:vAlign w:val="bottom"/>
          </w:tcPr>
          <w:p>
            <w:pPr>
              <w:ind w:left="20"/>
              <w:spacing w:after="0"/>
              <w:rPr>
                <w:sz w:val="20"/>
                <w:szCs w:val="20"/>
                <w:color w:val="auto"/>
              </w:rPr>
            </w:pPr>
            <w:r>
              <w:rPr>
                <w:rFonts w:ascii="Arial" w:cs="Arial" w:eastAsia="Arial" w:hAnsi="Arial"/>
                <w:sz w:val="18"/>
                <w:szCs w:val="18"/>
                <w:color w:val="auto"/>
              </w:rPr>
              <w:t>– 12.9x (7.8x)</w:t>
            </w:r>
          </w:p>
        </w:tc>
      </w:tr>
      <w:tr>
        <w:trPr>
          <w:trHeight w:val="216"/>
        </w:trPr>
        <w:tc>
          <w:tcPr>
            <w:tcW w:w="2520" w:type="dxa"/>
            <w:vAlign w:val="bottom"/>
          </w:tcPr>
          <w:p>
            <w:pPr>
              <w:ind w:left="60"/>
              <w:spacing w:after="0"/>
              <w:rPr>
                <w:sz w:val="20"/>
                <w:szCs w:val="20"/>
                <w:color w:val="auto"/>
              </w:rPr>
            </w:pPr>
            <w:r>
              <w:rPr>
                <w:rFonts w:ascii="Arial" w:cs="Arial" w:eastAsia="Arial" w:hAnsi="Arial"/>
                <w:sz w:val="18"/>
                <w:szCs w:val="18"/>
                <w:color w:val="auto"/>
              </w:rPr>
              <w:t>Revenue multiples</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93"/>
              </w:rPr>
              <w:t>0.7x</w:t>
            </w:r>
          </w:p>
        </w:tc>
        <w:tc>
          <w:tcPr>
            <w:tcW w:w="2160" w:type="dxa"/>
            <w:vAlign w:val="bottom"/>
          </w:tcPr>
          <w:p>
            <w:pPr>
              <w:ind w:left="20"/>
              <w:spacing w:after="0"/>
              <w:rPr>
                <w:sz w:val="20"/>
                <w:szCs w:val="20"/>
                <w:color w:val="auto"/>
              </w:rPr>
            </w:pPr>
            <w:r>
              <w:rPr>
                <w:rFonts w:ascii="Arial" w:cs="Arial" w:eastAsia="Arial" w:hAnsi="Arial"/>
                <w:sz w:val="18"/>
                <w:szCs w:val="18"/>
                <w:color w:val="auto"/>
              </w:rPr>
              <w:t>– 0.7x (0.7x)</w:t>
            </w:r>
          </w:p>
        </w:tc>
      </w:tr>
      <w:tr>
        <w:trPr>
          <w:trHeight w:val="216"/>
        </w:trPr>
        <w:tc>
          <w:tcPr>
            <w:tcW w:w="2520" w:type="dxa"/>
            <w:vAlign w:val="bottom"/>
          </w:tcPr>
          <w:p>
            <w:pPr>
              <w:ind w:left="60"/>
              <w:spacing w:after="0"/>
              <w:rPr>
                <w:sz w:val="20"/>
                <w:szCs w:val="20"/>
                <w:color w:val="auto"/>
              </w:rPr>
            </w:pPr>
            <w:r>
              <w:rPr>
                <w:rFonts w:ascii="Arial" w:cs="Arial" w:eastAsia="Arial" w:hAnsi="Arial"/>
                <w:sz w:val="18"/>
                <w:szCs w:val="18"/>
                <w:color w:val="auto"/>
              </w:rPr>
              <w:t>EBITDA multiples</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93"/>
              </w:rPr>
              <w:t>5.5x</w:t>
            </w:r>
          </w:p>
        </w:tc>
        <w:tc>
          <w:tcPr>
            <w:tcW w:w="2160" w:type="dxa"/>
            <w:vAlign w:val="bottom"/>
          </w:tcPr>
          <w:p>
            <w:pPr>
              <w:ind w:left="20"/>
              <w:spacing w:after="0"/>
              <w:rPr>
                <w:sz w:val="20"/>
                <w:szCs w:val="20"/>
                <w:color w:val="auto"/>
              </w:rPr>
            </w:pPr>
            <w:r>
              <w:rPr>
                <w:rFonts w:ascii="Arial" w:cs="Arial" w:eastAsia="Arial" w:hAnsi="Arial"/>
                <w:sz w:val="18"/>
                <w:szCs w:val="18"/>
                <w:color w:val="auto"/>
              </w:rPr>
              <w:t>– 9.5x (6.6x)</w:t>
            </w:r>
          </w:p>
        </w:tc>
      </w:tr>
      <w:tr>
        <w:trPr>
          <w:trHeight w:val="230"/>
        </w:trPr>
        <w:tc>
          <w:tcPr>
            <w:tcW w:w="2520" w:type="dxa"/>
            <w:vAlign w:val="bottom"/>
          </w:tcPr>
          <w:p>
            <w:pPr>
              <w:ind w:left="60"/>
              <w:spacing w:after="0"/>
              <w:rPr>
                <w:sz w:val="20"/>
                <w:szCs w:val="20"/>
                <w:color w:val="auto"/>
              </w:rPr>
            </w:pPr>
            <w:r>
              <w:rPr>
                <w:rFonts w:ascii="Arial" w:cs="Arial" w:eastAsia="Arial" w:hAnsi="Arial"/>
                <w:sz w:val="18"/>
                <w:szCs w:val="18"/>
                <w:color w:val="auto"/>
                <w:w w:val="93"/>
              </w:rPr>
              <w:t>Weighted average cost of capital</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2160" w:type="dxa"/>
            <w:vAlign w:val="bottom"/>
          </w:tcPr>
          <w:p>
            <w:pPr>
              <w:spacing w:after="0"/>
              <w:rPr>
                <w:sz w:val="20"/>
                <w:szCs w:val="20"/>
                <w:color w:val="auto"/>
              </w:rPr>
            </w:pPr>
          </w:p>
        </w:tc>
      </w:tr>
    </w:tbl>
    <w:p>
      <w:pPr>
        <w:spacing w:after="0" w:line="134" w:lineRule="exact"/>
        <w:rPr>
          <w:sz w:val="20"/>
          <w:szCs w:val="20"/>
          <w:color w:val="auto"/>
        </w:rPr>
      </w:pPr>
    </w:p>
    <w:p>
      <w:pPr>
        <w:sectPr>
          <w:pgSz w:w="11900" w:h="16838" w:orient="portrait"/>
          <w:cols w:equalWidth="0" w:num="2">
            <w:col w:w="5900" w:space="220"/>
            <w:col w:w="530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spacing w:after="0" w:line="14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Assets and Liabilities</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fair value of borrowings under the Credit Facility (as defined in Note 6) are based on a market yield approach and current interest rates, which are Level 3 inputs to the market yield model. There were no borrowings outstanding under the Credit Facility as of June 30, 2017 and December 31, 2016. The fair value of SBA debentures is estimated by discounting remaining payments using current market rates for similar instruments and considering such factors as the legal maturity date and the ability of market participants to prepay the debentures. As of June 30, 2017 and December 31, 2016, the fair value of the Company’s SBA debentures using Level 3 inputs is estimated to be $217,250 and $224,000, respectively, which is the same as the Company’s carrying value of the debentures.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 xml:space="preserve">Investment Advisory Agreement: </w:t>
      </w:r>
      <w:r>
        <w:rPr>
          <w:rFonts w:ascii="Arial" w:cs="Arial" w:eastAsia="Arial" w:hAnsi="Arial"/>
          <w:sz w:val="17"/>
          <w:szCs w:val="17"/>
          <w:color w:val="auto"/>
        </w:rPr>
        <w:t>The Company has entered into an Investment Advisory Agreement with the Investment Advisor. On June 1, 2017,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approved the renewal of the Investment Advisory Agreement through June 20, 2018.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spacing w:after="0" w:line="17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base management fee is calculated at an annual rate of 1.75% based on the average value of total assets (other than cash or cash equivalents but including assets purchased with borrowed amounts) at the end of the two most recently completed calendar quarters. The base management fee is payable quarterly in arrears. The base management fee under the Investment Advisory Agreement was $2,403 and $4,716, for the three and six months ended June 30, 2017, respectively, and $2,005 and $3,988, for the three and six months ended June 30, 2016, respectively.</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debt instruments with payment-in-kind income, preferred stock with PIK dividends and zero-coupon securities), accrued income the Company has not yet received in cash. The Investment Advisor is not under any obligation to reimburse the Company for any part of the incentive fee it receives that was based on accrued interest that the Company never collects.</w:t>
      </w:r>
    </w:p>
    <w:p>
      <w:pPr>
        <w:spacing w:after="0" w:line="16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Pre-incentive fee net investment income, expressed as a rate of return on the value of the Company’s weighted average net assets (defined as total assets less indebtedness and before taking into account any incentive fees payable during the period) at the end of the immediately preceding calendar quarter, is compared to a fixed “hurdle rate” of 2.0% per quarter. If market interest rates rise,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Company pays the Investment Advisor an incentive fee with respect to pre-incentive fee net investment income in each calendar quarter as follows:</w:t>
      </w:r>
    </w:p>
    <w:p>
      <w:pPr>
        <w:spacing w:after="0" w:line="7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incentive fee in any calendar quarter in which the pre-incentive fee net investment income does not exceed the hurdle rate of 2.0%;</w:t>
      </w:r>
    </w:p>
    <w:p>
      <w:pPr>
        <w:spacing w:after="0" w:line="142" w:lineRule="exact"/>
        <w:rPr>
          <w:rFonts w:ascii="Arial" w:cs="Arial" w:eastAsia="Arial" w:hAnsi="Arial"/>
          <w:sz w:val="17"/>
          <w:szCs w:val="17"/>
          <w:color w:val="auto"/>
        </w:rPr>
      </w:pPr>
    </w:p>
    <w:p>
      <w:pPr>
        <w:ind w:left="900" w:right="20" w:hanging="446"/>
        <w:spacing w:after="0" w:line="25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20.0% of the amount of the Company’s pre-incentive fee net investment income, if any, that exceeds 2.5% in any calendar quarter.</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sum of the calculations above equals the income incentive fee. The income incentive fee is appropriately prorated for any period of less than three months and adjusted for any share issuances or repurchases during the calendar quarter. The income incentive fee was $2,281 and $4,324, for the three and six months ended June 30, 2017, respectively, and $1,620 and $3,408, for the three and six months ended June 30, 2016, respectively.</w:t>
      </w:r>
    </w:p>
    <w:p>
      <w:pPr>
        <w:spacing w:after="0" w:line="16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to the Investment Advisor, the Company calculates the cumulative aggregate realized capital gains and cumulative aggregate realized capital losses since the Formation Transactions, and the aggregate unrealized capital depreciation as of the date of the calculation, as applicable, with respect to each of the investments in the Company’s portfolio. At the end of the applicable year, the amount of capital gains that serves as the basis for the calculation of the capital gains incentive fee to be paid equals the cumulative aggregate realized capital gains less cumulative aggregate realized capital losses, less aggregate unrealized capital depreciation, with respect to the Company’s portfolio of investments. If this number is positive at the end of such year, then the capital gains incentive fee to be paid for such year equals 20.0% of such amount, less the aggregate amount of any capital gains incentive fees paid in all prior years. As of June 30, 2017 and December 31, 2016, the capital gains incentive fee payable was $0. The aggregate amount of capital gains incentive fees paid from the IPO through June 30, 2017 was $348.</w:t>
      </w:r>
    </w:p>
    <w:p>
      <w:pPr>
        <w:spacing w:after="0" w:line="16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addition, the Company accrues, but does not pay, a capital gains incentive fee in connection with any unrealized capital appreciation, as appropriate. If, on a cumulative basis, the sum of net realized gains/(losses) plus net unrealized appreciation/(depreciation) decreases during a period, the Company will reverse any excess capital gains incentive fee previously accrued such that the amount of capital gains incentive fee accrued is no more than 20.0% of the sum of net realized gains/(losses) plus net unrealized appreciation/(depreciation). The capital gains incentive fee accrued was $203 and $538, for the three and six months ended June 30, 2017, respectively, and $1,570 and $1,662, for the three and six months ended June 30, 2016, respectively.</w:t>
      </w:r>
    </w:p>
    <w:p>
      <w:pPr>
        <w:spacing w:after="0" w:line="158"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sum of the income incentive fee and the capital gains incentive fee is the incentive fee and is reported in the consolidated statements of operations. Accrued management fees, income incentive fees and capital gains incentive fees are reported in the management and incentive fees payable – due to affiliate line in the consolidated statements of assets and liabilities.</w:t>
      </w:r>
    </w:p>
    <w:p>
      <w:pPr>
        <w:spacing w:after="0" w:line="18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holders of a majority of the Company’s outstanding voting securities may also terminate the Investment Advisory Agreement without penalty.</w:t>
      </w:r>
    </w:p>
    <w:p>
      <w:pPr>
        <w:spacing w:after="0" w:line="17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 xml:space="preserve">Administration Agreement: </w:t>
      </w:r>
      <w:r>
        <w:rPr>
          <w:rFonts w:ascii="Arial" w:cs="Arial" w:eastAsia="Arial" w:hAnsi="Arial"/>
          <w:sz w:val="16"/>
          <w:szCs w:val="16"/>
          <w:color w:val="auto"/>
        </w:rPr>
        <w:t>The Company has also entered into an administration agreement (the “Administration Agreement”) with the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Advisor. On June 1, 2017, the Board approved the renewal of the Administration Agreement through June 20, 2018.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to which the Company is required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Arial" w:cs="Arial" w:eastAsia="Arial" w:hAnsi="Arial"/>
          <w:sz w:val="16"/>
          <w:szCs w:val="16"/>
          <w:i w:val="1"/>
          <w:iCs w:val="1"/>
          <w:color w:val="auto"/>
        </w:rPr>
        <w:t>.</w:t>
      </w:r>
      <w:r>
        <w:rPr>
          <w:rFonts w:ascii="Arial" w:cs="Arial" w:eastAsia="Arial" w:hAnsi="Arial"/>
          <w:sz w:val="16"/>
          <w:szCs w:val="16"/>
          <w:color w:val="auto"/>
        </w:rPr>
        <w:t xml:space="preserve"> Under the Administration Agreement, administrative service expenses were $340 and $691, for the three and six months ended June 30, 2017, respectively, and $367 and $688, for the three and six months ended June 30, 2016, respectively.</w:t>
      </w:r>
    </w:p>
    <w:p>
      <w:pPr>
        <w:sectPr>
          <w:pgSz w:w="11900" w:h="16838" w:orient="portrait"/>
          <w:cols w:equalWidth="0" w:num="1">
            <w:col w:w="11420"/>
          </w:cols>
          <w:pgMar w:left="240" w:top="459" w:right="239"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5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12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i w:val="1"/>
          <w:iCs w:val="1"/>
          <w:color w:val="auto"/>
        </w:rPr>
        <w:t>Revolving Credit Facility</w:t>
      </w:r>
      <w:r>
        <w:rPr>
          <w:rFonts w:ascii="Arial" w:cs="Arial" w:eastAsia="Arial" w:hAnsi="Arial"/>
          <w:sz w:val="16"/>
          <w:szCs w:val="16"/>
          <w:color w:val="auto"/>
        </w:rPr>
        <w:t>: On June 16, 2014, FIC entered into a senior secured revolving credit agreement (the “Credit Facility”) with ING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LLC (“ING”), as the administrative agent, collateral agent, and lender. The Credit Facility had an initial commitment of $30,000 with an accordion feature that allows for an increase in the total commitments up to $75,000, subject to certain conditions and the satisfaction of specified financial covenants. The Credit Facility is secured by certain portfolio investments held by the Company, but portfolio investments held by the Funds are not collateral for the Credit Facility. The stated maturity date for the Credit Facility is June 16, 2018, which may be extended by mutual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December 19, 2014, FIC amended the Credit Facility to (i) increase the commitment from $30,000 to $50,000 (ii) allow FIC to buy-back up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$10,000 of the Company’s common stock subject to the satisfaction of specified financial covenants and conditions. The Credit Facility continues to have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accordion feature which allows for an increase in the total commitment up to $75,000.</w:t>
      </w:r>
    </w:p>
    <w:p>
      <w:pPr>
        <w:spacing w:after="0" w:line="21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Amounts available to borrow under the Credit Facility are subject to a minimum borrowing/collateral base that applies an advance rate to certain investments held by the Company, excluding investments held by the 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7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Borrowings under the Credit Facility bear interest, subject to the Company’s election, on a per annum basis equal to (i) the alternate base rate plus 2.5% or (ii) the applicable London Interbank Offered Rate, or LIBOR, which varies depending on the period of the borrowing under the Credit Facility, plus 3.5%. The alternate base rate is equal to the greater of (i) prime rate, (ii) the federal funds rate plus 0.5% or (iii) the three-month LIBOR plus 1.0%. The Company pays a commitment fee between 0.5% and 1.0% per annum based on the size of the unused portion of the Credit Facility.</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June 30, 2017 and December 31, 2016, the Company was in compliance in all material respect with the terms of the Credit Facility.</w:t>
      </w:r>
    </w:p>
    <w:p>
      <w:pPr>
        <w:spacing w:after="0" w:line="187"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As of June 30, 2017 and December 31, 2016, the Company had no outstanding borrowings under the Credit Facility. Interest and fees related to the Credit Facility were $137 and $262, for the three and six months ended June 30, 2017, respectively, and $161 and $362, for the three and six months ended June 30, 2016, respectively, which are included in interest and financing expenses on the consolidated statements of operations. As of June 30, 2017 and December 31, 2016, accrued interest and fees payable related to the Credit Facility totaled $4 and $127, respectively.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SBA debentures: </w:t>
      </w:r>
      <w:r>
        <w:rPr>
          <w:rFonts w:ascii="Arial" w:cs="Arial" w:eastAsia="Arial" w:hAnsi="Arial"/>
          <w:sz w:val="18"/>
          <w:szCs w:val="18"/>
          <w:color w:val="auto"/>
        </w:rPr>
        <w:t>The Company uses debenture leverage provided through the SBA to fund a portion of its investment purchases.</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Under the SBA debenture program, the SBA commits to purchase debentures issued by SBICs; such debentures have 10-year terms with the entire principal balance due at maturity and are guaranteed by the SBA. Approved SBA debenture commitments that were unused as of June 30, 2017 and December 31, 2016 were $58,000 and $51,000, respectively. The SBA may limit the amount that may be drawn each year under these commitments, and each issuance of leverage is conditioned on the Company’s full compliance, as determined by the SBA, with the terms and conditions set forth in the SBIC Act.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2017 and December 31, 2016, the Company’s issued and outstanding SBA debentures mature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Pooling Date</w:t>
            </w:r>
            <w:r>
              <w:rPr>
                <w:rFonts w:ascii="Arial" w:cs="Arial" w:eastAsia="Arial" w:hAnsi="Arial"/>
                <w:sz w:val="12"/>
                <w:szCs w:val="12"/>
                <w:b w:val="1"/>
                <w:bCs w:val="1"/>
                <w:color w:val="auto"/>
              </w:rPr>
              <w:t>(1)</w:t>
            </w: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Maturity</w:t>
            </w:r>
          </w:p>
        </w:tc>
        <w:tc>
          <w:tcPr>
            <w:tcW w:w="13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Fixed</w:t>
            </w: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5780" w:type="dxa"/>
            <w:vAlign w:val="bottom"/>
            <w:gridSpan w:val="3"/>
            <w:vMerge w:val="continue"/>
          </w:tcPr>
          <w:p>
            <w:pPr>
              <w:spacing w:after="0"/>
              <w:rPr>
                <w:sz w:val="14"/>
                <w:szCs w:val="14"/>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Date</w:t>
            </w: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1"/>
              </w:rPr>
              <w:t>Interest Rate</w:t>
            </w:r>
          </w:p>
        </w:tc>
        <w:tc>
          <w:tcPr>
            <w:tcW w:w="120" w:type="dxa"/>
            <w:vAlign w:val="bottom"/>
          </w:tcPr>
          <w:p>
            <w:pPr>
              <w:spacing w:after="0"/>
              <w:rPr>
                <w:sz w:val="14"/>
                <w:szCs w:val="14"/>
                <w:color w:val="auto"/>
              </w:rPr>
            </w:pPr>
          </w:p>
        </w:tc>
        <w:tc>
          <w:tcPr>
            <w:tcW w:w="740" w:type="dxa"/>
            <w:vAlign w:val="bottom"/>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3/26/2008</w:t>
            </w:r>
          </w:p>
        </w:tc>
        <w:tc>
          <w:tcPr>
            <w:tcW w:w="48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3/1/2018</w:t>
            </w:r>
          </w:p>
        </w:tc>
        <w:tc>
          <w:tcPr>
            <w:tcW w:w="50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9/24/2008</w:t>
            </w:r>
          </w:p>
        </w:tc>
        <w:tc>
          <w:tcPr>
            <w:tcW w:w="48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9/1/2018</w:t>
            </w:r>
          </w:p>
        </w:tc>
        <w:tc>
          <w:tcPr>
            <w:tcW w:w="800" w:type="dxa"/>
            <w:vAlign w:val="bottom"/>
          </w:tcPr>
          <w:p>
            <w:pPr>
              <w:jc w:val="right"/>
              <w:spacing w:after="0"/>
              <w:rPr>
                <w:sz w:val="20"/>
                <w:szCs w:val="20"/>
                <w:color w:val="auto"/>
              </w:rPr>
            </w:pPr>
            <w:r>
              <w:rPr>
                <w:rFonts w:ascii="Arial" w:cs="Arial" w:eastAsia="Arial" w:hAnsi="Arial"/>
                <w:sz w:val="18"/>
                <w:szCs w:val="18"/>
                <w:color w:val="auto"/>
              </w:rPr>
              <w:t>6.442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3/25/2009</w:t>
            </w:r>
          </w:p>
        </w:tc>
        <w:tc>
          <w:tcPr>
            <w:tcW w:w="48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3/1/2019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9/23/2009</w:t>
            </w:r>
          </w:p>
        </w:tc>
        <w:tc>
          <w:tcPr>
            <w:tcW w:w="48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9/1/2019</w:t>
            </w:r>
          </w:p>
        </w:tc>
        <w:tc>
          <w:tcPr>
            <w:tcW w:w="800" w:type="dxa"/>
            <w:vAlign w:val="bottom"/>
          </w:tcPr>
          <w:p>
            <w:pPr>
              <w:jc w:val="right"/>
              <w:spacing w:after="0"/>
              <w:rPr>
                <w:sz w:val="20"/>
                <w:szCs w:val="20"/>
                <w:color w:val="auto"/>
              </w:rPr>
            </w:pPr>
            <w:r>
              <w:rPr>
                <w:rFonts w:ascii="Arial" w:cs="Arial" w:eastAsia="Arial" w:hAnsi="Arial"/>
                <w:sz w:val="18"/>
                <w:szCs w:val="18"/>
                <w:color w:val="auto"/>
              </w:rPr>
              <w:t>4.950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3/24/2010</w:t>
            </w:r>
          </w:p>
        </w:tc>
        <w:tc>
          <w:tcPr>
            <w:tcW w:w="48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3/1/2020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9/22/2010</w:t>
            </w:r>
          </w:p>
        </w:tc>
        <w:tc>
          <w:tcPr>
            <w:tcW w:w="48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9/1/2020</w:t>
            </w:r>
          </w:p>
        </w:tc>
        <w:tc>
          <w:tcPr>
            <w:tcW w:w="800" w:type="dxa"/>
            <w:vAlign w:val="bottom"/>
          </w:tcPr>
          <w:p>
            <w:pPr>
              <w:jc w:val="right"/>
              <w:spacing w:after="0"/>
              <w:rPr>
                <w:sz w:val="20"/>
                <w:szCs w:val="20"/>
                <w:color w:val="auto"/>
              </w:rPr>
            </w:pPr>
            <w:r>
              <w:rPr>
                <w:rFonts w:ascii="Arial" w:cs="Arial" w:eastAsia="Arial" w:hAnsi="Arial"/>
                <w:sz w:val="18"/>
                <w:szCs w:val="18"/>
                <w:color w:val="auto"/>
              </w:rPr>
              <w:t>3.932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3/29/2011</w:t>
            </w:r>
          </w:p>
        </w:tc>
        <w:tc>
          <w:tcPr>
            <w:tcW w:w="48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3/1/2021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9/21/2011</w:t>
            </w:r>
          </w:p>
        </w:tc>
        <w:tc>
          <w:tcPr>
            <w:tcW w:w="48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9/1/2021</w:t>
            </w:r>
          </w:p>
        </w:tc>
        <w:tc>
          <w:tcPr>
            <w:tcW w:w="800" w:type="dxa"/>
            <w:vAlign w:val="bottom"/>
          </w:tcPr>
          <w:p>
            <w:pPr>
              <w:jc w:val="right"/>
              <w:spacing w:after="0"/>
              <w:rPr>
                <w:sz w:val="20"/>
                <w:szCs w:val="20"/>
                <w:color w:val="auto"/>
              </w:rPr>
            </w:pPr>
            <w:r>
              <w:rPr>
                <w:rFonts w:ascii="Arial" w:cs="Arial" w:eastAsia="Arial" w:hAnsi="Arial"/>
                <w:sz w:val="18"/>
                <w:szCs w:val="18"/>
                <w:color w:val="auto"/>
              </w:rPr>
              <w:t>3.594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3,250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3/21/2012</w:t>
            </w:r>
          </w:p>
        </w:tc>
        <w:tc>
          <w:tcPr>
            <w:tcW w:w="48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3/1/2022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3/21/2012</w:t>
            </w:r>
          </w:p>
        </w:tc>
        <w:tc>
          <w:tcPr>
            <w:tcW w:w="48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3/1/2022</w:t>
            </w:r>
          </w:p>
        </w:tc>
        <w:tc>
          <w:tcPr>
            <w:tcW w:w="800" w:type="dxa"/>
            <w:vAlign w:val="bottom"/>
          </w:tcPr>
          <w:p>
            <w:pPr>
              <w:jc w:val="right"/>
              <w:spacing w:after="0"/>
              <w:rPr>
                <w:sz w:val="20"/>
                <w:szCs w:val="20"/>
                <w:color w:val="auto"/>
              </w:rPr>
            </w:pPr>
            <w:r>
              <w:rPr>
                <w:rFonts w:ascii="Arial" w:cs="Arial" w:eastAsia="Arial" w:hAnsi="Arial"/>
                <w:sz w:val="18"/>
                <w:szCs w:val="18"/>
                <w:color w:val="auto"/>
              </w:rPr>
              <w:t>3.051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9/19/2012</w:t>
            </w:r>
          </w:p>
        </w:tc>
        <w:tc>
          <w:tcPr>
            <w:tcW w:w="48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9/1/2022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9/19/2012</w:t>
            </w:r>
          </w:p>
        </w:tc>
        <w:tc>
          <w:tcPr>
            <w:tcW w:w="48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9/1/2022</w:t>
            </w:r>
          </w:p>
        </w:tc>
        <w:tc>
          <w:tcPr>
            <w:tcW w:w="800" w:type="dxa"/>
            <w:vAlign w:val="bottom"/>
          </w:tcPr>
          <w:p>
            <w:pPr>
              <w:jc w:val="right"/>
              <w:spacing w:after="0"/>
              <w:rPr>
                <w:sz w:val="20"/>
                <w:szCs w:val="20"/>
                <w:color w:val="auto"/>
              </w:rPr>
            </w:pPr>
            <w:r>
              <w:rPr>
                <w:rFonts w:ascii="Arial" w:cs="Arial" w:eastAsia="Arial" w:hAnsi="Arial"/>
                <w:sz w:val="18"/>
                <w:szCs w:val="18"/>
                <w:color w:val="auto"/>
              </w:rPr>
              <w:t>3.049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3/27/2013</w:t>
            </w:r>
          </w:p>
        </w:tc>
        <w:tc>
          <w:tcPr>
            <w:tcW w:w="48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3/1/2023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9/24/2014</w:t>
            </w:r>
          </w:p>
        </w:tc>
        <w:tc>
          <w:tcPr>
            <w:tcW w:w="48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9/1/2024</w:t>
            </w:r>
          </w:p>
        </w:tc>
        <w:tc>
          <w:tcPr>
            <w:tcW w:w="800" w:type="dxa"/>
            <w:vAlign w:val="bottom"/>
          </w:tcPr>
          <w:p>
            <w:pPr>
              <w:jc w:val="right"/>
              <w:spacing w:after="0"/>
              <w:rPr>
                <w:sz w:val="20"/>
                <w:szCs w:val="20"/>
                <w:color w:val="auto"/>
              </w:rPr>
            </w:pPr>
            <w:r>
              <w:rPr>
                <w:rFonts w:ascii="Arial" w:cs="Arial" w:eastAsia="Arial" w:hAnsi="Arial"/>
                <w:sz w:val="18"/>
                <w:szCs w:val="18"/>
                <w:color w:val="auto"/>
              </w:rPr>
              <w:t>3.775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3/25/2015</w:t>
            </w:r>
          </w:p>
        </w:tc>
        <w:tc>
          <w:tcPr>
            <w:tcW w:w="48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3/1/2025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3/25/2015</w:t>
            </w:r>
          </w:p>
        </w:tc>
        <w:tc>
          <w:tcPr>
            <w:tcW w:w="48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3/1/2025</w:t>
            </w:r>
          </w:p>
        </w:tc>
        <w:tc>
          <w:tcPr>
            <w:tcW w:w="800" w:type="dxa"/>
            <w:vAlign w:val="bottom"/>
          </w:tcPr>
          <w:p>
            <w:pPr>
              <w:jc w:val="right"/>
              <w:spacing w:after="0"/>
              <w:rPr>
                <w:sz w:val="20"/>
                <w:szCs w:val="20"/>
                <w:color w:val="auto"/>
              </w:rPr>
            </w:pPr>
            <w:r>
              <w:rPr>
                <w:rFonts w:ascii="Arial" w:cs="Arial" w:eastAsia="Arial" w:hAnsi="Arial"/>
                <w:sz w:val="18"/>
                <w:szCs w:val="18"/>
                <w:color w:val="auto"/>
              </w:rPr>
              <w:t>3.277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22,500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9/23/2015</w:t>
            </w:r>
          </w:p>
        </w:tc>
        <w:tc>
          <w:tcPr>
            <w:tcW w:w="48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9/1/2025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3/23/2016</w:t>
            </w:r>
          </w:p>
        </w:tc>
        <w:tc>
          <w:tcPr>
            <w:tcW w:w="48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3/1/2026</w:t>
            </w:r>
          </w:p>
        </w:tc>
        <w:tc>
          <w:tcPr>
            <w:tcW w:w="800" w:type="dxa"/>
            <w:vAlign w:val="bottom"/>
          </w:tcPr>
          <w:p>
            <w:pPr>
              <w:jc w:val="right"/>
              <w:spacing w:after="0"/>
              <w:rPr>
                <w:sz w:val="20"/>
                <w:szCs w:val="20"/>
                <w:color w:val="auto"/>
              </w:rPr>
            </w:pPr>
            <w:r>
              <w:rPr>
                <w:rFonts w:ascii="Arial" w:cs="Arial" w:eastAsia="Arial" w:hAnsi="Arial"/>
                <w:sz w:val="18"/>
                <w:szCs w:val="18"/>
                <w:color w:val="auto"/>
              </w:rPr>
              <w:t>3.267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3/23/2016</w:t>
            </w:r>
          </w:p>
        </w:tc>
        <w:tc>
          <w:tcPr>
            <w:tcW w:w="48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3/1/2026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9/21/2016</w:t>
            </w:r>
          </w:p>
        </w:tc>
        <w:tc>
          <w:tcPr>
            <w:tcW w:w="48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9/1/2026</w:t>
            </w:r>
          </w:p>
        </w:tc>
        <w:tc>
          <w:tcPr>
            <w:tcW w:w="800" w:type="dxa"/>
            <w:vAlign w:val="bottom"/>
          </w:tcPr>
          <w:p>
            <w:pPr>
              <w:jc w:val="right"/>
              <w:spacing w:after="0"/>
              <w:rPr>
                <w:sz w:val="20"/>
                <w:szCs w:val="20"/>
                <w:color w:val="auto"/>
              </w:rPr>
            </w:pPr>
            <w:r>
              <w:rPr>
                <w:rFonts w:ascii="Arial" w:cs="Arial" w:eastAsia="Arial" w:hAnsi="Arial"/>
                <w:sz w:val="18"/>
                <w:szCs w:val="18"/>
                <w:color w:val="auto"/>
              </w:rPr>
              <w:t>2.793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3/29/2017</w:t>
            </w:r>
          </w:p>
        </w:tc>
        <w:tc>
          <w:tcPr>
            <w:tcW w:w="48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3/1/2027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(2)</w:t>
            </w:r>
          </w:p>
        </w:tc>
        <w:tc>
          <w:tcPr>
            <w:tcW w:w="48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48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(2)</w:t>
            </w:r>
          </w:p>
        </w:tc>
        <w:tc>
          <w:tcPr>
            <w:tcW w:w="488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outstanding SBA debentures</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217,250</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224,000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0" w:hanging="452"/>
        <w:spacing w:after="0" w:line="25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SBA has two scheduled pooling dates for debentures (in March and in September). Certain debentures funded during the reporting periods may not be pooled until the subsequent pooling date.</w:t>
      </w:r>
    </w:p>
    <w:p>
      <w:pPr>
        <w:spacing w:after="0" w:line="1" w:lineRule="exact"/>
        <w:rPr>
          <w:rFonts w:ascii="Arial" w:cs="Arial" w:eastAsia="Arial" w:hAnsi="Arial"/>
          <w:sz w:val="18"/>
          <w:szCs w:val="18"/>
          <w:color w:val="auto"/>
        </w:rPr>
      </w:pPr>
    </w:p>
    <w:p>
      <w:pPr>
        <w:ind w:left="460" w:right="12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issued $18,000 in SBA debentures which will pool in September 2017. Until the pooling date, the debentures bear interest at fixed interim interest rates ranging from 2.200% to 2.358%. The Company expects the current interim interest rate will reset to a higher long-term fixed rate on the pooling date.</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on SBA debentures is payable semi-annually on March 1 and September 1. Interest and fees on outstanding SBA debentures</w:t>
      </w:r>
    </w:p>
    <w:p>
      <w:pPr>
        <w:spacing w:after="0" w:line="2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were $1,980 and $4,098, for the three and six months ended June 30, 2017, respectively, and $2,219 and $4,345, for the three and six months ended June 30, 2016, respectively, which are included in interest and financing expenses on the consolidated statements of operations. As of June 30, 2017 and December 31, 2016, accrued interest and fees payable related to the SBA debentures totaled $2,608 and $2,995,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117"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Deferred financing costs are amortized into interest and financing expenses on the consolidated statements of operations using the effective interest method, over the term of the respective financing instrument. Deferred financing cost amortization was $284 and $625, for the three and six months</w:t>
      </w:r>
    </w:p>
    <w:p>
      <w:pPr>
        <w:spacing w:after="0"/>
        <w:rPr>
          <w:sz w:val="20"/>
          <w:szCs w:val="20"/>
          <w:color w:val="auto"/>
        </w:rPr>
      </w:pPr>
      <w:r>
        <w:rPr>
          <w:rFonts w:ascii="Arial" w:cs="Arial" w:eastAsia="Arial" w:hAnsi="Arial"/>
          <w:sz w:val="16"/>
          <w:szCs w:val="16"/>
          <w:color w:val="auto"/>
        </w:rPr>
        <w:t>ended June 30, 2017, respectively, and $274 and $547, for the three and six months ended June 30, 2016, respectively. Deferred financing costs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 and SBA debentures as of June 30, 2017 and December 31, 2016,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2"/>
              </w:rPr>
              <w:t>June 30, 2017</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December 31, 2016</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SBA</w:t>
            </w:r>
          </w:p>
        </w:tc>
        <w:tc>
          <w:tcPr>
            <w:tcW w:w="240" w:type="dxa"/>
            <w:vAlign w:val="bottom"/>
          </w:tcPr>
          <w:p>
            <w:pPr>
              <w:spacing w:after="0"/>
              <w:rPr>
                <w:sz w:val="10"/>
                <w:szCs w:val="10"/>
                <w:color w:val="auto"/>
              </w:rPr>
            </w:pPr>
          </w:p>
        </w:tc>
        <w:tc>
          <w:tcPr>
            <w:tcW w:w="82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Credit</w:t>
            </w:r>
          </w:p>
        </w:tc>
        <w:tc>
          <w:tcPr>
            <w:tcW w:w="80" w:type="dxa"/>
            <w:vAlign w:val="bottom"/>
          </w:tcPr>
          <w:p>
            <w:pPr>
              <w:spacing w:after="0"/>
              <w:rPr>
                <w:sz w:val="10"/>
                <w:szCs w:val="10"/>
                <w:color w:val="auto"/>
              </w:rPr>
            </w:pPr>
          </w:p>
        </w:tc>
        <w:tc>
          <w:tcPr>
            <w:tcW w:w="8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86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SBA</w:t>
            </w:r>
          </w:p>
        </w:tc>
        <w:tc>
          <w:tcPr>
            <w:tcW w:w="78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Credit</w:t>
            </w:r>
          </w:p>
        </w:tc>
        <w:tc>
          <w:tcPr>
            <w:tcW w:w="20" w:type="dxa"/>
            <w:vAlign w:val="bottom"/>
          </w:tcPr>
          <w:p>
            <w:pPr>
              <w:spacing w:after="0"/>
              <w:rPr>
                <w:sz w:val="10"/>
                <w:szCs w:val="10"/>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4"/>
              </w:rPr>
              <w:t>debentures</w:t>
            </w:r>
          </w:p>
        </w:tc>
        <w:tc>
          <w:tcPr>
            <w:tcW w:w="24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Facility</w:t>
            </w: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debentures</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Facility</w:t>
            </w:r>
          </w:p>
        </w:tc>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 commitment fees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$ 2,750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SBA debenture leverage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5,869</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5,433</w:t>
            </w:r>
          </w:p>
        </w:tc>
        <w:tc>
          <w:tcPr>
            <w:tcW w:w="8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upfront fees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1,329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1,284</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Total deferred financing costs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1,329</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10,198</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8,183</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1,284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(5,531)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(4,084)</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Unamortized deferred financing costs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4,667</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4,099</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$ 4,561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Unamortized deferred financing costs are presented as a direct offset to the SBA debentures and Credit Facility liabilities on the consolidated statements of assets and liabilities. The following table summarizes the outstanding debt net of unamortized deferred financing costs as of June 30, 2017 and December 31, 2016:</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June 30, 2017</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December 31, 2016</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SBA</w:t>
            </w:r>
          </w:p>
        </w:tc>
        <w:tc>
          <w:tcPr>
            <w:tcW w:w="140" w:type="dxa"/>
            <w:vAlign w:val="bottom"/>
          </w:tcPr>
          <w:p>
            <w:pPr>
              <w:spacing w:after="0"/>
              <w:rPr>
                <w:sz w:val="10"/>
                <w:szCs w:val="10"/>
                <w:color w:val="auto"/>
              </w:rPr>
            </w:pPr>
          </w:p>
        </w:tc>
        <w:tc>
          <w:tcPr>
            <w:tcW w:w="78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rPr>
              <w:t>Credit</w:t>
            </w:r>
          </w:p>
        </w:tc>
        <w:tc>
          <w:tcPr>
            <w:tcW w:w="180" w:type="dxa"/>
            <w:vAlign w:val="bottom"/>
          </w:tcPr>
          <w:p>
            <w:pPr>
              <w:spacing w:after="0"/>
              <w:rPr>
                <w:sz w:val="10"/>
                <w:szCs w:val="10"/>
                <w:color w:val="auto"/>
              </w:rPr>
            </w:pPr>
          </w:p>
        </w:tc>
        <w:tc>
          <w:tcPr>
            <w:tcW w:w="9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100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SBA</w:t>
            </w:r>
          </w:p>
        </w:tc>
        <w:tc>
          <w:tcPr>
            <w:tcW w:w="760" w:type="dxa"/>
            <w:vAlign w:val="bottom"/>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Credit</w:t>
            </w:r>
          </w:p>
        </w:tc>
        <w:tc>
          <w:tcPr>
            <w:tcW w:w="200" w:type="dxa"/>
            <w:vAlign w:val="bottom"/>
          </w:tcPr>
          <w:p>
            <w:pPr>
              <w:spacing w:after="0"/>
              <w:rPr>
                <w:sz w:val="10"/>
                <w:szCs w:val="10"/>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debentures</w:t>
            </w:r>
          </w:p>
        </w:tc>
        <w:tc>
          <w:tcPr>
            <w:tcW w:w="140" w:type="dxa"/>
            <w:vAlign w:val="bottom"/>
          </w:tcPr>
          <w:p>
            <w:pPr>
              <w:spacing w:after="0"/>
              <w:rPr>
                <w:sz w:val="14"/>
                <w:szCs w:val="14"/>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Facility</w:t>
            </w: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debentures</w:t>
            </w:r>
          </w:p>
        </w:tc>
        <w:tc>
          <w:tcPr>
            <w:tcW w:w="7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9"/>
              </w:rPr>
              <w:t>Facility</w:t>
            </w: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debt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217,250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217,250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Less: unamortized deferred financing costs</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(4,334)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(4,667)</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(4,099)</w:t>
            </w:r>
          </w:p>
        </w:tc>
        <w:tc>
          <w:tcPr>
            <w:tcW w:w="1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(462)</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Debt, net of deferred financing costs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212,916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212,583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219,901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0" w:gutter="0" w:footer="0" w:header="0"/>
        </w:sectPr>
      </w:pPr>
    </w:p>
    <w:bookmarkStart w:id="36" w:name="page37"/>
    <w:bookmarkEnd w:id="36"/>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9019"/>
          </w:cols>
          <w:pgMar w:left="1440" w:top="125"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weighted average interest rate for all SBA debentures and borrowings outstanding under the Credit Facility as of June 30, 2017 and December 31, 2016 was 3.7% and 4.1%,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The Company had outstanding commitments to portfolio companies to fund various undrawn revolving loans, other credit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commitments totaling $4,866 and $6,566 as of June 30, 2017 and December 31, 2016, respectively. Such outstanding commitments are summarized in the following table:</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5"/>
          </w:tcPr>
          <w:p>
            <w:pPr>
              <w:ind w:left="50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14"/>
                <w:szCs w:val="14"/>
                <w:color w:val="auto"/>
              </w:rPr>
            </w:pPr>
          </w:p>
        </w:tc>
        <w:tc>
          <w:tcPr>
            <w:tcW w:w="206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3"/>
              </w:rPr>
              <w:t>Portfolio Company - Investment</w:t>
            </w:r>
          </w:p>
        </w:tc>
        <w:tc>
          <w:tcPr>
            <w:tcW w:w="3560" w:type="dxa"/>
            <w:vAlign w:val="bottom"/>
            <w:vMerge w:val="restart"/>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94"/>
              <w:spacing w:after="0" w:line="119" w:lineRule="exact"/>
              <w:rPr>
                <w:sz w:val="20"/>
                <w:szCs w:val="20"/>
                <w:color w:val="auto"/>
              </w:rPr>
            </w:pPr>
            <w:r>
              <w:rPr>
                <w:rFonts w:ascii="Arial" w:cs="Arial" w:eastAsia="Arial" w:hAnsi="Arial"/>
                <w:sz w:val="13"/>
                <w:szCs w:val="13"/>
                <w:b w:val="1"/>
                <w:bCs w:val="1"/>
                <w:color w:val="auto"/>
              </w:rPr>
              <w:t>Total</w:t>
            </w: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3"/>
              <w:spacing w:after="0" w:line="119" w:lineRule="exact"/>
              <w:rPr>
                <w:sz w:val="20"/>
                <w:szCs w:val="20"/>
                <w:color w:val="auto"/>
              </w:rPr>
            </w:pPr>
            <w:r>
              <w:rPr>
                <w:rFonts w:ascii="Arial" w:cs="Arial" w:eastAsia="Arial" w:hAnsi="Arial"/>
                <w:sz w:val="13"/>
                <w:szCs w:val="13"/>
                <w:b w:val="1"/>
                <w:bCs w:val="1"/>
                <w:color w:val="auto"/>
                <w:w w:val="98"/>
              </w:rPr>
              <w:t>Unfunded</w:t>
            </w:r>
          </w:p>
        </w:tc>
        <w:tc>
          <w:tcPr>
            <w:tcW w:w="5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800"/>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73"/>
              <w:spacing w:after="0" w:line="119" w:lineRule="exact"/>
              <w:rPr>
                <w:sz w:val="20"/>
                <w:szCs w:val="20"/>
                <w:color w:val="auto"/>
              </w:rPr>
            </w:pPr>
            <w:r>
              <w:rPr>
                <w:rFonts w:ascii="Arial" w:cs="Arial" w:eastAsia="Arial" w:hAnsi="Arial"/>
                <w:sz w:val="13"/>
                <w:szCs w:val="13"/>
                <w:b w:val="1"/>
                <w:bCs w:val="1"/>
                <w:color w:val="auto"/>
                <w:w w:val="98"/>
              </w:rPr>
              <w:t>Unfunded</w:t>
            </w:r>
          </w:p>
        </w:tc>
        <w:tc>
          <w:tcPr>
            <w:tcW w:w="0" w:type="dxa"/>
            <w:vAlign w:val="bottom"/>
          </w:tcPr>
          <w:p>
            <w:pPr>
              <w:spacing w:after="0"/>
              <w:rPr>
                <w:sz w:val="1"/>
                <w:szCs w:val="1"/>
                <w:color w:val="auto"/>
              </w:rPr>
            </w:pPr>
          </w:p>
        </w:tc>
      </w:tr>
      <w:tr>
        <w:trPr>
          <w:trHeight w:val="171"/>
        </w:trPr>
        <w:tc>
          <w:tcPr>
            <w:tcW w:w="2000" w:type="dxa"/>
            <w:vAlign w:val="bottom"/>
            <w:vMerge w:val="continue"/>
          </w:tcPr>
          <w:p>
            <w:pPr>
              <w:spacing w:after="0"/>
              <w:rPr>
                <w:sz w:val="14"/>
                <w:szCs w:val="14"/>
                <w:color w:val="auto"/>
              </w:rPr>
            </w:pPr>
          </w:p>
        </w:tc>
        <w:tc>
          <w:tcPr>
            <w:tcW w:w="3560" w:type="dxa"/>
            <w:vAlign w:val="bottom"/>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1"/>
              </w:rPr>
              <w:t>Commitment</w:t>
            </w:r>
          </w:p>
        </w:tc>
        <w:tc>
          <w:tcPr>
            <w:tcW w:w="5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3"/>
              </w:rPr>
              <w:t>Commitment</w:t>
            </w:r>
          </w:p>
        </w:tc>
        <w:tc>
          <w:tcPr>
            <w:tcW w:w="5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3"/>
              </w:rPr>
              <w:t>Commitment</w:t>
            </w:r>
          </w:p>
        </w:tc>
        <w:tc>
          <w:tcPr>
            <w:tcW w:w="54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8"/>
              </w:rPr>
              <w:t>Commitment</w:t>
            </w: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35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FAR Research Inc. – Revolving Loan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5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Inflexxion, Inc. – Revolving Loan</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55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inthinc Technology Solutions, Inc. – Subordinated Note</w:t>
            </w: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Lightning Diversion Systems, LLC – Revolving Loan</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55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Oaktree Medical Centre, P.C. – Revolving Loan</w:t>
            </w: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Safety Products Group, LLC – Common Equity</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2,852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2,852</w:t>
            </w: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16"/>
        </w:trPr>
        <w:tc>
          <w:tcPr>
            <w:tcW w:w="55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SES Investors, LLC – Revolving Loan</w:t>
            </w: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9,352</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4,866</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14,352</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6,566</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detail for each of the commitments above is provided in the Company’s consolidated schedules of investments.</w:t>
      </w:r>
    </w:p>
    <w:p>
      <w:pPr>
        <w:spacing w:after="0" w:line="225"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The commitments are generally subject to the borrowers meeting certain criteria such as compliance with financial and nonfinancial covenants. Since commitments may expire without being drawn upon, the total commitment amount does not necessarily represent future cash requirements.</w:t>
      </w:r>
    </w:p>
    <w:p>
      <w:pPr>
        <w:spacing w:after="0" w:line="14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i w:val="1"/>
          <w:iCs w:val="1"/>
          <w:color w:val="auto"/>
        </w:rPr>
        <w:t xml:space="preserve">Indemnifications: </w:t>
      </w:r>
      <w:r>
        <w:rPr>
          <w:rFonts w:ascii="Arial" w:cs="Arial" w:eastAsia="Arial" w:hAnsi="Arial"/>
          <w:sz w:val="16"/>
          <w:szCs w:val="16"/>
          <w:color w:val="auto"/>
        </w:rPr>
        <w:t>In the normal course of business, the Company enters into contracts and agreements that contain a variety of representations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spacing w:after="0" w:line="16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Legal proceedings: </w:t>
      </w:r>
      <w:r>
        <w:rPr>
          <w:rFonts w:ascii="Arial" w:cs="Arial" w:eastAsia="Arial" w:hAnsi="Arial"/>
          <w:sz w:val="18"/>
          <w:szCs w:val="18"/>
          <w:color w:val="auto"/>
        </w:rPr>
        <w:t>In the normal course of business, the Company may be subject to legal and regulatory proceedings that are generally incidental to</w:t>
      </w:r>
      <w:r>
        <w:rPr>
          <w:rFonts w:ascii="Arial" w:cs="Arial" w:eastAsia="Arial" w:hAnsi="Arial"/>
          <w:sz w:val="18"/>
          <w:szCs w:val="18"/>
          <w:i w:val="1"/>
          <w:iCs w:val="1"/>
          <w:color w:val="auto"/>
        </w:rPr>
        <w:t xml:space="preserve"> </w:t>
      </w:r>
      <w:r>
        <w:rPr>
          <w:rFonts w:ascii="Arial" w:cs="Arial" w:eastAsia="Arial" w:hAnsi="Arial"/>
          <w:sz w:val="18"/>
          <w:szCs w:val="18"/>
          <w:color w:val="auto"/>
        </w:rPr>
        <w:t>its ongoing operations. While the outcome of these legal proceedings cannot be predicted with certainty, the Company does not believe these proceedings will have a material adverse effect on the Company’s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following table summarizes the total shares issued, offering price and net proceeds received in public offerings of the Company’s common stock since the IPO:</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7"/>
              </w:rPr>
              <w:t>Underwriting</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Fees and</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50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Commissions</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1"/>
              </w:rPr>
              <w:t>Offering</w:t>
            </w:r>
          </w:p>
        </w:tc>
        <w:tc>
          <w:tcPr>
            <w:tcW w:w="0" w:type="dxa"/>
            <w:vAlign w:val="bottom"/>
          </w:tcPr>
          <w:p>
            <w:pPr>
              <w:spacing w:after="0"/>
              <w:rPr>
                <w:sz w:val="1"/>
                <w:szCs w:val="1"/>
                <w:color w:val="auto"/>
              </w:rPr>
            </w:pPr>
          </w:p>
        </w:tc>
      </w:tr>
      <w:tr>
        <w:trPr>
          <w:trHeight w:val="149"/>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Offering Date</w:t>
            </w:r>
          </w:p>
        </w:tc>
        <w:tc>
          <w:tcPr>
            <w:tcW w:w="14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and Offering</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40" w:type="dxa"/>
            <w:vAlign w:val="bottom"/>
            <w:gridSpan w:val="2"/>
            <w:vMerge w:val="continue"/>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of Shares</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Proceeds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7"/>
              </w:rPr>
              <w:t>Costs</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September</w:t>
            </w:r>
          </w:p>
        </w:tc>
        <w:tc>
          <w:tcPr>
            <w:tcW w:w="4680" w:type="dxa"/>
            <w:vAlign w:val="bottom"/>
            <w:tcBorders>
              <w:top w:val="single" w:sz="8" w:color="CCEEFF"/>
            </w:tcBorders>
            <w:shd w:val="clear" w:color="auto" w:fill="CCEEFF"/>
          </w:tcPr>
          <w:p>
            <w:pPr>
              <w:jc w:val="right"/>
              <w:ind w:right="4010"/>
              <w:spacing w:after="0"/>
              <w:rPr>
                <w:sz w:val="20"/>
                <w:szCs w:val="20"/>
                <w:color w:val="auto"/>
              </w:rPr>
            </w:pPr>
            <w:r>
              <w:rPr>
                <w:rFonts w:ascii="Arial" w:cs="Arial" w:eastAsia="Arial" w:hAnsi="Arial"/>
                <w:sz w:val="18"/>
                <w:szCs w:val="18"/>
                <w:color w:val="auto"/>
                <w:w w:val="79"/>
              </w:rPr>
              <w:t>11, 2012</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2,472,500</w:t>
            </w:r>
          </w:p>
        </w:tc>
        <w:tc>
          <w:tcPr>
            <w:tcW w:w="6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39,807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6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$ 16.10</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February 8, 2013</w:t>
            </w: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1,725,000</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30,361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1,504</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2014</w:t>
            </w: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2,083,414</w:t>
            </w:r>
            <w:r>
              <w:rPr>
                <w:rFonts w:ascii="Arial" w:cs="Arial" w:eastAsia="Arial" w:hAnsi="Arial"/>
                <w:sz w:val="15"/>
                <w:szCs w:val="15"/>
                <w:color w:val="auto"/>
              </w:rPr>
              <w:t>(1)</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35,418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1,747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May 27, 2016</w:t>
            </w: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2,875,000</w:t>
            </w:r>
            <w:r>
              <w:rPr>
                <w:rFonts w:ascii="Arial" w:cs="Arial" w:eastAsia="Arial" w:hAnsi="Arial"/>
                <w:sz w:val="15"/>
                <w:szCs w:val="15"/>
                <w:color w:val="auto"/>
              </w:rPr>
              <w:t>(2)</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43,755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56</w:t>
            </w:r>
            <w:r>
              <w:rPr>
                <w:rFonts w:ascii="Arial" w:cs="Arial" w:eastAsia="Arial" w:hAnsi="Arial"/>
                <w:sz w:val="15"/>
                <w:szCs w:val="15"/>
                <w:color w:val="auto"/>
              </w:rPr>
              <w:t>(5)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15.22</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29, 2016</w:t>
            </w: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3,220,000</w:t>
            </w:r>
            <w:r>
              <w:rPr>
                <w:rFonts w:ascii="Arial" w:cs="Arial" w:eastAsia="Arial" w:hAnsi="Arial"/>
                <w:sz w:val="15"/>
                <w:szCs w:val="15"/>
                <w:color w:val="auto"/>
              </w:rPr>
              <w:t>(3)</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53,446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2,319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16.60</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June 20, 2017</w:t>
            </w: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2,012,500</w:t>
            </w:r>
            <w:r>
              <w:rPr>
                <w:rFonts w:ascii="Arial" w:cs="Arial" w:eastAsia="Arial" w:hAnsi="Arial"/>
                <w:sz w:val="15"/>
                <w:szCs w:val="15"/>
                <w:color w:val="auto"/>
              </w:rPr>
              <w:t>(4)</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33,810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1,552</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83,414 shares purchased by underwriters pursuant to the over-allotment option on October 21, 2014.</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375,000 shares purchased by underwriters pursuant to the over-allotment option on June 10,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420,000 shares purchased by underwriters pursuant to the over-allotment option on December 13, 2016.</w:t>
      </w:r>
    </w:p>
    <w:p>
      <w:pPr>
        <w:sectPr>
          <w:pgSz w:w="11900" w:h="16838" w:orient="portrait"/>
          <w:cols w:equalWidth="0" w:num="1">
            <w:col w:w="11400"/>
          </w:cols>
          <w:pgMar w:left="240" w:top="459" w:right="25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459" w:right="25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386" w:lineRule="exact"/>
        <w:rPr>
          <w:sz w:val="20"/>
          <w:szCs w:val="20"/>
          <w:color w:val="auto"/>
        </w:rPr>
      </w:pPr>
    </w:p>
    <w:p>
      <w:pPr>
        <w:ind w:left="460" w:right="280" w:hanging="452"/>
        <w:spacing w:after="0" w:line="25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262,500 shares purchased by underwriters pursuant to the over-allotment option on June 29, 2017. The Company received the proceeds of $4,234 from the over-allotment option on July 5, 2017.</w:t>
      </w:r>
    </w:p>
    <w:p>
      <w:pPr>
        <w:spacing w:after="0" w:line="1" w:lineRule="exact"/>
        <w:rPr>
          <w:rFonts w:ascii="Arial" w:cs="Arial" w:eastAsia="Arial" w:hAnsi="Arial"/>
          <w:sz w:val="18"/>
          <w:szCs w:val="18"/>
          <w:color w:val="auto"/>
        </w:rPr>
      </w:pPr>
    </w:p>
    <w:p>
      <w:pPr>
        <w:ind w:left="460" w:hanging="452"/>
        <w:spacing w:after="0" w:line="265"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Fidus Investment Advisors, LLC agreed to bear up to $169 of the offering costs associated with this offering. Fidus Investment Advisors, LLC has also agreed to bear $1,756, or 100%, of the underwriting fees and commissions in connection with this offering and the exercise of the over-allotment option. All payments made by Fidus Investment Advisors, LLC are not subject to reimbursement by the Company.</w:t>
      </w:r>
    </w:p>
    <w:p>
      <w:pPr>
        <w:ind w:left="460" w:right="10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weighted average offering price of shares issued, including the shares issued pursuant to the over-allotment option. Shares were issued on May 27, 2016 at an offering price of $15.27. The offering price of the over-allotment option shares was adjusted for the $0.39 dividend to shareholders of record on June 10, 2016.</w:t>
      </w:r>
    </w:p>
    <w:p>
      <w:pPr>
        <w:spacing w:after="0" w:line="1" w:lineRule="exact"/>
        <w:rPr>
          <w:rFonts w:ascii="Arial" w:cs="Arial" w:eastAsia="Arial" w:hAnsi="Arial"/>
          <w:sz w:val="18"/>
          <w:szCs w:val="18"/>
          <w:color w:val="auto"/>
        </w:rPr>
      </w:pPr>
    </w:p>
    <w:p>
      <w:pPr>
        <w:ind w:left="460" w:right="100" w:hanging="452"/>
        <w:spacing w:after="0" w:line="25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weighted average offering price of shares issued, including the shares issued pursuant to the over-allotment option. Shares were issued on November 29, 2016 at an offering price of $16.65. The offering price of the over-allotment option shares was adjusted for the $0.43 dividend to shareholders of record on November 30, 2016.</w:t>
      </w:r>
    </w:p>
    <w:p>
      <w:pPr>
        <w:spacing w:after="0" w:line="19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On August 21, 2014, the Company entered into an equity distribution agreement with Raymond James &amp; Associates, Inc. and Robert W. Baird &amp; Co. Incorporated through which the Company could sell, by means of at-the-market offerings from time to time, shares of the Company’s common stock having an aggregate offering price of up to $50,000 (the “ATM Program”). The gross proceeds raised, the related sales agent commission, the offering expenses and the average price at which shares were issued under the ATM Program during the last two fiscal years and for the six months ended June 30, 2017 are as follow:</w:t>
      </w:r>
    </w:p>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Underwriting</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Fees and</w:t>
            </w: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Commissions</w:t>
            </w:r>
          </w:p>
        </w:tc>
        <w:tc>
          <w:tcPr>
            <w:tcW w:w="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and Offering</w:t>
            </w:r>
          </w:p>
        </w:tc>
        <w:tc>
          <w:tcPr>
            <w:tcW w:w="6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of Shares</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Proceeds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56"/>
        </w:trPr>
        <w:tc>
          <w:tcPr>
            <w:tcW w:w="576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Year Ended December 31, 2015</w:t>
            </w:r>
          </w:p>
        </w:tc>
        <w:tc>
          <w:tcPr>
            <w:tcW w:w="6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4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rPr>
              <w:t>First Quarter ended March 31, 2015</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49,193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819</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5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w w:val="97"/>
              </w:rPr>
              <w:t>16.65</w:t>
            </w:r>
          </w:p>
        </w:tc>
        <w:tc>
          <w:tcPr>
            <w:tcW w:w="0" w:type="dxa"/>
            <w:vAlign w:val="bottom"/>
          </w:tcPr>
          <w:p>
            <w:pPr>
              <w:spacing w:after="0"/>
              <w:rPr>
                <w:sz w:val="1"/>
                <w:szCs w:val="1"/>
                <w:color w:val="auto"/>
              </w:rPr>
            </w:pPr>
          </w:p>
        </w:tc>
      </w:tr>
      <w:tr>
        <w:trPr>
          <w:trHeight w:val="216"/>
        </w:trPr>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Quarter ended June 30, 2015</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141,430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2,347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16.60</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rPr>
              <w:t>Third Quarter ended September 30, 2015</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Fourth Quarter ended December 31, 2015</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60" w:type="dxa"/>
            <w:vAlign w:val="bottom"/>
            <w:gridSpan w:val="3"/>
          </w:tcPr>
          <w:p>
            <w:pPr>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190,623</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3,166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79"/>
              </w:rPr>
              <w:t>66</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4"/>
              </w:rPr>
              <w:t>16.61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6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Year Ended December 31, 2016</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4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rPr>
              <w:t>First Quarter ended March 31, 2016</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Quarter ended June 30, 2016</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rPr>
              <w:t>Third Quarter ended September 30, 2016</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Fourth Quarter ended December 31, 2016</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60" w:type="dxa"/>
            <w:vAlign w:val="bottom"/>
            <w:gridSpan w:val="3"/>
          </w:tcPr>
          <w:p>
            <w:pPr>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2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9"/>
              </w:rPr>
              <w:t>Six Months Ended June 30, 2017</w:t>
            </w:r>
          </w:p>
        </w:tc>
        <w:tc>
          <w:tcPr>
            <w:tcW w:w="32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rPr>
              <w:t>First Quarter ended March 31, 2017</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Quarter ended June 30, 2017</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60" w:type="dxa"/>
            <w:vAlign w:val="bottom"/>
            <w:gridSpan w:val="3"/>
          </w:tcPr>
          <w:p>
            <w:pPr>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for additional information regarding the issuance of shares under the DRIP.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2017 and December 31, 2016, the Company had 24,480,624 and 22,446,076 shares of common stock outstanding, respectively.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Dividends and Distributions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Company’s dividends and distributions are recorded on the record date. The following table summarizes the dividends paid during the last two fiscal years and for the six months ended June 30, 2017.</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45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DRIP</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ind w:left="80"/>
              <w:spacing w:after="0"/>
              <w:rPr>
                <w:sz w:val="20"/>
                <w:szCs w:val="20"/>
                <w:color w:val="auto"/>
              </w:rPr>
            </w:pPr>
            <w:r>
              <w:rPr>
                <w:rFonts w:ascii="Arial" w:cs="Arial" w:eastAsia="Arial" w:hAnsi="Arial"/>
                <w:sz w:val="14"/>
                <w:szCs w:val="14"/>
                <w:b w:val="1"/>
                <w:bCs w:val="1"/>
                <w:color w:val="auto"/>
              </w:rPr>
              <w:t>DRIP</w:t>
            </w:r>
          </w:p>
        </w:tc>
        <w:tc>
          <w:tcPr>
            <w:tcW w:w="0" w:type="dxa"/>
            <w:vAlign w:val="bottom"/>
          </w:tcPr>
          <w:p>
            <w:pPr>
              <w:spacing w:after="0"/>
              <w:rPr>
                <w:sz w:val="1"/>
                <w:szCs w:val="1"/>
                <w:color w:val="auto"/>
              </w:rPr>
            </w:pPr>
          </w:p>
        </w:tc>
      </w:tr>
      <w:tr>
        <w:trPr>
          <w:trHeight w:val="149"/>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w:t>
            </w: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Record</w:t>
            </w: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Payment</w:t>
            </w:r>
          </w:p>
        </w:tc>
        <w:tc>
          <w:tcPr>
            <w:tcW w:w="120" w:type="dxa"/>
            <w:vAlign w:val="bottom"/>
          </w:tcPr>
          <w:p>
            <w:pPr>
              <w:spacing w:after="0"/>
              <w:rPr>
                <w:sz w:val="12"/>
                <w:szCs w:val="12"/>
                <w:color w:val="auto"/>
              </w:rPr>
            </w:pPr>
          </w:p>
        </w:tc>
        <w:tc>
          <w:tcPr>
            <w:tcW w:w="9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Cash</w:t>
            </w: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DRIP</w:t>
            </w:r>
          </w:p>
        </w:tc>
        <w:tc>
          <w:tcPr>
            <w:tcW w:w="120" w:type="dxa"/>
            <w:vAlign w:val="bottom"/>
          </w:tcPr>
          <w:p>
            <w:pPr>
              <w:spacing w:after="0"/>
              <w:rPr>
                <w:sz w:val="12"/>
                <w:szCs w:val="12"/>
                <w:color w:val="auto"/>
              </w:rPr>
            </w:pPr>
          </w:p>
        </w:tc>
        <w:tc>
          <w:tcPr>
            <w:tcW w:w="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44"/>
        </w:trPr>
        <w:tc>
          <w:tcPr>
            <w:tcW w:w="418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5"/>
              </w:rPr>
              <w:t>Shares</w:t>
            </w: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ind w:left="100"/>
              <w:spacing w:after="0" w:line="145" w:lineRule="exact"/>
              <w:rPr>
                <w:sz w:val="20"/>
                <w:szCs w:val="20"/>
                <w:color w:val="auto"/>
              </w:rPr>
            </w:pPr>
            <w:r>
              <w:rPr>
                <w:rFonts w:ascii="Arial" w:cs="Arial" w:eastAsia="Arial" w:hAnsi="Arial"/>
                <w:sz w:val="14"/>
                <w:szCs w:val="14"/>
                <w:b w:val="1"/>
                <w:bCs w:val="1"/>
                <w:color w:val="auto"/>
              </w:rPr>
              <w:t>Issue</w:t>
            </w:r>
          </w:p>
        </w:tc>
        <w:tc>
          <w:tcPr>
            <w:tcW w:w="0" w:type="dxa"/>
            <w:vAlign w:val="bottom"/>
          </w:tcPr>
          <w:p>
            <w:pPr>
              <w:spacing w:after="0"/>
              <w:rPr>
                <w:sz w:val="1"/>
                <w:szCs w:val="1"/>
                <w:color w:val="auto"/>
              </w:rPr>
            </w:pPr>
          </w:p>
        </w:tc>
      </w:tr>
      <w:tr>
        <w:trPr>
          <w:trHeight w:val="149"/>
        </w:trPr>
        <w:tc>
          <w:tcPr>
            <w:tcW w:w="4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Declared</w:t>
            </w:r>
          </w:p>
        </w:tc>
        <w:tc>
          <w:tcPr>
            <w:tcW w:w="11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2"/>
              </w:rPr>
              <w:t>Date</w:t>
            </w:r>
          </w:p>
        </w:tc>
        <w:tc>
          <w:tcPr>
            <w:tcW w:w="100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2"/>
                <w:szCs w:val="12"/>
                <w:color w:val="auto"/>
              </w:rPr>
            </w:pPr>
          </w:p>
        </w:tc>
        <w:tc>
          <w:tcPr>
            <w:tcW w:w="9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Per Share</w:t>
            </w:r>
          </w:p>
        </w:tc>
        <w:tc>
          <w:tcPr>
            <w:tcW w:w="8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Distribution</w:t>
            </w:r>
          </w:p>
        </w:tc>
        <w:tc>
          <w:tcPr>
            <w:tcW w:w="120" w:type="dxa"/>
            <w:vAlign w:val="bottom"/>
          </w:tcPr>
          <w:p>
            <w:pPr>
              <w:spacing w:after="0"/>
              <w:rPr>
                <w:sz w:val="12"/>
                <w:szCs w:val="12"/>
                <w:color w:val="auto"/>
              </w:rPr>
            </w:pPr>
          </w:p>
        </w:tc>
        <w:tc>
          <w:tcPr>
            <w:tcW w:w="8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Distribution</w:t>
            </w: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6"/>
              </w:rPr>
              <w:t>Value</w:t>
            </w:r>
          </w:p>
        </w:tc>
        <w:tc>
          <w:tcPr>
            <w:tcW w:w="68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56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56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Fiscal Year Ended December 31, 2015:</w:t>
            </w: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2/17/2015</w:t>
            </w:r>
          </w:p>
        </w:tc>
        <w:tc>
          <w:tcPr>
            <w:tcW w:w="30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3/12/2015</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3/26/2015</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0.38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6,099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5,886</w:t>
            </w: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$ 213</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12,922</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5/5/2015</w:t>
            </w:r>
          </w:p>
        </w:tc>
        <w:tc>
          <w:tcPr>
            <w:tcW w:w="30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6/11/2015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6/25/2015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5,968</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208</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12,883</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5/5/2015</w:t>
            </w:r>
            <w:r>
              <w:rPr>
                <w:rFonts w:ascii="Arial" w:cs="Arial" w:eastAsia="Arial" w:hAnsi="Arial"/>
                <w:sz w:val="15"/>
                <w:szCs w:val="15"/>
                <w:color w:val="auto"/>
              </w:rPr>
              <w:t>(1)</w:t>
            </w:r>
          </w:p>
        </w:tc>
        <w:tc>
          <w:tcPr>
            <w:tcW w:w="30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6/11/2015</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6/25/2015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314</w:t>
            </w: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11</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678</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8/3/2015</w:t>
            </w:r>
          </w:p>
        </w:tc>
        <w:tc>
          <w:tcPr>
            <w:tcW w:w="30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9/17/2015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9/25/2015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6,097</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248</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16,985</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11/2/2015</w:t>
            </w:r>
            <w:r>
              <w:rPr>
                <w:rFonts w:ascii="Arial" w:cs="Arial" w:eastAsia="Arial" w:hAnsi="Arial"/>
                <w:sz w:val="15"/>
                <w:szCs w:val="15"/>
                <w:color w:val="auto"/>
              </w:rPr>
              <w:t>(1)</w:t>
            </w:r>
          </w:p>
        </w:tc>
        <w:tc>
          <w:tcPr>
            <w:tcW w:w="30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11/27/2015</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12/11/2015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624</w:t>
            </w: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27</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2,034</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11/2/2015</w:t>
            </w:r>
          </w:p>
        </w:tc>
        <w:tc>
          <w:tcPr>
            <w:tcW w:w="30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12/4/2015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12/18/2015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6,157</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194</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13,570</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$ 901</w:t>
            </w: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59,072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Fiscal Year Ended December 31, 2016:</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2/16/2016</w:t>
            </w:r>
          </w:p>
        </w:tc>
        <w:tc>
          <w:tcPr>
            <w:tcW w:w="30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3/11/2016</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3/25/2016</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6,357</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6,177</w:t>
            </w: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$ 180</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11,631</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5/2/2016</w:t>
            </w:r>
          </w:p>
        </w:tc>
        <w:tc>
          <w:tcPr>
            <w:tcW w:w="30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6/10/2016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6/24/2016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7,143</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194</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12,722</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8/1/2016</w:t>
            </w:r>
          </w:p>
        </w:tc>
        <w:tc>
          <w:tcPr>
            <w:tcW w:w="30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9/9/2016</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9/23/2016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7,488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7,293</w:t>
            </w: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195</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12,340</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11/1/2016</w:t>
            </w:r>
          </w:p>
        </w:tc>
        <w:tc>
          <w:tcPr>
            <w:tcW w:w="30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12/2/2016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12/16/2016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8,386</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199</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12,381</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11/1/2016</w:t>
            </w:r>
            <w:r>
              <w:rPr>
                <w:rFonts w:ascii="Arial" w:cs="Arial" w:eastAsia="Arial" w:hAnsi="Arial"/>
                <w:sz w:val="15"/>
                <w:szCs w:val="15"/>
                <w:color w:val="auto"/>
              </w:rPr>
              <w:t>(1)</w:t>
            </w:r>
          </w:p>
        </w:tc>
        <w:tc>
          <w:tcPr>
            <w:tcW w:w="30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12/2/2016</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12/16/2016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860</w:t>
            </w: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20</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1,270</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30,647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29,859</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$ 788</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50,344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Six Months Ended June 30, 2017:</w:t>
            </w: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3"/>
            <w:vMerge w:val="continue"/>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2/14/2017</w:t>
            </w:r>
          </w:p>
        </w:tc>
        <w:tc>
          <w:tcPr>
            <w:tcW w:w="30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3/10/2017</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3/24/2017</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8,556</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$ 198</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11,500</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5/1/2017</w:t>
            </w:r>
          </w:p>
        </w:tc>
        <w:tc>
          <w:tcPr>
            <w:tcW w:w="30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6/9/2017</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6/23/2017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8,758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8,582</w:t>
            </w: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176</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10,548</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17,512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17,138</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$ 374</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22,048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Special dividend.</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Since the Company’s IPO, dividends and distributions to stockholders total $147,220 or $9.74 per share.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Financial Highlights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financial highlights for the six months ended June 30, 2017 and 2016:</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5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r>
      <w:tr>
        <w:trPr>
          <w:trHeight w:val="196"/>
        </w:trPr>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Net asset value at beginning of period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15.76</w:t>
            </w:r>
          </w:p>
        </w:tc>
        <w:tc>
          <w:tcPr>
            <w:tcW w:w="3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15.17</w:t>
            </w:r>
          </w:p>
        </w:tc>
        <w:tc>
          <w:tcPr>
            <w:tcW w:w="200" w:type="dxa"/>
            <w:vAlign w:val="bottom"/>
          </w:tcPr>
          <w:p>
            <w:pPr>
              <w:spacing w:after="0"/>
              <w:rPr>
                <w:sz w:val="18"/>
                <w:szCs w:val="18"/>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00" w:type="dxa"/>
            <w:vAlign w:val="bottom"/>
            <w:shd w:val="clear" w:color="auto" w:fill="CCEEFF"/>
          </w:tcPr>
          <w:p>
            <w:pPr>
              <w:spacing w:after="0"/>
              <w:rPr>
                <w:sz w:val="18"/>
                <w:szCs w:val="18"/>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 xml:space="preserve">Net realized gain on investments, net of income tax provision </w:t>
            </w:r>
            <w:r>
              <w:rPr>
                <w:rFonts w:ascii="Arial" w:cs="Arial" w:eastAsia="Arial" w:hAnsi="Arial"/>
                <w:sz w:val="15"/>
                <w:szCs w:val="15"/>
                <w:color w:val="auto"/>
              </w:rPr>
              <w:t>(1)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Net unrealized (depreciation) appreciation on investments </w:t>
            </w:r>
            <w:r>
              <w:rPr>
                <w:rFonts w:ascii="Arial" w:cs="Arial" w:eastAsia="Arial" w:hAnsi="Arial"/>
                <w:sz w:val="15"/>
                <w:szCs w:val="15"/>
                <w:color w:val="auto"/>
              </w:rPr>
              <w:t>(1)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00" w:type="dxa"/>
            <w:vAlign w:val="bottom"/>
            <w:shd w:val="clear" w:color="auto" w:fill="CCEEFF"/>
          </w:tcPr>
          <w:p>
            <w:pPr>
              <w:spacing w:after="0"/>
              <w:rPr>
                <w:sz w:val="18"/>
                <w:szCs w:val="18"/>
                <w:color w:val="auto"/>
              </w:rPr>
            </w:pP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 xml:space="preserve">Total increase from investment operations </w:t>
            </w:r>
            <w:r>
              <w:rPr>
                <w:rFonts w:ascii="Arial" w:cs="Arial" w:eastAsia="Arial" w:hAnsi="Arial"/>
                <w:sz w:val="15"/>
                <w:szCs w:val="15"/>
                <w:color w:val="auto"/>
              </w:rPr>
              <w:t>(1)</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20"/>
                <w:szCs w:val="20"/>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Accretive (dilutive) effect of share issuances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w:t>
            </w: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Dividends to stockholders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(0.78)</w:t>
            </w: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r>
      <w:tr>
        <w:trPr>
          <w:trHeight w:val="223"/>
        </w:trPr>
        <w:tc>
          <w:tcPr>
            <w:tcW w:w="5540" w:type="dxa"/>
            <w:vAlign w:val="bottom"/>
          </w:tcPr>
          <w:p>
            <w:pPr>
              <w:ind w:left="360"/>
              <w:spacing w:after="0"/>
              <w:rPr>
                <w:sz w:val="20"/>
                <w:szCs w:val="20"/>
                <w:color w:val="auto"/>
              </w:rPr>
            </w:pPr>
            <w:r>
              <w:rPr>
                <w:rFonts w:ascii="Arial" w:cs="Arial" w:eastAsia="Arial" w:hAnsi="Arial"/>
                <w:sz w:val="18"/>
                <w:szCs w:val="18"/>
                <w:color w:val="auto"/>
              </w:rPr>
              <w:t>Net asset value at end of period</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20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 value at end of period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2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24,480,624</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19,200,085</w:t>
            </w:r>
          </w:p>
        </w:tc>
        <w:tc>
          <w:tcPr>
            <w:tcW w:w="20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during the period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22,550,846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16,815,592</w:t>
            </w:r>
          </w:p>
        </w:tc>
        <w:tc>
          <w:tcPr>
            <w:tcW w:w="2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388,423</w:t>
            </w:r>
          </w:p>
        </w:tc>
        <w:tc>
          <w:tcPr>
            <w:tcW w:w="3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298,045</w:t>
            </w:r>
          </w:p>
        </w:tc>
        <w:tc>
          <w:tcPr>
            <w:tcW w:w="20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Average net assets </w:t>
            </w:r>
            <w:r>
              <w:rPr>
                <w:rFonts w:ascii="Arial" w:cs="Arial" w:eastAsia="Arial" w:hAnsi="Arial"/>
                <w:sz w:val="15"/>
                <w:szCs w:val="15"/>
                <w:color w:val="auto"/>
              </w:rPr>
              <w:t>(7)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365,673</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264,711</w:t>
            </w:r>
          </w:p>
        </w:tc>
        <w:tc>
          <w:tcPr>
            <w:tcW w:w="2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b w:val="1"/>
                <w:bCs w:val="1"/>
                <w:color w:val="auto"/>
              </w:rPr>
              <w:t>Ratios to average net assets: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15"/>
                <w:szCs w:val="15"/>
                <w:color w:val="auto"/>
              </w:rPr>
              <w:t>(3) (5)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(3) (6)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w:t>
            </w:r>
            <w:r>
              <w:rPr>
                <w:rFonts w:ascii="Arial" w:cs="Arial" w:eastAsia="Arial" w:hAnsi="Arial"/>
                <w:sz w:val="15"/>
                <w:szCs w:val="15"/>
                <w:color w:val="auto"/>
              </w:rPr>
              <w:t>(4)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 xml:space="preserve">Portfolio turnover ratio </w:t>
            </w:r>
            <w:r>
              <w:rPr>
                <w:rFonts w:ascii="Arial" w:cs="Arial" w:eastAsia="Arial" w:hAnsi="Arial"/>
                <w:sz w:val="15"/>
                <w:szCs w:val="15"/>
                <w:color w:val="auto"/>
              </w:rPr>
              <w:t>(3)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Data:</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Average debt outstanding</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213,500</w:t>
            </w:r>
          </w:p>
        </w:tc>
        <w:tc>
          <w:tcPr>
            <w:tcW w:w="3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222,667</w:t>
            </w:r>
          </w:p>
        </w:tc>
        <w:tc>
          <w:tcPr>
            <w:tcW w:w="20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Average debt per share </w:t>
            </w:r>
            <w:r>
              <w:rPr>
                <w:rFonts w:ascii="Arial" w:cs="Arial" w:eastAsia="Arial" w:hAnsi="Arial"/>
                <w:sz w:val="15"/>
                <w:szCs w:val="15"/>
                <w:color w:val="auto"/>
              </w:rPr>
              <w:t>(1)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2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Weighted average per share data.</w:t>
      </w:r>
    </w:p>
    <w:p>
      <w:pPr>
        <w:spacing w:after="0" w:line="23" w:lineRule="exact"/>
        <w:rPr>
          <w:rFonts w:ascii="Arial" w:cs="Arial" w:eastAsia="Arial" w:hAnsi="Arial"/>
          <w:sz w:val="18"/>
          <w:szCs w:val="18"/>
          <w:color w:val="auto"/>
        </w:rPr>
      </w:pPr>
    </w:p>
    <w:p>
      <w:pPr>
        <w:ind w:left="460" w:right="240" w:hanging="452"/>
        <w:spacing w:after="0" w:line="323"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w:t>
      </w:r>
    </w:p>
    <w:p>
      <w:pPr>
        <w:sectPr>
          <w:pgSz w:w="11900" w:h="16838" w:orient="portrait"/>
          <w:cols w:equalWidth="0" w:num="1">
            <w:col w:w="11420"/>
          </w:cols>
          <w:pgMar w:left="240" w:top="459" w:right="239" w:bottom="1135" w:gutter="0" w:footer="0" w:header="0"/>
        </w:sectPr>
      </w:pPr>
    </w:p>
    <w:p>
      <w:pPr>
        <w:spacing w:after="0" w:line="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59" w:right="239" w:bottom="1135"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3" w:lineRule="exact"/>
        <w:rPr>
          <w:rFonts w:ascii="Arial" w:cs="Arial" w:eastAsia="Arial" w:hAnsi="Arial"/>
          <w:sz w:val="18"/>
          <w:szCs w:val="18"/>
          <w:color w:val="auto"/>
        </w:rPr>
      </w:pPr>
    </w:p>
    <w:p>
      <w:pPr>
        <w:ind w:left="460" w:right="360" w:hanging="452"/>
        <w:spacing w:after="0" w:line="28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total return for the six months ended June 30, 2017 and 2016 equals the change in the market value of the Company’s common stock per share during the period plus dividends paid per share during the period, divided by the market value per share at the beginning of the period.</w:t>
      </w:r>
    </w:p>
    <w:p>
      <w:pPr>
        <w:spacing w:after="0" w:line="1"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total expenses to average net assets ratio is calculated using the total expenses caption as presented on the consolidated statements of operations, which includes incentive fee and excludes the income tax provision.</w:t>
      </w:r>
    </w:p>
    <w:p>
      <w:pPr>
        <w:ind w:left="460" w:right="2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net investment income to average net assets ratio is calculated using the net investment income caption as presented on the consolidated statements of operations, which includes incentive fee.</w:t>
      </w:r>
    </w:p>
    <w:p>
      <w:pPr>
        <w:ind w:left="460" w:hanging="45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Average net assets is calculated as the average of the net asset balances as of each quarter end during the fiscal year and the prior year end.</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On July 13, 2017, the Company exited its equity investment in EBL, LLC. The Company sold its equity for a realized gain of approximately $2,236. Concurrently, the Company invested $10,000 in subordinated notes and a new common equity investment in EBL, LLC, a lifestyle retailer of urban-inspired footwear, apparel and accessories.</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On July 14, 2017, the Company exited its debt investment in Anatrace Products, LLC. The Company received payment in full on its subordinated note, including a prepayment penalty.</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July 18, 2017, the Company invested $10,194 in senior secured loans of Tile Redi, LLC, a leading manufacturer and marketer of bathroom products for use in tiled showers. The company serves both “do-it-yourselfers” and commercial end users throughout the US, primarily selling into the home remodeling and renovation end markets.</w:t>
      </w:r>
    </w:p>
    <w:p>
      <w:pPr>
        <w:spacing w:after="0" w:line="18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On July 21, 2017, the Company invested $12,750 in subordinated notes and common equity of Marco Group International OpCo, LLC, a manufacturer and distributor of surface preparation equipment, parts and supplies to industrial contractors primarily in the downstream energy, infrastructure and industrial markets.</w:t>
      </w:r>
    </w:p>
    <w:p>
      <w:pPr>
        <w:spacing w:after="0" w:line="181" w:lineRule="exact"/>
        <w:rPr>
          <w:sz w:val="20"/>
          <w:szCs w:val="20"/>
          <w:color w:val="auto"/>
        </w:rPr>
      </w:pPr>
    </w:p>
    <w:p>
      <w:pPr>
        <w:jc w:val="both"/>
        <w:ind w:right="60" w:firstLine="456"/>
        <w:spacing w:after="0" w:line="308" w:lineRule="auto"/>
        <w:rPr>
          <w:sz w:val="20"/>
          <w:szCs w:val="20"/>
          <w:color w:val="auto"/>
        </w:rPr>
      </w:pPr>
      <w:r>
        <w:rPr>
          <w:rFonts w:ascii="Arial" w:cs="Arial" w:eastAsia="Arial" w:hAnsi="Arial"/>
          <w:sz w:val="17"/>
          <w:szCs w:val="17"/>
          <w:color w:val="auto"/>
        </w:rPr>
        <w:t>On July 28, 2017, the Company invested $7,750 in subordinated notes, preferred equity and common equity of ControlScan, Inc., a leading provider of payments security, managed firewall and managed network solutions and one of the nation’s foremost PCI compliance companies.</w:t>
      </w:r>
    </w:p>
    <w:p>
      <w:pPr>
        <w:spacing w:after="0" w:line="14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On July 31, 2017, the Board declared a regular quarterly dividend of $0.39 per share payable on September 22, 2017 to stockholders of record as of September 8, 2017.</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Fidus Investment Corporation’s consolidated financial statements and related notes appearing in our annual report on Form 10-K for the year ended December 31, 2016, filed with the U.S. Securities and Exchange Commission (“SEC”) on March 2, 2017. The information contained in this section should also be read in conjunction with our unaudited consolidated financial statements and related notes thereto appearing elsewhere in this quarterly report on Form 10-Q.</w:t>
      </w:r>
    </w:p>
    <w:p>
      <w:pPr>
        <w:spacing w:after="0" w:line="17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i w:val="1"/>
          <w:iCs w:val="1"/>
          <w:color w:val="auto"/>
        </w:rPr>
        <w:t>Except as otherwise specified, references to “we,” “us,” “our,” “Fidus” and “FIC” refer to Fidus Investment Corporation and its consolidated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spacing w:after="0" w:line="99"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expected financing and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17"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87" w:lineRule="exact"/>
        <w:rPr>
          <w:sz w:val="20"/>
          <w:szCs w:val="20"/>
          <w:color w:val="auto"/>
        </w:rPr>
      </w:pPr>
    </w:p>
    <w:p>
      <w:pPr>
        <w:ind w:left="900" w:right="3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lending and investment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because we use leverage as part of our investment strategy;</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currency fluctuations could adversely affect the results of our investments in foreign companies, particularly to the extent that we receive payments denominated in foreign currency rather than the U.S. dollars; and,</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risks, uncertainties and other factors we identify in </w:t>
      </w:r>
      <w:r>
        <w:rPr>
          <w:rFonts w:ascii="Arial" w:cs="Arial" w:eastAsia="Arial" w:hAnsi="Arial"/>
          <w:sz w:val="18"/>
          <w:szCs w:val="18"/>
          <w:i w:val="1"/>
          <w:iCs w:val="1"/>
          <w:color w:val="auto"/>
        </w:rPr>
        <w:t>Item 1A. – Risk Factors</w:t>
      </w:r>
      <w:r>
        <w:rPr>
          <w:rFonts w:ascii="Arial" w:cs="Arial" w:eastAsia="Arial" w:hAnsi="Arial"/>
          <w:sz w:val="18"/>
          <w:szCs w:val="18"/>
          <w:color w:val="auto"/>
        </w:rPr>
        <w:t xml:space="preserve"> contained in our Annual Report on Form 10-K for the year ended December 31, 2016, elsewhere in this Quarterly Report on Form 10-Q and in our other filings with the SEC.</w:t>
      </w:r>
    </w:p>
    <w:p>
      <w:pPr>
        <w:spacing w:after="0" w:line="17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Arial" w:cs="Arial" w:eastAsia="Arial" w:hAnsi="Arial"/>
          <w:sz w:val="17"/>
          <w:szCs w:val="17"/>
          <w:i w:val="1"/>
          <w:iCs w:val="1"/>
          <w:color w:val="auto"/>
        </w:rPr>
        <w:t>Item 1.A – Risk Factors</w:t>
      </w:r>
      <w:r>
        <w:rPr>
          <w:rFonts w:ascii="Arial" w:cs="Arial" w:eastAsia="Arial" w:hAnsi="Arial"/>
          <w:sz w:val="17"/>
          <w:szCs w:val="17"/>
          <w:color w:val="auto"/>
        </w:rPr>
        <w:t xml:space="preserve"> contained in our Annual Report on Form 10-K for the year ended December 31, 2016, filed with the SEC on March 2, 2017. You should not place undue reliance on these forward-looking statements, which apply only as of the date of this Quarterly Report on Form 10-Q.</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FIC was formed as a Maryland corporation on February 14, 2011. We completed our initial public offering, or IPO, in June 2011.</w:t>
      </w:r>
    </w:p>
    <w:p>
      <w:pPr>
        <w:spacing w:after="0" w:line="22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On June 20, 2011, FIC acquired all of the limited partnership interests of Fidus Mezzanine Capital, L.P., or Fund I, and membership interests of Fidus Mezzanine Capital GP, LLC, its general partner, through the Formation Transactions, resulting in Fund I becoming our wholly-owned SBIC subsidiary. Immediately following the Formation Transactions,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On March 29, 2013, we commenced operations of a second wholly-owned subsidiary, Fund II. Fund I and Fund II are collectively referred to as the “Funds.”</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Fund I received its SBIC license on October 22, 2007 and Fund II received its SBIC license on May 28, 2013. We plan to continue to operate the Funds as SBICs, subject to SBA approval, and to utilize the proceeds of the sale of SBA-guaranteed debentures to enhance returns to our stockholders. We have also made, and continue to make, investments directly through FIC. We believe that utilizing FIC and the Funds as investment vehicles provides us with access to a broader array of investment opportunities. Based on the current capitalization of the Funds, we have approximately $58.0 million of remaining borrowing capacity under the SBIC Debenture Program and intend to fully utilize such capacity over the ensuing 12-18 months.</w:t>
      </w:r>
    </w:p>
    <w:p>
      <w:pPr>
        <w:spacing w:after="0" w:line="158"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We generate revenue in the form of interest and fee income on debt investments and capital gains and distributions, if any, on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Our debt investments, whether in the form of mezzanine, senior secured or unitranche loans, typically have terms of five to seven years and bear interest at a fixed rate but may bear interest at a floating rate. In some instances, we receive payments on our debt investments based on scheduled amortization of the outstanding balances. In addition, we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loans and any accrued but unpaid interest generally become due at the maturity date. In addition, we may generate revenue in the form of commitment, origination, amendment, or structuring fees and fees for providing managerial assistance. Debt investment origination fees, original issue discount and market discount or premium, if any, are capitalized, and we accrete or amortize such amounts into interest income. We record prepayment premiums on loans as fee income. Interest and dividend income is recorded on the accrual basis to the extent that we expect to collect such amounts. Debt investments or preferred equity securities are placed on non-accrual status when principal, interest or dividend payments become materially past due, or when there is reasonable doubt that principal, interest or dividends will be collected. See “Critical Accounting Policies and Use of Estimates – Revenue Recognition.”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when the relevant tax forms are received from the portfolio company.</w:t>
      </w:r>
    </w:p>
    <w:p>
      <w:pPr>
        <w:spacing w:after="0" w:line="193"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All investment professionals of our investment advisor and/or its affiliates, when and to the extent engaged in providing investment advisory</w:t>
      </w:r>
      <w:r>
        <w:rPr>
          <w:rFonts w:ascii="Arial" w:cs="Arial" w:eastAsia="Arial" w:hAnsi="Arial"/>
          <w:sz w:val="18"/>
          <w:szCs w:val="18"/>
          <w:i w:val="1"/>
          <w:iCs w:val="1"/>
          <w:color w:val="auto"/>
        </w:rPr>
        <w:t xml:space="preserve"> </w:t>
      </w:r>
      <w:r>
        <w:rPr>
          <w:rFonts w:ascii="Arial" w:cs="Arial" w:eastAsia="Arial" w:hAnsi="Arial"/>
          <w:sz w:val="18"/>
          <w:szCs w:val="18"/>
          <w:color w:val="auto"/>
        </w:rPr>
        <w:t>and management services to us, and the compensation and routine overhead expenses allocable to personnel who provide these services to us, are provided and paid for by our investment advisor and not by us. We bear all other out-of-pocket costs and expenses of our operations and transactions, including, without limitation, those relating to:</w:t>
      </w:r>
    </w:p>
    <w:p>
      <w:pPr>
        <w:spacing w:after="0" w:line="9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30" w:lineRule="exact"/>
        <w:rPr>
          <w:rFonts w:ascii="Arial" w:cs="Arial" w:eastAsia="Arial" w:hAnsi="Arial"/>
          <w:sz w:val="18"/>
          <w:szCs w:val="18"/>
          <w:color w:val="auto"/>
        </w:rPr>
      </w:pPr>
    </w:p>
    <w:p>
      <w:pPr>
        <w:ind w:left="900" w:right="60" w:hanging="325"/>
        <w:spacing w:after="0" w:line="31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fees and expenses incurred by our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investment advisory fees and management fees;</w:t>
      </w:r>
    </w:p>
    <w:p>
      <w:pPr>
        <w:spacing w:after="0" w:line="13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administration fees and expenses, if any, payable under the Administration Agreement (including payments under the Administration Agreement between us and our investment advisor based upon our allocable portion of our investment advisor’s overhead in performing its obligations under the Administration Agreement, including rent and the allocable portion of the cost of our officers, including our chief compliance officer, our chief financial officer, and their respective staffs);</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agent, dividend agent and custodial fees and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costs of registration and listing our shares on any securities exchange;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or other regulators including printing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and mailing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allocable portion of any fidelity bond, directors and officers/errors and omissions liability insurance, and any other insurance premiums;</w:t>
      </w:r>
    </w:p>
    <w:p>
      <w:pPr>
        <w:spacing w:after="0" w:line="142" w:lineRule="exact"/>
        <w:rPr>
          <w:rFonts w:ascii="Arial" w:cs="Arial" w:eastAsia="Arial" w:hAnsi="Arial"/>
          <w:sz w:val="17"/>
          <w:szCs w:val="17"/>
          <w:color w:val="auto"/>
        </w:rPr>
      </w:pPr>
    </w:p>
    <w:p>
      <w:pPr>
        <w:ind w:left="900" w:right="2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proxy voting expenses;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other expenses reasonably incurred by us or our investment advisor in connection with administering our business.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Composition, Investment Activity and Yield</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the six months ended June 30, 2017, we invested $87.1 million in debt and equity investments, including five new portfolio companies. These investments consisted of subordinated notes ($79.0 million, or 90.8%), senior secured loans ($2.2 million, or 2.5%), equity securities ($5.0 million, or 5.7%) and warrant securities ($0.9 million, or 1.0%). During the six months ended June 30, 2017 we received proceeds from sales or repayments, including principal, return of capital dividends and net realized gains (losses), of $66.7 million.</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six months ended June 30, 2016, we invested $44.4 million in debt and equity investments, including three new portfolio companies. These investments consisted of subordinated notes ($39.3 million, or 88.6%), senior secured loans ($2.8 million, or 6.2%), equity securities ($2.2 million, or 5.0%) and warrant securities ($0.1 million, or 0.2%). During the six months ended June 30, 2016 we received proceeds from sales or repayments, including principal, return of capital dividends and net realized gains (losses), of $46.0 million.</w:t>
      </w:r>
    </w:p>
    <w:p>
      <w:pPr>
        <w:spacing w:after="0" w:line="18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As of June 30, 2017, the fair value of our investment portfolio totaled $553.3 million and consisted of 55 active portfolio companies and five portfolio companies that have sold their underlying operations. As of June 30, 2017, two debt investments bore interest at a variable rate, which represented $15.8 million of our portfolio on a fair value basis, and the remainder of our debt portfolio was comprised of fixed rate investments. Overall, the portfolio had net unrealized appreciation of $22.0 million as of June 30, 2017. As of June 30, 2017, our average active portfolio company investment at amortized cost was $9.7 million, which excludes investments in the five portfolio companies that have sold their underlying operations.</w:t>
      </w:r>
    </w:p>
    <w:p>
      <w:pPr>
        <w:spacing w:after="0" w:line="173"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As of December 31, 2016, the fair value of our investment portfolio totaled $524.5 million and consisted of 53 active portfolio companies and four portfolio companies that have sold their underlying operations. As of December 31, 2016, one debt investment bore interest at a variable rate, which represented $8.2 million of our portfolio on a fair value basis, and the remainder of our debt portfolio was comprised of fixed rate investments. Overall, the portfolio had net unrealized appreciation of $23.9 million as of December 31, 2016. As of December 31, 2016, our average active portfolio company investment at amortized cost was $9.4 million, which excludes investments in the four portfolio companies that have sold their underlying operations.</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weighted average yield on debt investments as of June 30, 2017 and December 31, 2016 was 13.0% and 13.1%, respectively. The weighted average yield of our debt investments is not the same as a return on investment for our stockholders but, rather, relates to a portion of our investment portfolio and is calculated before the payment of all of our fees and expenses. The weighted average yields were computed using the effective interest rates for debt investments at cost as of June 30, 2017 and December 31, 2016, respectively, including the accretion of original issue discount and loan origination fees, but excluding investments on non-accrual status, if any.</w:t>
      </w:r>
    </w:p>
    <w:p>
      <w:pPr>
        <w:sectPr>
          <w:pgSz w:w="11900" w:h="16838" w:orient="portrait"/>
          <w:cols w:equalWidth="0" w:num="1">
            <w:col w:w="11380"/>
          </w:cols>
          <w:pgMar w:left="240" w:top="459" w:right="279" w:bottom="1440" w:gutter="0" w:footer="0" w:header="0"/>
        </w:sectPr>
      </w:pP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380"/>
          </w:cols>
          <w:pgMar w:left="240" w:top="459" w:right="27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following table shows the portfolio composition by investment type at fair value and cost and as a percentage of total investments (dollars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5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gridSpan w:val="4"/>
          </w:tcPr>
          <w:p>
            <w:pPr>
              <w:ind w:left="260"/>
              <w:spacing w:after="0" w:line="142" w:lineRule="exact"/>
              <w:rPr>
                <w:sz w:val="20"/>
                <w:szCs w:val="20"/>
                <w:color w:val="auto"/>
              </w:rPr>
            </w:pPr>
            <w:r>
              <w:rPr>
                <w:rFonts w:ascii="Arial" w:cs="Arial" w:eastAsia="Arial" w:hAnsi="Arial"/>
                <w:sz w:val="14"/>
                <w:szCs w:val="14"/>
                <w:b w:val="1"/>
                <w:bCs w:val="1"/>
                <w:color w:val="auto"/>
              </w:rPr>
              <w:t>June 30, 2017</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w w:val="99"/>
              </w:rPr>
              <w:t>December 31, 2016</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gridSpan w:val="3"/>
          </w:tcPr>
          <w:p>
            <w:pPr>
              <w:jc w:val="right"/>
              <w:ind w:right="190"/>
              <w:spacing w:after="0" w:line="142" w:lineRule="exact"/>
              <w:rPr>
                <w:sz w:val="20"/>
                <w:szCs w:val="20"/>
                <w:color w:val="auto"/>
              </w:rPr>
            </w:pPr>
            <w:r>
              <w:rPr>
                <w:rFonts w:ascii="Arial" w:cs="Arial" w:eastAsia="Arial" w:hAnsi="Arial"/>
                <w:sz w:val="14"/>
                <w:szCs w:val="14"/>
                <w:b w:val="1"/>
                <w:bCs w:val="1"/>
                <w:color w:val="auto"/>
              </w:rPr>
              <w:t>June 30, 2017</w:t>
            </w:r>
          </w:p>
        </w:tc>
        <w:tc>
          <w:tcPr>
            <w:tcW w:w="38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w w:val="99"/>
              </w:rPr>
              <w:t>December 31, 2016</w:t>
            </w:r>
          </w:p>
        </w:tc>
        <w:tc>
          <w:tcPr>
            <w:tcW w:w="200" w:type="dxa"/>
            <w:vAlign w:val="bottom"/>
            <w:tcBorders>
              <w:bottom w:val="single" w:sz="8" w:color="CCEEFF"/>
            </w:tcBorders>
          </w:tcPr>
          <w:p>
            <w:pPr>
              <w:spacing w:after="0"/>
              <w:rPr>
                <w:sz w:val="12"/>
                <w:szCs w:val="12"/>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$387,806</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$363,646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$389,454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73.3%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$364,543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Senior secured loans</w:t>
            </w:r>
          </w:p>
        </w:tc>
        <w:tc>
          <w:tcPr>
            <w:tcW w:w="920" w:type="dxa"/>
            <w:vAlign w:val="bottom"/>
            <w:gridSpan w:val="4"/>
          </w:tcPr>
          <w:p>
            <w:pPr>
              <w:jc w:val="right"/>
              <w:ind w:right="240"/>
              <w:spacing w:after="0"/>
              <w:rPr>
                <w:sz w:val="20"/>
                <w:szCs w:val="20"/>
                <w:color w:val="auto"/>
              </w:rPr>
            </w:pPr>
            <w:r>
              <w:rPr>
                <w:rFonts w:ascii="Arial" w:cs="Arial" w:eastAsia="Arial" w:hAnsi="Arial"/>
                <w:sz w:val="18"/>
                <w:szCs w:val="18"/>
                <w:color w:val="auto"/>
              </w:rPr>
              <w:t>76,045</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13.7</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79,758</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15.2</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82,724</w:t>
            </w:r>
          </w:p>
        </w:tc>
        <w:tc>
          <w:tcPr>
            <w:tcW w:w="840" w:type="dxa"/>
            <w:vAlign w:val="bottom"/>
            <w:gridSpan w:val="2"/>
          </w:tcPr>
          <w:p>
            <w:pPr>
              <w:jc w:val="right"/>
              <w:ind w:right="308"/>
              <w:spacing w:after="0"/>
              <w:rPr>
                <w:sz w:val="20"/>
                <w:szCs w:val="20"/>
                <w:color w:val="auto"/>
              </w:rPr>
            </w:pPr>
            <w:r>
              <w:rPr>
                <w:rFonts w:ascii="Arial" w:cs="Arial" w:eastAsia="Arial" w:hAnsi="Arial"/>
                <w:sz w:val="18"/>
                <w:szCs w:val="18"/>
                <w:color w:val="auto"/>
              </w:rPr>
              <w:t>15.6</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83,426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16.7</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9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75,823</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70,849</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50,972</w:t>
            </w:r>
          </w:p>
        </w:tc>
        <w:tc>
          <w:tcPr>
            <w:tcW w:w="8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9.6</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45,207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Warrants</w:t>
            </w:r>
          </w:p>
        </w:tc>
        <w:tc>
          <w:tcPr>
            <w:tcW w:w="920" w:type="dxa"/>
            <w:vAlign w:val="bottom"/>
            <w:gridSpan w:val="4"/>
          </w:tcPr>
          <w:p>
            <w:pPr>
              <w:jc w:val="right"/>
              <w:ind w:right="240"/>
              <w:spacing w:after="0"/>
              <w:rPr>
                <w:sz w:val="20"/>
                <w:szCs w:val="20"/>
                <w:color w:val="auto"/>
              </w:rPr>
            </w:pPr>
            <w:r>
              <w:rPr>
                <w:rFonts w:ascii="Arial" w:cs="Arial" w:eastAsia="Arial" w:hAnsi="Arial"/>
                <w:sz w:val="18"/>
                <w:szCs w:val="18"/>
                <w:color w:val="auto"/>
              </w:rPr>
              <w:t>13,586</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10,201</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8,009</w:t>
            </w:r>
          </w:p>
        </w:tc>
        <w:tc>
          <w:tcPr>
            <w:tcW w:w="240" w:type="dxa"/>
            <w:vAlign w:val="bottom"/>
          </w:tcPr>
          <w:p>
            <w:pPr>
              <w:spacing w:after="0"/>
              <w:rPr>
                <w:sz w:val="18"/>
                <w:szCs w:val="18"/>
                <w:color w:val="auto"/>
              </w:rPr>
            </w:pPr>
          </w:p>
        </w:tc>
        <w:tc>
          <w:tcPr>
            <w:tcW w:w="840" w:type="dxa"/>
            <w:vAlign w:val="bottom"/>
            <w:gridSpan w:val="2"/>
          </w:tcPr>
          <w:p>
            <w:pPr>
              <w:jc w:val="right"/>
              <w:ind w:right="308"/>
              <w:spacing w:after="0"/>
              <w:rPr>
                <w:sz w:val="20"/>
                <w:szCs w:val="20"/>
                <w:color w:val="auto"/>
              </w:rPr>
            </w:pPr>
            <w:r>
              <w:rPr>
                <w:rFonts w:ascii="Arial" w:cs="Arial" w:eastAsia="Arial" w:hAnsi="Arial"/>
                <w:sz w:val="18"/>
                <w:szCs w:val="18"/>
                <w:color w:val="auto"/>
              </w:rPr>
              <w:t>1.5</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7,153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Royalty rights</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553,260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524,454</w:t>
            </w:r>
          </w:p>
        </w:tc>
        <w:tc>
          <w:tcPr>
            <w:tcW w:w="2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100.0%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531,344</w:t>
            </w:r>
          </w:p>
        </w:tc>
        <w:tc>
          <w:tcPr>
            <w:tcW w:w="240" w:type="dxa"/>
            <w:vAlign w:val="bottom"/>
          </w:tcPr>
          <w:p>
            <w:pPr>
              <w:spacing w:after="0"/>
              <w:rPr>
                <w:sz w:val="19"/>
                <w:szCs w:val="19"/>
                <w:color w:val="auto"/>
              </w:rPr>
            </w:pPr>
          </w:p>
        </w:tc>
        <w:tc>
          <w:tcPr>
            <w:tcW w:w="840" w:type="dxa"/>
            <w:vAlign w:val="bottom"/>
            <w:gridSpan w:val="2"/>
          </w:tcPr>
          <w:p>
            <w:pPr>
              <w:jc w:val="right"/>
              <w:ind w:right="168"/>
              <w:spacing w:after="0"/>
              <w:rPr>
                <w:sz w:val="20"/>
                <w:szCs w:val="20"/>
                <w:color w:val="auto"/>
              </w:rPr>
            </w:pPr>
            <w:r>
              <w:rPr>
                <w:rFonts w:ascii="Arial" w:cs="Arial" w:eastAsia="Arial" w:hAnsi="Arial"/>
                <w:sz w:val="18"/>
                <w:szCs w:val="18"/>
                <w:color w:val="auto"/>
                <w:w w:val="94"/>
              </w:rPr>
              <w:t>100.0%</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500,514</w:t>
            </w:r>
          </w:p>
        </w:tc>
        <w:tc>
          <w:tcPr>
            <w:tcW w:w="2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0"/>
        </w:trPr>
        <w:tc>
          <w:tcPr>
            <w:tcW w:w="4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following table shows portfolio composition by geographic region at fair value and cost and as a percentage of total investments (dollars in thousands). The geographic composition is determined by the location of the corporate headquarters of the portfolio company, which may not be indicative of the primary source of the portfolio company’s business.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gridSpan w:val="4"/>
          </w:tcPr>
          <w:p>
            <w:pPr>
              <w:ind w:left="260"/>
              <w:spacing w:after="0" w:line="142" w:lineRule="exact"/>
              <w:rPr>
                <w:sz w:val="20"/>
                <w:szCs w:val="20"/>
                <w:color w:val="auto"/>
              </w:rPr>
            </w:pPr>
            <w:r>
              <w:rPr>
                <w:rFonts w:ascii="Arial" w:cs="Arial" w:eastAsia="Arial" w:hAnsi="Arial"/>
                <w:sz w:val="14"/>
                <w:szCs w:val="14"/>
                <w:b w:val="1"/>
                <w:bCs w:val="1"/>
                <w:color w:val="auto"/>
              </w:rPr>
              <w:t>June 30, 2017</w:t>
            </w:r>
          </w:p>
        </w:tc>
        <w:tc>
          <w:tcPr>
            <w:tcW w:w="40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w w:val="99"/>
              </w:rPr>
              <w:t>December 31, 2016</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gridSpan w:val="3"/>
          </w:tcPr>
          <w:p>
            <w:pPr>
              <w:jc w:val="right"/>
              <w:ind w:right="190"/>
              <w:spacing w:after="0" w:line="142" w:lineRule="exact"/>
              <w:rPr>
                <w:sz w:val="20"/>
                <w:szCs w:val="20"/>
                <w:color w:val="auto"/>
              </w:rPr>
            </w:pPr>
            <w:r>
              <w:rPr>
                <w:rFonts w:ascii="Arial" w:cs="Arial" w:eastAsia="Arial" w:hAnsi="Arial"/>
                <w:sz w:val="14"/>
                <w:szCs w:val="14"/>
                <w:b w:val="1"/>
                <w:bCs w:val="1"/>
                <w:color w:val="auto"/>
              </w:rPr>
              <w:t>June 30, 2017</w:t>
            </w:r>
          </w:p>
        </w:tc>
        <w:tc>
          <w:tcPr>
            <w:tcW w:w="38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w w:val="99"/>
              </w:rPr>
              <w:t>December 31, 2016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$186,915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$166,412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$176,787</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33.2%</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$153,456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Southeast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119,355</w:t>
            </w:r>
          </w:p>
        </w:tc>
        <w:tc>
          <w:tcPr>
            <w:tcW w:w="2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21.6</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122,633</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23.4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126,283</w:t>
            </w:r>
          </w:p>
        </w:tc>
        <w:tc>
          <w:tcPr>
            <w:tcW w:w="240" w:type="dxa"/>
            <w:vAlign w:val="bottom"/>
          </w:tcPr>
          <w:p>
            <w:pPr>
              <w:spacing w:after="0"/>
              <w:rPr>
                <w:sz w:val="18"/>
                <w:szCs w:val="18"/>
                <w:color w:val="auto"/>
              </w:rPr>
            </w:pPr>
          </w:p>
        </w:tc>
        <w:tc>
          <w:tcPr>
            <w:tcW w:w="840" w:type="dxa"/>
            <w:vAlign w:val="bottom"/>
            <w:gridSpan w:val="2"/>
          </w:tcPr>
          <w:p>
            <w:pPr>
              <w:jc w:val="right"/>
              <w:ind w:right="308"/>
              <w:spacing w:after="0"/>
              <w:rPr>
                <w:sz w:val="20"/>
                <w:szCs w:val="20"/>
                <w:color w:val="auto"/>
              </w:rPr>
            </w:pPr>
            <w:r>
              <w:rPr>
                <w:rFonts w:ascii="Arial" w:cs="Arial" w:eastAsia="Arial" w:hAnsi="Arial"/>
                <w:sz w:val="18"/>
                <w:szCs w:val="18"/>
                <w:color w:val="auto"/>
              </w:rPr>
              <w:t>23.8</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130,107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105,735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98,470</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100,801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19.0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94,481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West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71,561</w:t>
            </w:r>
          </w:p>
        </w:tc>
        <w:tc>
          <w:tcPr>
            <w:tcW w:w="2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12.9</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73,703</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14.1</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56,673</w:t>
            </w:r>
          </w:p>
        </w:tc>
        <w:tc>
          <w:tcPr>
            <w:tcW w:w="840" w:type="dxa"/>
            <w:vAlign w:val="bottom"/>
            <w:gridSpan w:val="2"/>
          </w:tcPr>
          <w:p>
            <w:pPr>
              <w:jc w:val="right"/>
              <w:ind w:right="308"/>
              <w:spacing w:after="0"/>
              <w:rPr>
                <w:sz w:val="20"/>
                <w:szCs w:val="20"/>
                <w:color w:val="auto"/>
              </w:rPr>
            </w:pPr>
            <w:r>
              <w:rPr>
                <w:rFonts w:ascii="Arial" w:cs="Arial" w:eastAsia="Arial" w:hAnsi="Arial"/>
                <w:sz w:val="18"/>
                <w:szCs w:val="18"/>
                <w:color w:val="auto"/>
              </w:rPr>
              <w:t>10.7</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63,717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63,236</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70,800</w:t>
            </w:r>
          </w:p>
        </w:tc>
        <w:tc>
          <w:tcPr>
            <w:tcW w:w="8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13.3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58,753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553,260</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100.0%</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524,454</w:t>
            </w:r>
          </w:p>
        </w:tc>
        <w:tc>
          <w:tcPr>
            <w:tcW w:w="260" w:type="dxa"/>
            <w:vAlign w:val="bottom"/>
            <w:vMerge w:val="continue"/>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100.0%</w:t>
            </w:r>
          </w:p>
        </w:tc>
        <w:tc>
          <w:tcPr>
            <w:tcW w:w="1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531,344</w:t>
            </w:r>
          </w:p>
        </w:tc>
        <w:tc>
          <w:tcPr>
            <w:tcW w:w="240" w:type="dxa"/>
            <w:vAlign w:val="bottom"/>
            <w:vMerge w:val="continue"/>
          </w:tcPr>
          <w:p>
            <w:pPr>
              <w:spacing w:after="0"/>
              <w:rPr>
                <w:sz w:val="19"/>
                <w:szCs w:val="19"/>
                <w:color w:val="auto"/>
              </w:rPr>
            </w:pPr>
          </w:p>
        </w:tc>
        <w:tc>
          <w:tcPr>
            <w:tcW w:w="840" w:type="dxa"/>
            <w:vAlign w:val="bottom"/>
            <w:gridSpan w:val="2"/>
          </w:tcPr>
          <w:p>
            <w:pPr>
              <w:jc w:val="right"/>
              <w:ind w:right="168"/>
              <w:spacing w:after="0"/>
              <w:rPr>
                <w:sz w:val="20"/>
                <w:szCs w:val="20"/>
                <w:color w:val="auto"/>
              </w:rPr>
            </w:pPr>
            <w:r>
              <w:rPr>
                <w:rFonts w:ascii="Arial" w:cs="Arial" w:eastAsia="Arial" w:hAnsi="Arial"/>
                <w:sz w:val="18"/>
                <w:szCs w:val="18"/>
                <w:color w:val="auto"/>
                <w:w w:val="94"/>
              </w:rPr>
              <w:t>100.0%</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500,514</w:t>
            </w:r>
          </w:p>
        </w:tc>
        <w:tc>
          <w:tcPr>
            <w:tcW w:w="24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detailed industry composition of our portfolio at fair value and cost as a percentage of total investments: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Fair Value</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3"/>
          </w:tcPr>
          <w:p>
            <w:pPr>
              <w:jc w:val="right"/>
              <w:ind w:right="1260"/>
              <w:spacing w:after="0"/>
              <w:rPr>
                <w:sz w:val="20"/>
                <w:szCs w:val="20"/>
                <w:color w:val="auto"/>
              </w:rPr>
            </w:pPr>
            <w:r>
              <w:rPr>
                <w:rFonts w:ascii="Arial" w:cs="Arial" w:eastAsia="Arial" w:hAnsi="Arial"/>
                <w:sz w:val="14"/>
                <w:szCs w:val="14"/>
                <w:b w:val="1"/>
                <w:bCs w:val="1"/>
                <w:color w:val="auto"/>
                <w:w w:val="89"/>
              </w:rPr>
              <w:t>Cost</w:t>
            </w:r>
          </w:p>
        </w:tc>
      </w:tr>
      <w:tr>
        <w:trPr>
          <w:trHeight w:val="119"/>
        </w:trPr>
        <w:tc>
          <w:tcPr>
            <w:tcW w:w="41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560" w:type="dxa"/>
            <w:vAlign w:val="bottom"/>
            <w:tcBorders>
              <w:top w:val="single" w:sz="8" w:color="auto"/>
            </w:tcBorders>
            <w:gridSpan w:val="2"/>
          </w:tcPr>
          <w:p>
            <w:pPr>
              <w:jc w:val="right"/>
              <w:ind w:right="860"/>
              <w:spacing w:after="0" w:line="119" w:lineRule="exact"/>
              <w:rPr>
                <w:sz w:val="20"/>
                <w:szCs w:val="20"/>
                <w:color w:val="auto"/>
              </w:rPr>
            </w:pPr>
            <w:r>
              <w:rPr>
                <w:rFonts w:ascii="Arial" w:cs="Arial" w:eastAsia="Arial" w:hAnsi="Arial"/>
                <w:sz w:val="13"/>
                <w:szCs w:val="13"/>
                <w:b w:val="1"/>
                <w:bCs w:val="1"/>
                <w:color w:val="auto"/>
              </w:rPr>
              <w:t>June 30,</w:t>
            </w: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6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June 30,</w:t>
            </w:r>
          </w:p>
        </w:tc>
        <w:tc>
          <w:tcPr>
            <w:tcW w:w="5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r>
      <w:tr>
        <w:trPr>
          <w:trHeight w:val="171"/>
        </w:trPr>
        <w:tc>
          <w:tcPr>
            <w:tcW w:w="416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Aerospace &amp; Defense Manufacturing</w:t>
            </w:r>
          </w:p>
        </w:tc>
        <w:tc>
          <w:tcPr>
            <w:tcW w:w="1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11.6%</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Healthcare Products</w:t>
            </w:r>
          </w:p>
        </w:tc>
        <w:tc>
          <w:tcPr>
            <w:tcW w:w="3160" w:type="dxa"/>
            <w:vAlign w:val="bottom"/>
            <w:gridSpan w:val="3"/>
          </w:tcPr>
          <w:p>
            <w:pPr>
              <w:jc w:val="right"/>
              <w:ind w:right="680"/>
              <w:spacing w:after="0"/>
              <w:rPr>
                <w:sz w:val="20"/>
                <w:szCs w:val="20"/>
                <w:color w:val="auto"/>
              </w:rPr>
            </w:pPr>
            <w:r>
              <w:rPr>
                <w:rFonts w:ascii="Arial" w:cs="Arial" w:eastAsia="Arial" w:hAnsi="Arial"/>
                <w:sz w:val="18"/>
                <w:szCs w:val="18"/>
                <w:color w:val="auto"/>
              </w:rPr>
              <w:t>10.0</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11.1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9.3</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Healthcare Services</w:t>
            </w:r>
          </w:p>
        </w:tc>
        <w:tc>
          <w:tcPr>
            <w:tcW w:w="3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8.3</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Transportation services</w:t>
            </w:r>
          </w:p>
        </w:tc>
        <w:tc>
          <w:tcPr>
            <w:tcW w:w="3160" w:type="dxa"/>
            <w:vAlign w:val="bottom"/>
            <w:gridSpan w:val="3"/>
          </w:tcPr>
          <w:p>
            <w:pPr>
              <w:jc w:val="right"/>
              <w:ind w:right="680"/>
              <w:spacing w:after="0"/>
              <w:rPr>
                <w:sz w:val="20"/>
                <w:szCs w:val="20"/>
                <w:color w:val="auto"/>
              </w:rPr>
            </w:pPr>
            <w:r>
              <w:rPr>
                <w:rFonts w:ascii="Arial" w:cs="Arial" w:eastAsia="Arial" w:hAnsi="Arial"/>
                <w:sz w:val="18"/>
                <w:szCs w:val="18"/>
                <w:color w:val="auto"/>
              </w:rPr>
              <w:t>7.5</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8.9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8.4</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Component Manufacturing</w:t>
            </w:r>
          </w:p>
        </w:tc>
        <w:tc>
          <w:tcPr>
            <w:tcW w:w="3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7.3</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Business Services</w:t>
            </w:r>
          </w:p>
        </w:tc>
        <w:tc>
          <w:tcPr>
            <w:tcW w:w="3160" w:type="dxa"/>
            <w:vAlign w:val="bottom"/>
            <w:gridSpan w:val="3"/>
          </w:tcPr>
          <w:p>
            <w:pPr>
              <w:jc w:val="right"/>
              <w:ind w:right="680"/>
              <w:spacing w:after="0"/>
              <w:rPr>
                <w:sz w:val="20"/>
                <w:szCs w:val="20"/>
                <w:color w:val="auto"/>
              </w:rPr>
            </w:pPr>
            <w:r>
              <w:rPr>
                <w:rFonts w:ascii="Arial" w:cs="Arial" w:eastAsia="Arial" w:hAnsi="Arial"/>
                <w:sz w:val="18"/>
                <w:szCs w:val="18"/>
                <w:color w:val="auto"/>
              </w:rPr>
              <w:t>6.9</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7.1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7.9</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 Services</w:t>
            </w:r>
          </w:p>
        </w:tc>
        <w:tc>
          <w:tcPr>
            <w:tcW w:w="3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6.1</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Specialty Distribution</w:t>
            </w:r>
          </w:p>
        </w:tc>
        <w:tc>
          <w:tcPr>
            <w:tcW w:w="3160" w:type="dxa"/>
            <w:vAlign w:val="bottom"/>
            <w:gridSpan w:val="3"/>
          </w:tcPr>
          <w:p>
            <w:pPr>
              <w:jc w:val="right"/>
              <w:ind w:right="680"/>
              <w:spacing w:after="0"/>
              <w:rPr>
                <w:sz w:val="20"/>
                <w:szCs w:val="20"/>
                <w:color w:val="auto"/>
              </w:rPr>
            </w:pPr>
            <w:r>
              <w:rPr>
                <w:rFonts w:ascii="Arial" w:cs="Arial" w:eastAsia="Arial" w:hAnsi="Arial"/>
                <w:sz w:val="18"/>
                <w:szCs w:val="18"/>
                <w:color w:val="auto"/>
              </w:rPr>
              <w:t>5.9</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5.0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5.0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Building Products Manufacturing</w:t>
            </w:r>
          </w:p>
        </w:tc>
        <w:tc>
          <w:tcPr>
            <w:tcW w:w="3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5.2</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Vending Equipment Manufacturing</w:t>
            </w:r>
          </w:p>
        </w:tc>
        <w:tc>
          <w:tcPr>
            <w:tcW w:w="3160" w:type="dxa"/>
            <w:vAlign w:val="bottom"/>
            <w:gridSpan w:val="3"/>
          </w:tcPr>
          <w:p>
            <w:pPr>
              <w:jc w:val="right"/>
              <w:ind w:right="680"/>
              <w:spacing w:after="0"/>
              <w:rPr>
                <w:sz w:val="20"/>
                <w:szCs w:val="20"/>
                <w:color w:val="auto"/>
              </w:rPr>
            </w:pPr>
            <w:r>
              <w:rPr>
                <w:rFonts w:ascii="Arial" w:cs="Arial" w:eastAsia="Arial" w:hAnsi="Arial"/>
                <w:sz w:val="18"/>
                <w:szCs w:val="18"/>
                <w:color w:val="auto"/>
              </w:rPr>
              <w:t>4.6</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3.7</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3.9</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Packaging</w:t>
            </w:r>
          </w:p>
        </w:tc>
        <w:tc>
          <w:tcPr>
            <w:tcW w:w="3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3.2</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Oil &amp; Gas Services</w:t>
            </w:r>
          </w:p>
        </w:tc>
        <w:tc>
          <w:tcPr>
            <w:tcW w:w="3160" w:type="dxa"/>
            <w:vAlign w:val="bottom"/>
            <w:gridSpan w:val="3"/>
          </w:tcPr>
          <w:p>
            <w:pPr>
              <w:jc w:val="right"/>
              <w:ind w:right="680"/>
              <w:spacing w:after="0"/>
              <w:rPr>
                <w:sz w:val="20"/>
                <w:szCs w:val="20"/>
                <w:color w:val="auto"/>
              </w:rPr>
            </w:pPr>
            <w:r>
              <w:rPr>
                <w:rFonts w:ascii="Arial" w:cs="Arial" w:eastAsia="Arial" w:hAnsi="Arial"/>
                <w:sz w:val="18"/>
                <w:szCs w:val="18"/>
                <w:color w:val="auto"/>
              </w:rPr>
              <w:t>3.1</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2.8</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2.9</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Utility Equipment Manufacturing</w:t>
            </w:r>
          </w:p>
        </w:tc>
        <w:tc>
          <w:tcPr>
            <w:tcW w:w="3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2.8</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Capital Equipment Manufacturing</w:t>
            </w:r>
          </w:p>
        </w:tc>
        <w:tc>
          <w:tcPr>
            <w:tcW w:w="3160" w:type="dxa"/>
            <w:vAlign w:val="bottom"/>
            <w:gridSpan w:val="3"/>
          </w:tcPr>
          <w:p>
            <w:pPr>
              <w:jc w:val="right"/>
              <w:ind w:right="680"/>
              <w:spacing w:after="0"/>
              <w:rPr>
                <w:sz w:val="20"/>
                <w:szCs w:val="20"/>
                <w:color w:val="auto"/>
              </w:rPr>
            </w:pPr>
            <w:r>
              <w:rPr>
                <w:rFonts w:ascii="Arial" w:cs="Arial" w:eastAsia="Arial" w:hAnsi="Arial"/>
                <w:sz w:val="18"/>
                <w:szCs w:val="18"/>
                <w:color w:val="auto"/>
              </w:rPr>
              <w:t>2.7</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3.0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Industrial Cleaning &amp; Coatings</w:t>
            </w:r>
          </w:p>
        </w:tc>
        <w:tc>
          <w:tcPr>
            <w:tcW w:w="3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2.4</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Promotional Products</w:t>
            </w:r>
          </w:p>
        </w:tc>
        <w:tc>
          <w:tcPr>
            <w:tcW w:w="3160" w:type="dxa"/>
            <w:vAlign w:val="bottom"/>
            <w:gridSpan w:val="3"/>
          </w:tcPr>
          <w:p>
            <w:pPr>
              <w:jc w:val="right"/>
              <w:ind w:right="680"/>
              <w:spacing w:after="0"/>
              <w:rPr>
                <w:sz w:val="20"/>
                <w:szCs w:val="20"/>
                <w:color w:val="auto"/>
              </w:rPr>
            </w:pPr>
            <w:r>
              <w:rPr>
                <w:rFonts w:ascii="Arial" w:cs="Arial" w:eastAsia="Arial" w:hAnsi="Arial"/>
                <w:sz w:val="18"/>
                <w:szCs w:val="18"/>
                <w:color w:val="auto"/>
              </w:rPr>
              <w:t>2.2</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2.4</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Printing Services</w:t>
            </w:r>
          </w:p>
        </w:tc>
        <w:tc>
          <w:tcPr>
            <w:tcW w:w="3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2.0</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Retail</w:t>
            </w:r>
          </w:p>
        </w:tc>
        <w:tc>
          <w:tcPr>
            <w:tcW w:w="3160" w:type="dxa"/>
            <w:vAlign w:val="bottom"/>
            <w:gridSpan w:val="3"/>
          </w:tcPr>
          <w:p>
            <w:pPr>
              <w:jc w:val="right"/>
              <w:ind w:right="680"/>
              <w:spacing w:after="0"/>
              <w:rPr>
                <w:sz w:val="20"/>
                <w:szCs w:val="20"/>
                <w:color w:val="auto"/>
              </w:rPr>
            </w:pPr>
            <w:r>
              <w:rPr>
                <w:rFonts w:ascii="Arial" w:cs="Arial" w:eastAsia="Arial" w:hAnsi="Arial"/>
                <w:sz w:val="18"/>
                <w:szCs w:val="18"/>
                <w:color w:val="auto"/>
              </w:rPr>
              <w:t>1.6</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1.7</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Specialty Chemicals</w:t>
            </w:r>
          </w:p>
        </w:tc>
        <w:tc>
          <w:tcPr>
            <w:tcW w:w="3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1.5</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Restaurants</w:t>
            </w:r>
          </w:p>
        </w:tc>
        <w:tc>
          <w:tcPr>
            <w:tcW w:w="3160" w:type="dxa"/>
            <w:vAlign w:val="bottom"/>
            <w:gridSpan w:val="3"/>
          </w:tcPr>
          <w:p>
            <w:pPr>
              <w:jc w:val="right"/>
              <w:ind w:right="680"/>
              <w:spacing w:after="0"/>
              <w:rPr>
                <w:sz w:val="20"/>
                <w:szCs w:val="20"/>
                <w:color w:val="auto"/>
              </w:rPr>
            </w:pPr>
            <w:r>
              <w:rPr>
                <w:rFonts w:ascii="Arial" w:cs="Arial" w:eastAsia="Arial" w:hAnsi="Arial"/>
                <w:sz w:val="18"/>
                <w:szCs w:val="18"/>
                <w:color w:val="auto"/>
              </w:rPr>
              <w:t>1.2</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1.9</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Oil &amp; Gas Distribution</w:t>
            </w:r>
          </w:p>
        </w:tc>
        <w:tc>
          <w:tcPr>
            <w:tcW w:w="3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1.1</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r>
      <w:tr>
        <w:trPr>
          <w:trHeight w:val="365"/>
        </w:trPr>
        <w:tc>
          <w:tcPr>
            <w:tcW w:w="4160" w:type="dxa"/>
            <w:vAlign w:val="bottom"/>
          </w:tcPr>
          <w:p>
            <w:pPr>
              <w:spacing w:after="0"/>
              <w:rPr>
                <w:sz w:val="24"/>
                <w:szCs w:val="24"/>
                <w:color w:val="auto"/>
              </w:rPr>
            </w:pPr>
          </w:p>
        </w:tc>
        <w:tc>
          <w:tcPr>
            <w:tcW w:w="2480" w:type="dxa"/>
            <w:vAlign w:val="bottom"/>
            <w:gridSpan w:val="2"/>
          </w:tcPr>
          <w:p>
            <w:pPr>
              <w:jc w:val="right"/>
              <w:ind w:right="765"/>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3"/>
          </w:tcPr>
          <w:p>
            <w:pPr>
              <w:jc w:val="right"/>
              <w:ind w:right="1320"/>
              <w:spacing w:after="0"/>
              <w:rPr>
                <w:sz w:val="20"/>
                <w:szCs w:val="20"/>
                <w:color w:val="auto"/>
              </w:rPr>
            </w:pPr>
            <w:r>
              <w:rPr>
                <w:rFonts w:ascii="Arial" w:cs="Arial" w:eastAsia="Arial" w:hAnsi="Arial"/>
                <w:sz w:val="14"/>
                <w:szCs w:val="14"/>
                <w:b w:val="1"/>
                <w:bCs w:val="1"/>
                <w:color w:val="auto"/>
                <w:w w:val="89"/>
              </w:rPr>
              <w:t>Cost</w:t>
            </w:r>
          </w:p>
        </w:tc>
      </w:tr>
      <w:tr>
        <w:trPr>
          <w:trHeight w:val="119"/>
        </w:trPr>
        <w:tc>
          <w:tcPr>
            <w:tcW w:w="5640" w:type="dxa"/>
            <w:vAlign w:val="bottom"/>
          </w:tcPr>
          <w:p>
            <w:pPr>
              <w:spacing w:after="0"/>
              <w:rPr>
                <w:sz w:val="10"/>
                <w:szCs w:val="10"/>
                <w:color w:val="auto"/>
              </w:rPr>
            </w:pPr>
          </w:p>
        </w:tc>
        <w:tc>
          <w:tcPr>
            <w:tcW w:w="1580" w:type="dxa"/>
            <w:vAlign w:val="bottom"/>
            <w:tcBorders>
              <w:top w:val="single" w:sz="8" w:color="auto"/>
            </w:tcBorders>
            <w:gridSpan w:val="2"/>
          </w:tcPr>
          <w:p>
            <w:pPr>
              <w:jc w:val="right"/>
              <w:ind w:right="808"/>
              <w:spacing w:after="0" w:line="119" w:lineRule="exact"/>
              <w:rPr>
                <w:sz w:val="20"/>
                <w:szCs w:val="20"/>
                <w:color w:val="auto"/>
              </w:rPr>
            </w:pPr>
            <w:r>
              <w:rPr>
                <w:rFonts w:ascii="Arial" w:cs="Arial" w:eastAsia="Arial" w:hAnsi="Arial"/>
                <w:sz w:val="13"/>
                <w:szCs w:val="13"/>
                <w:b w:val="1"/>
                <w:bCs w:val="1"/>
                <w:color w:val="auto"/>
              </w:rPr>
              <w:t>June 30,</w:t>
            </w: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70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June 30,</w:t>
            </w:r>
          </w:p>
        </w:tc>
        <w:tc>
          <w:tcPr>
            <w:tcW w:w="5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40" w:type="dxa"/>
            <w:vAlign w:val="bottom"/>
          </w:tcPr>
          <w:p>
            <w:pPr>
              <w:spacing w:after="0"/>
              <w:rPr>
                <w:sz w:val="10"/>
                <w:szCs w:val="10"/>
                <w:color w:val="auto"/>
              </w:rPr>
            </w:pPr>
          </w:p>
        </w:tc>
      </w:tr>
      <w:tr>
        <w:trPr>
          <w:trHeight w:val="171"/>
        </w:trPr>
        <w:tc>
          <w:tcPr>
            <w:tcW w:w="56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Apparel Distribution</w:t>
            </w:r>
          </w:p>
        </w:tc>
        <w:tc>
          <w:tcPr>
            <w:tcW w:w="15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1.0%</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Laundry Services</w:t>
            </w:r>
          </w:p>
        </w:tc>
        <w:tc>
          <w:tcPr>
            <w:tcW w:w="1580" w:type="dxa"/>
            <w:vAlign w:val="bottom"/>
            <w:gridSpan w:val="2"/>
          </w:tcPr>
          <w:p>
            <w:pPr>
              <w:jc w:val="right"/>
              <w:ind w:right="628"/>
              <w:spacing w:after="0"/>
              <w:rPr>
                <w:sz w:val="20"/>
                <w:szCs w:val="20"/>
                <w:color w:val="auto"/>
              </w:rPr>
            </w:pPr>
            <w:r>
              <w:rPr>
                <w:rFonts w:ascii="Arial" w:cs="Arial" w:eastAsia="Arial" w:hAnsi="Arial"/>
                <w:sz w:val="18"/>
                <w:szCs w:val="18"/>
                <w:color w:val="auto"/>
              </w:rPr>
              <w:t>0.7</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1.4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1.3</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58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0.6</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Electronic Components Supplier</w:t>
            </w:r>
          </w:p>
        </w:tc>
        <w:tc>
          <w:tcPr>
            <w:tcW w:w="1580" w:type="dxa"/>
            <w:vAlign w:val="bottom"/>
            <w:gridSpan w:val="2"/>
          </w:tcPr>
          <w:p>
            <w:pPr>
              <w:jc w:val="right"/>
              <w:ind w:right="628"/>
              <w:spacing w:after="0"/>
              <w:rPr>
                <w:sz w:val="20"/>
                <w:szCs w:val="20"/>
                <w:color w:val="auto"/>
              </w:rPr>
            </w:pPr>
            <w:r>
              <w:rPr>
                <w:rFonts w:ascii="Arial" w:cs="Arial" w:eastAsia="Arial" w:hAnsi="Arial"/>
                <w:sz w:val="18"/>
                <w:szCs w:val="18"/>
                <w:color w:val="auto"/>
              </w:rPr>
              <w:t>0.5</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0.4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0.3</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Safety Products Manufacturing</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7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7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8"/>
                <w:szCs w:val="18"/>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2"/>
          </w:tcPr>
          <w:p>
            <w:pPr>
              <w:jc w:val="right"/>
              <w:ind w:right="488"/>
              <w:spacing w:after="0"/>
              <w:rPr>
                <w:sz w:val="20"/>
                <w:szCs w:val="20"/>
                <w:color w:val="auto"/>
              </w:rPr>
            </w:pPr>
            <w:r>
              <w:rPr>
                <w:rFonts w:ascii="Arial" w:cs="Arial" w:eastAsia="Arial" w:hAnsi="Arial"/>
                <w:sz w:val="18"/>
                <w:szCs w:val="18"/>
                <w:color w:val="auto"/>
              </w:rPr>
              <w:t>100.0%</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5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0"/>
        </w:trPr>
        <w:tc>
          <w:tcPr>
            <w:tcW w:w="5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Asset Quality</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to various risk management and monitoring tools, our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87" w:lineRule="exact"/>
        <w:rPr>
          <w:sz w:val="20"/>
          <w:szCs w:val="20"/>
          <w:color w:val="auto"/>
        </w:rPr>
      </w:pPr>
    </w:p>
    <w:p>
      <w:pPr>
        <w:ind w:left="900" w:right="34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w:t>
      </w:r>
    </w:p>
    <w:p>
      <w:pPr>
        <w:spacing w:after="0" w:line="86"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spacing w:after="0" w:line="86" w:lineRule="exact"/>
        <w:rPr>
          <w:rFonts w:ascii="Arial" w:cs="Arial" w:eastAsia="Arial" w:hAnsi="Arial"/>
          <w:sz w:val="18"/>
          <w:szCs w:val="18"/>
          <w:color w:val="auto"/>
        </w:rPr>
      </w:pPr>
    </w:p>
    <w:p>
      <w:pPr>
        <w:ind w:left="900" w:right="36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Investment Rating 4 is used for investments performing materially below expectations and the risk has increased materially since origination. The portfolio company has the potential for some loss of investment return, but we expect no loss of principal.</w:t>
      </w:r>
    </w:p>
    <w:p>
      <w:pPr>
        <w:spacing w:after="0" w:line="75"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Investment Rating 5 is used for investments performing substantially below our expectations and the risks have increased substantially since origination. We expect some loss of principal.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the distribution of our investments on the 1 to 5 investment rating scale at fair value and cost as of June 30, 2017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Rating</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5"/>
          </w:tcPr>
          <w:p>
            <w:pPr>
              <w:jc w:val="right"/>
              <w:ind w:right="640"/>
              <w:spacing w:after="0" w:line="142" w:lineRule="exact"/>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12"/>
                <w:szCs w:val="12"/>
                <w:color w:val="auto"/>
              </w:rPr>
            </w:pPr>
          </w:p>
        </w:tc>
        <w:tc>
          <w:tcPr>
            <w:tcW w:w="1300" w:type="dxa"/>
            <w:vAlign w:val="bottom"/>
            <w:gridSpan w:val="3"/>
          </w:tcPr>
          <w:p>
            <w:pPr>
              <w:jc w:val="right"/>
              <w:ind w:right="33"/>
              <w:spacing w:after="0" w:line="142" w:lineRule="exact"/>
              <w:rPr>
                <w:sz w:val="20"/>
                <w:szCs w:val="20"/>
                <w:color w:val="auto"/>
              </w:rPr>
            </w:pPr>
            <w:r>
              <w:rPr>
                <w:rFonts w:ascii="Arial" w:cs="Arial" w:eastAsia="Arial" w:hAnsi="Arial"/>
                <w:sz w:val="14"/>
                <w:szCs w:val="14"/>
                <w:b w:val="1"/>
                <w:bCs w:val="1"/>
                <w:color w:val="auto"/>
                <w:w w:val="91"/>
              </w:rPr>
              <w:t>December 31, 2016</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4"/>
          </w:tcPr>
          <w:p>
            <w:pPr>
              <w:jc w:val="right"/>
              <w:ind w:right="568"/>
              <w:spacing w:after="0" w:line="142" w:lineRule="exact"/>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12"/>
                <w:szCs w:val="12"/>
                <w:color w:val="auto"/>
              </w:rPr>
            </w:pPr>
          </w:p>
        </w:tc>
        <w:tc>
          <w:tcPr>
            <w:tcW w:w="1300" w:type="dxa"/>
            <w:vAlign w:val="bottom"/>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w w:val="91"/>
              </w:rPr>
              <w:t>December 31, 2016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top w:val="single" w:sz="8" w:color="auto"/>
            </w:tcBorders>
          </w:tcPr>
          <w:p>
            <w:pPr>
              <w:spacing w:after="0"/>
              <w:rPr>
                <w:sz w:val="12"/>
                <w:szCs w:val="12"/>
                <w:color w:val="auto"/>
              </w:rPr>
            </w:pPr>
          </w:p>
        </w:tc>
        <w:tc>
          <w:tcPr>
            <w:tcW w:w="3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5"/>
          </w:tcPr>
          <w:p>
            <w:pPr>
              <w:jc w:val="right"/>
              <w:ind w:right="480"/>
              <w:spacing w:after="0" w:line="142" w:lineRule="exact"/>
              <w:rPr>
                <w:sz w:val="20"/>
                <w:szCs w:val="20"/>
                <w:color w:val="auto"/>
              </w:rPr>
            </w:pPr>
            <w:r>
              <w:rPr>
                <w:rFonts w:ascii="Arial" w:cs="Arial" w:eastAsia="Arial" w:hAnsi="Arial"/>
                <w:sz w:val="14"/>
                <w:szCs w:val="14"/>
                <w:i w:val="1"/>
                <w:iCs w:val="1"/>
                <w:color w:val="auto"/>
                <w:w w:val="94"/>
              </w:rPr>
              <w:t>(dollars in thousands)</w:t>
            </w:r>
          </w:p>
        </w:tc>
        <w:tc>
          <w:tcPr>
            <w:tcW w:w="4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77,439</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91,705</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45,525</w:t>
            </w:r>
          </w:p>
        </w:tc>
        <w:tc>
          <w:tcPr>
            <w:tcW w:w="8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58,967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2</w:t>
            </w: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400,782</w:t>
            </w:r>
          </w:p>
        </w:tc>
        <w:tc>
          <w:tcPr>
            <w:tcW w:w="2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371,506</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392,800</w:t>
            </w:r>
          </w:p>
        </w:tc>
        <w:tc>
          <w:tcPr>
            <w:tcW w:w="840" w:type="dxa"/>
            <w:vAlign w:val="bottom"/>
            <w:gridSpan w:val="2"/>
          </w:tcPr>
          <w:p>
            <w:pPr>
              <w:jc w:val="right"/>
              <w:ind w:right="308"/>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366,697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53,884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38,905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59,861</w:t>
            </w:r>
          </w:p>
        </w:tc>
        <w:tc>
          <w:tcPr>
            <w:tcW w:w="8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44,510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4</w:t>
            </w: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14,649</w:t>
            </w: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22,085</w:t>
            </w: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21,883</w:t>
            </w:r>
          </w:p>
        </w:tc>
        <w:tc>
          <w:tcPr>
            <w:tcW w:w="840" w:type="dxa"/>
            <w:vAlign w:val="bottom"/>
            <w:gridSpan w:val="2"/>
          </w:tcPr>
          <w:p>
            <w:pPr>
              <w:jc w:val="right"/>
              <w:ind w:right="308"/>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28,194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11,275</w:t>
            </w:r>
          </w:p>
        </w:tc>
        <w:tc>
          <w:tcPr>
            <w:tcW w:w="8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553,260</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100.0%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524,454</w:t>
            </w:r>
          </w:p>
        </w:tc>
        <w:tc>
          <w:tcPr>
            <w:tcW w:w="240" w:type="dxa"/>
            <w:vAlign w:val="bottom"/>
            <w:vMerge w:val="continue"/>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100.0%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531,344</w:t>
            </w:r>
          </w:p>
        </w:tc>
        <w:tc>
          <w:tcPr>
            <w:tcW w:w="240" w:type="dxa"/>
            <w:vAlign w:val="bottom"/>
            <w:vMerge w:val="continue"/>
          </w:tcPr>
          <w:p>
            <w:pPr>
              <w:spacing w:after="0"/>
              <w:rPr>
                <w:sz w:val="19"/>
                <w:szCs w:val="19"/>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8"/>
                <w:szCs w:val="18"/>
                <w:color w:val="auto"/>
                <w:w w:val="98"/>
              </w:rPr>
              <w:t>100.0%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500,514</w:t>
            </w:r>
          </w:p>
        </w:tc>
        <w:tc>
          <w:tcPr>
            <w:tcW w:w="24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Based on our investment rating system, the weighted average rating of our portfolio as of June 30, 2017 and December 31, 2016 was 2.0 and 2.0, respectively, on a fair value basis and 2.2 and 2.1, respectively, on a cost basis.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Non-Accrual</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As of June 30, 2017, we had investments in one portfolio company on non-accrual status, which had an aggregate cost and fair value of $9.3 million and $6.2 million, respectively. As of December 31, 2016, we had no investments on non-accrual status.</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For the three and six months ended June 30, 2017, we recognized unrealized depreciation on non-accrual investments of $1.1 million and $1.4 million, respectively. For the three and six months ended June 30, 2016, we recognized unrealized depreciation on non-accrual investments of $0.1 million and $5.1 million, respectively.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Comparison of three months ended June 30, 2017 and June 30, 2016</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For the three months ended June 30, 2017, total investment income was $17.3 million, an increase of $3.5 million, or 25.4%, over the $13.8 million of total investment income for the three months ended June 30, 2016. The increase was attributable to a $2.5 million increase in interest income resulting from higher average debt investment balances outstanding during the three months ended June 30, 2017 as compared to the same period in 2016, a $1.1 million increase in fee income resulting from increased prepayments and amendments and related fees during the three months ended June 30, 2017 as compared to the same period in 2016, and partially offset by a $(0.1) million decrease in dividend income due to decreased levels of distributions received from equity investments during the three months ended June 30, 2017 as compared to the same period in 2016.</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 the three months ended June 30 2017, total expenses, including income tax provision, were $8.3 million, a decrease of $(0.6) million or 6.7%, from the $8.9 million of total expenses, including income tax provision, for the three months ended June 30, 2016. Interest and financing expenses for the three months ended June 30, 2017 were $2.4 million, a decrease of $(0.3) million, or 11.1%, from the $2.7 million of interest and financing expenses for the same period in 2016. The base management fee increased $0.4 million, or 20.0%, to $2.4 million for the three months ended June 30, 2017 due to higher average total assets during the three months ended June 30, 2017 as compared to the same period in 2016. The incentive fee for the three months ended June 30, 2017 was $2.5 million, a $(0.7) million, or 21.9%, decrease from the $3.2 million incentive fee for the three months ended June 30, 2016, which is comprised of an increase in the income incentive fee of $0.7 million and a decrease in the capital gains incentive fee of $(1.4) million during the three months ended June 30, 2017, as compared to the same period in 2016. The administrative service fee, professional fees and other general and administrative expenses totaled $1.0 million for both the three months ended June 30, 2017 and 2016.</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Investment Income</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Net investment income for the three months ended June 30, 2017 was $9.0 million, an increase of $4.1 million, or 83.7%, compared to net investment income of $4.9 million during the three months ended June 30, 2016, as a result of the $3.5 million increase in total investment income coupled with a $0.6 million decrease in total expenses, including income tax provision.</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Increase in Net Assets Resulting From Operations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For the three months ended June 30, 2017, the total net realized (loss) on investments was $(0.4) million. Significant realized gains and (losses) for the three months ended June 30, 2017 are summarized below:</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360" w:type="dxa"/>
            <w:vAlign w:val="bottom"/>
            <w:gridSpan w:val="4"/>
          </w:tcPr>
          <w:p>
            <w:pPr>
              <w:ind w:left="460"/>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960" w:type="dxa"/>
            <w:vAlign w:val="bottom"/>
          </w:tcPr>
          <w:p>
            <w:pPr>
              <w:spacing w:after="0"/>
              <w:rPr>
                <w:sz w:val="12"/>
                <w:szCs w:val="12"/>
                <w:color w:val="auto"/>
              </w:rPr>
            </w:pPr>
          </w:p>
        </w:tc>
        <w:tc>
          <w:tcPr>
            <w:tcW w:w="316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Realization Event</w:t>
            </w:r>
          </w:p>
        </w:tc>
        <w:tc>
          <w:tcPr>
            <w:tcW w:w="46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171"/>
        </w:trPr>
        <w:tc>
          <w:tcPr>
            <w:tcW w:w="320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31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960" w:type="dxa"/>
            <w:vAlign w:val="bottom"/>
            <w:vMerge w:val="restart"/>
            <w:shd w:val="clear" w:color="auto" w:fill="CCEEFF"/>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Anatrace Products, LLC</w:t>
            </w:r>
          </w:p>
        </w:tc>
        <w:tc>
          <w:tcPr>
            <w:tcW w:w="960" w:type="dxa"/>
            <w:vAlign w:val="bottom"/>
            <w:vMerge w:val="continue"/>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Sale of portfolio company</w:t>
            </w:r>
          </w:p>
        </w:tc>
        <w:tc>
          <w:tcPr>
            <w:tcW w:w="4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Carlson Systems Holdings, Inc.</w:t>
            </w:r>
          </w:p>
        </w:tc>
        <w:tc>
          <w:tcPr>
            <w:tcW w:w="4120" w:type="dxa"/>
            <w:vAlign w:val="bottom"/>
            <w:gridSpan w:val="2"/>
          </w:tcPr>
          <w:p>
            <w:pPr>
              <w:ind w:left="940"/>
              <w:spacing w:after="0"/>
              <w:rPr>
                <w:sz w:val="20"/>
                <w:szCs w:val="20"/>
                <w:color w:val="auto"/>
              </w:rPr>
            </w:pPr>
            <w:r>
              <w:rPr>
                <w:rFonts w:ascii="Arial" w:cs="Arial" w:eastAsia="Arial" w:hAnsi="Arial"/>
                <w:sz w:val="18"/>
                <w:szCs w:val="18"/>
                <w:color w:val="auto"/>
              </w:rPr>
              <w:t>Escrow distribution</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FTH Acquisition Corp. VII</w:t>
            </w:r>
          </w:p>
        </w:tc>
        <w:tc>
          <w:tcPr>
            <w:tcW w:w="4120" w:type="dxa"/>
            <w:vAlign w:val="bottom"/>
            <w:gridSpan w:val="2"/>
          </w:tcPr>
          <w:p>
            <w:pPr>
              <w:ind w:left="940"/>
              <w:spacing w:after="0"/>
              <w:rPr>
                <w:sz w:val="20"/>
                <w:szCs w:val="20"/>
                <w:color w:val="auto"/>
              </w:rPr>
            </w:pPr>
            <w:r>
              <w:rPr>
                <w:rFonts w:ascii="Arial" w:cs="Arial" w:eastAsia="Arial" w:hAnsi="Arial"/>
                <w:sz w:val="18"/>
                <w:szCs w:val="18"/>
                <w:color w:val="auto"/>
              </w:rPr>
              <w:t>Exit of portfolio company</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the three months ended June 30, 2016, the total net realized gain on investments was $0.6 million. Significant realized gains for the three months ended June 30, 2016 are summarized below:</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9"/>
        </w:trPr>
        <w:tc>
          <w:tcPr>
            <w:tcW w:w="3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960" w:type="dxa"/>
            <w:vAlign w:val="bottom"/>
          </w:tcPr>
          <w:p>
            <w:pPr>
              <w:spacing w:after="0"/>
              <w:rPr>
                <w:sz w:val="12"/>
                <w:szCs w:val="12"/>
                <w:color w:val="auto"/>
              </w:rPr>
            </w:pPr>
          </w:p>
        </w:tc>
        <w:tc>
          <w:tcPr>
            <w:tcW w:w="332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Realization Event</w:t>
            </w:r>
          </w:p>
        </w:tc>
        <w:tc>
          <w:tcPr>
            <w:tcW w:w="52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Gain (Loss)</w:t>
            </w:r>
          </w:p>
        </w:tc>
        <w:tc>
          <w:tcPr>
            <w:tcW w:w="0" w:type="dxa"/>
            <w:vAlign w:val="bottom"/>
          </w:tcPr>
          <w:p>
            <w:pPr>
              <w:spacing w:after="0"/>
              <w:rPr>
                <w:sz w:val="1"/>
                <w:szCs w:val="1"/>
                <w:color w:val="auto"/>
              </w:rPr>
            </w:pPr>
          </w:p>
        </w:tc>
      </w:tr>
      <w:tr>
        <w:trPr>
          <w:trHeight w:val="171"/>
        </w:trPr>
        <w:tc>
          <w:tcPr>
            <w:tcW w:w="304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33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Safety Products</w:t>
            </w:r>
          </w:p>
        </w:tc>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Group, LLC</w:t>
            </w:r>
          </w:p>
        </w:tc>
        <w:tc>
          <w:tcPr>
            <w:tcW w:w="96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Distribution related to sale of operations</w:t>
            </w:r>
          </w:p>
        </w:tc>
        <w:tc>
          <w:tcPr>
            <w:tcW w:w="5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During the three months ended June 30, 2017, we recorded a net change in unrealized appreciation on investments of $1.4 million attributable to (i) the reversal of net unrealized appreciation of $(0.1) million related to the exit, sale or restructuring of investments, resulting in unrealized depreciation, (ii) net unrealized depreciation of $(1.5) million on debt investments and (iii) net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color w:val="auto"/>
        </w:rPr>
        <w:t>unrealized appreciation of $3.0 million on equity investments. During the three months ended June 30, 2016, we recorded a net change in unrealized appreciation on investments of $7.5 million attributable to (i) net unrealized depreciation of $(0.3) million on debt investments and (ii) net unrealized appreciation of $7.8 million on equity investments.</w:t>
      </w:r>
    </w:p>
    <w:p>
      <w:pPr>
        <w:spacing w:after="0" w:line="181"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During the three months ended June 30, 2017, we did not record any income tax provision for realized gains on investments. During the three months ended June 30, 2016, we recorded $0.2 million income tax provision for expected income taxes due from realized gains on investments.</w:t>
      </w:r>
    </w:p>
    <w:p>
      <w:pPr>
        <w:spacing w:after="0" w:line="14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As a result of these events, our net increase in net assets resulting from operations during the three months ended June 30, 2017 was $10.0 million, a decrease of $(2.8) million, or 21.9%, compared to a net increase in net assets resulting from operations of $12.8 million during the three months ended June 30, 2016.</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six months ended June 30, 2017 and June 30, 2016</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For the six months ended June 30, 2017, total investment income was $33.5 million, an increase of $5.0 million, or 17.5%, over the $28.5 million of total investment income for the six months ended June 30, 2016. The increase was attributable to a $3.7 million increase in interest income resulting from higher average debt investment balances outstanding during the six months ended June 30, 2017 as compared to the same period in 2016, a $0.3 million increase in dividend income due to increased levels of distributions received from equity investments during the six months ended June 30, 2017 as compared to the same period in 2016, and a $1.0 million increase in fee income resulting from increased prepayments and amendments and related fees during the six months ended June 30, 2017 as compared to the same period in 2016.</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 the six months ended June 30 2017, total expenses, including income tax provision, were $16.7 million, an increase of $0.2 million or 1.2%, over the $16.5 million of total expenses, including income tax provision, for the six months ended June 30, 2016. Interest and financing expenses for the six months ended June 30, 2017 were $5.0 million, a decrease of $(0.3) million, or 5.7%, from the $5.3 million of interest and financing expenses for the same period in 2016. The base management fee increased $0.7 million, or 17.5%, to $4.7 million for the six months ended June 30, 2017 due to higher average total assets during the six months ended June 30, 2017 as compared to the same period in 2016. The incentive fee for the six months ended June 30, 2017 was $4.8 million, a $(0.3) million, or 5.9%, decrease from the $5.1 million incentive fee for the six months ended June 30, 2016, which is comprised of an increase in the income incentive fee of $0.9 million and a decrease in the capital gains incentive fee of $(1.2) million during the six months ended June 30, 2017, as compared to the same period in 2016. The administrative service fee, professional fees and other general and administrative expenses totaled $2.2 million and $2.1 million for the six months ended June 30, 2017 and 2016, respectively.</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Investment Income</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Net investment income for the six months ended June 30, 2017 was $16.8 million, an increase of $4.8 million, or 40.0%, compared to net investment income of $12.0 million during the six months ended June 30, 2016, as a result of the $5.0 million increase in total investment income compared to only a $0.2 million increase in total expenses, including income tax provision.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Increase in Net Assets Resulting From Operations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For the six months ended June 30, 2017, the total net realized gain on investments was $6.1 million. Significant realized gains and (losses) for the six months ended June 30, 2017 are summarized below:</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73"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Portfolio Company</w:t>
            </w:r>
          </w:p>
        </w:tc>
        <w:tc>
          <w:tcPr>
            <w:tcW w:w="2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Realization Event</w:t>
            </w:r>
          </w:p>
        </w:tc>
      </w:tr>
      <w:tr>
        <w:trPr>
          <w:trHeight w:val="195"/>
        </w:trPr>
        <w:tc>
          <w:tcPr>
            <w:tcW w:w="3360" w:type="dxa"/>
            <w:vAlign w:val="bottom"/>
            <w:gridSpan w:val="2"/>
          </w:tcPr>
          <w:p>
            <w:pPr>
              <w:spacing w:after="0" w:line="195" w:lineRule="exact"/>
              <w:rPr>
                <w:sz w:val="20"/>
                <w:szCs w:val="20"/>
                <w:color w:val="auto"/>
              </w:rPr>
            </w:pPr>
            <w:r>
              <w:rPr>
                <w:rFonts w:ascii="Arial" w:cs="Arial" w:eastAsia="Arial" w:hAnsi="Arial"/>
                <w:sz w:val="18"/>
                <w:szCs w:val="18"/>
                <w:color w:val="auto"/>
              </w:rPr>
              <w:t>Worldwide Express Operations, LLC</w:t>
            </w:r>
          </w:p>
        </w:tc>
        <w:tc>
          <w:tcPr>
            <w:tcW w:w="680" w:type="dxa"/>
            <w:vAlign w:val="bottom"/>
          </w:tcPr>
          <w:p>
            <w:pPr>
              <w:spacing w:after="0"/>
              <w:rPr>
                <w:sz w:val="16"/>
                <w:szCs w:val="16"/>
                <w:color w:val="auto"/>
              </w:rPr>
            </w:pPr>
          </w:p>
        </w:tc>
        <w:tc>
          <w:tcPr>
            <w:tcW w:w="3200" w:type="dxa"/>
            <w:vAlign w:val="bottom"/>
          </w:tcPr>
          <w:p>
            <w:pPr>
              <w:spacing w:after="0" w:line="195" w:lineRule="exact"/>
              <w:rPr>
                <w:sz w:val="20"/>
                <w:szCs w:val="20"/>
                <w:color w:val="auto"/>
              </w:rPr>
            </w:pPr>
            <w:r>
              <w:rPr>
                <w:rFonts w:ascii="Arial" w:cs="Arial" w:eastAsia="Arial" w:hAnsi="Arial"/>
                <w:sz w:val="18"/>
                <w:szCs w:val="18"/>
                <w:color w:val="auto"/>
              </w:rPr>
              <w:t>Sale of portfolio company</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Anatrace Products, LLC</w:t>
            </w:r>
          </w:p>
        </w:tc>
        <w:tc>
          <w:tcPr>
            <w:tcW w:w="3880" w:type="dxa"/>
            <w:vAlign w:val="bottom"/>
            <w:gridSpan w:val="2"/>
          </w:tcPr>
          <w:p>
            <w:pPr>
              <w:ind w:left="680"/>
              <w:spacing w:after="0"/>
              <w:rPr>
                <w:sz w:val="20"/>
                <w:szCs w:val="20"/>
                <w:color w:val="auto"/>
              </w:rPr>
            </w:pPr>
            <w:r>
              <w:rPr>
                <w:rFonts w:ascii="Arial" w:cs="Arial" w:eastAsia="Arial" w:hAnsi="Arial"/>
                <w:sz w:val="18"/>
                <w:szCs w:val="18"/>
                <w:color w:val="auto"/>
              </w:rPr>
              <w:t>Sale of portfolio company</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Carlson Systems Holdings, Inc.</w:t>
            </w:r>
          </w:p>
        </w:tc>
        <w:tc>
          <w:tcPr>
            <w:tcW w:w="3880" w:type="dxa"/>
            <w:vAlign w:val="bottom"/>
            <w:gridSpan w:val="2"/>
          </w:tcPr>
          <w:p>
            <w:pPr>
              <w:ind w:left="680"/>
              <w:spacing w:after="0"/>
              <w:rPr>
                <w:sz w:val="20"/>
                <w:szCs w:val="20"/>
                <w:color w:val="auto"/>
              </w:rPr>
            </w:pPr>
            <w:r>
              <w:rPr>
                <w:rFonts w:ascii="Arial" w:cs="Arial" w:eastAsia="Arial" w:hAnsi="Arial"/>
                <w:sz w:val="18"/>
                <w:szCs w:val="18"/>
                <w:color w:val="auto"/>
              </w:rPr>
              <w:t>Escrow distribution</w:t>
            </w: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FTH Acquisition Corp. VII</w:t>
            </w:r>
          </w:p>
        </w:tc>
        <w:tc>
          <w:tcPr>
            <w:tcW w:w="3880" w:type="dxa"/>
            <w:vAlign w:val="bottom"/>
            <w:gridSpan w:val="2"/>
          </w:tcPr>
          <w:p>
            <w:pPr>
              <w:ind w:left="680"/>
              <w:spacing w:after="0"/>
              <w:rPr>
                <w:sz w:val="20"/>
                <w:szCs w:val="20"/>
                <w:color w:val="auto"/>
              </w:rPr>
            </w:pPr>
            <w:r>
              <w:rPr>
                <w:rFonts w:ascii="Arial" w:cs="Arial" w:eastAsia="Arial" w:hAnsi="Arial"/>
                <w:sz w:val="18"/>
                <w:szCs w:val="18"/>
                <w:color w:val="auto"/>
              </w:rPr>
              <w:t>Exit of portfolio company</w:t>
            </w:r>
          </w:p>
        </w:tc>
      </w:tr>
      <w:tr>
        <w:trPr>
          <w:trHeight w:val="243"/>
        </w:trPr>
        <w:tc>
          <w:tcPr>
            <w:tcW w:w="3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21"/>
                <w:szCs w:val="21"/>
                <w:color w:val="auto"/>
              </w:rPr>
            </w:pPr>
          </w:p>
        </w:tc>
        <w:tc>
          <w:tcPr>
            <w:tcW w:w="32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-711200</wp:posOffset>
            </wp:positionV>
            <wp:extent cx="550545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05450" cy="14605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-427990</wp:posOffset>
            </wp:positionV>
            <wp:extent cx="550545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-136525</wp:posOffset>
            </wp:positionV>
            <wp:extent cx="550545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auto"/>
        </w:rPr>
        <w:t>Net Realized</w:t>
      </w:r>
    </w:p>
    <w:p>
      <w:pPr>
        <w:ind w:left="42"/>
        <w:spacing w:after="0" w:line="226" w:lineRule="auto"/>
        <w:rPr>
          <w:sz w:val="20"/>
          <w:szCs w:val="20"/>
          <w:color w:val="auto"/>
        </w:rPr>
      </w:pPr>
      <w:r>
        <w:rPr>
          <w:rFonts w:ascii="Arial" w:cs="Arial" w:eastAsia="Arial" w:hAnsi="Arial"/>
          <w:sz w:val="14"/>
          <w:szCs w:val="14"/>
          <w:b w:val="1"/>
          <w:bCs w:val="1"/>
          <w:color w:val="auto"/>
        </w:rPr>
        <w:t>Gain (Loss)</w:t>
      </w:r>
    </w:p>
    <w:p>
      <w:pPr>
        <w:spacing w:after="0" w:line="1" w:lineRule="exact"/>
        <w:rPr>
          <w:sz w:val="20"/>
          <w:szCs w:val="20"/>
          <w:color w:val="auto"/>
        </w:rPr>
      </w:pPr>
    </w:p>
    <w:p>
      <w:pPr>
        <w:ind w:left="22"/>
        <w:spacing w:after="0"/>
        <w:rPr>
          <w:sz w:val="20"/>
          <w:szCs w:val="20"/>
          <w:color w:val="auto"/>
        </w:rPr>
      </w:pPr>
      <w:r>
        <w:rPr>
          <w:rFonts w:ascii="Arial" w:cs="Arial" w:eastAsia="Arial" w:hAnsi="Arial"/>
          <w:sz w:val="14"/>
          <w:szCs w:val="14"/>
          <w:b w:val="1"/>
          <w:bCs w:val="1"/>
          <w:u w:val="single" w:color="auto"/>
          <w:color w:val="auto"/>
        </w:rPr>
        <w:t>(in millions)</w:t>
      </w:r>
    </w:p>
    <w:p>
      <w:pPr>
        <w:spacing w:after="0" w:line="9" w:lineRule="exact"/>
        <w:rPr>
          <w:sz w:val="20"/>
          <w:szCs w:val="20"/>
          <w:color w:val="auto"/>
        </w:rPr>
      </w:pPr>
    </w:p>
    <w:p>
      <w:pPr>
        <w:ind w:left="562" w:hanging="562"/>
        <w:spacing w:after="0"/>
        <w:tabs>
          <w:tab w:leader="none" w:pos="562" w:val="left"/>
        </w:tabs>
        <w:numPr>
          <w:ilvl w:val="0"/>
          <w:numId w:val="21"/>
        </w:numPr>
        <w:rPr>
          <w:rFonts w:ascii="Arial" w:cs="Arial" w:eastAsia="Arial" w:hAnsi="Arial"/>
          <w:sz w:val="18"/>
          <w:szCs w:val="18"/>
          <w:color w:val="auto"/>
        </w:rPr>
      </w:pPr>
      <w:r>
        <w:rPr>
          <w:rFonts w:ascii="Arial" w:cs="Arial" w:eastAsia="Arial" w:hAnsi="Arial"/>
          <w:sz w:val="18"/>
          <w:szCs w:val="18"/>
          <w:color w:val="auto"/>
        </w:rPr>
        <w:t>6.4</w:t>
      </w:r>
    </w:p>
    <w:p>
      <w:pPr>
        <w:spacing w:after="0" w:line="7" w:lineRule="exact"/>
        <w:rPr>
          <w:rFonts w:ascii="Arial" w:cs="Arial" w:eastAsia="Arial" w:hAnsi="Arial"/>
          <w:sz w:val="18"/>
          <w:szCs w:val="18"/>
          <w:color w:val="auto"/>
        </w:rPr>
      </w:pPr>
    </w:p>
    <w:p>
      <w:pPr>
        <w:ind w:left="562"/>
        <w:spacing w:after="0"/>
        <w:rPr>
          <w:rFonts w:ascii="Arial" w:cs="Arial" w:eastAsia="Arial" w:hAnsi="Arial"/>
          <w:sz w:val="18"/>
          <w:szCs w:val="18"/>
          <w:color w:val="auto"/>
        </w:rPr>
      </w:pPr>
      <w:r>
        <w:rPr>
          <w:rFonts w:ascii="Arial" w:cs="Arial" w:eastAsia="Arial" w:hAnsi="Arial"/>
          <w:sz w:val="18"/>
          <w:szCs w:val="18"/>
          <w:color w:val="auto"/>
        </w:rPr>
        <w:t>0.9</w:t>
      </w:r>
    </w:p>
    <w:p>
      <w:pPr>
        <w:spacing w:after="0" w:line="9" w:lineRule="exact"/>
        <w:rPr>
          <w:rFonts w:ascii="Arial" w:cs="Arial" w:eastAsia="Arial" w:hAnsi="Arial"/>
          <w:sz w:val="18"/>
          <w:szCs w:val="18"/>
          <w:color w:val="auto"/>
        </w:rPr>
      </w:pPr>
    </w:p>
    <w:p>
      <w:pPr>
        <w:ind w:left="562"/>
        <w:spacing w:after="0"/>
        <w:rPr>
          <w:rFonts w:ascii="Arial" w:cs="Arial" w:eastAsia="Arial" w:hAnsi="Arial"/>
          <w:sz w:val="18"/>
          <w:szCs w:val="18"/>
          <w:color w:val="auto"/>
        </w:rPr>
      </w:pPr>
      <w:r>
        <w:rPr>
          <w:rFonts w:ascii="Arial" w:cs="Arial" w:eastAsia="Arial" w:hAnsi="Arial"/>
          <w:sz w:val="18"/>
          <w:szCs w:val="18"/>
          <w:color w:val="auto"/>
        </w:rPr>
        <w:t>0.1</w:t>
      </w:r>
    </w:p>
    <w:p>
      <w:pPr>
        <w:spacing w:after="0" w:line="9" w:lineRule="exact"/>
        <w:rPr>
          <w:sz w:val="20"/>
          <w:szCs w:val="20"/>
          <w:color w:val="auto"/>
        </w:rPr>
      </w:pPr>
    </w:p>
    <w:p>
      <w:pPr>
        <w:jc w:val="right"/>
        <w:ind w:right="1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972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 w:lineRule="exact"/>
        <w:rPr>
          <w:sz w:val="20"/>
          <w:szCs w:val="20"/>
          <w:color w:val="auto"/>
        </w:rPr>
      </w:pPr>
    </w:p>
    <w:p>
      <w:pPr>
        <w:ind w:left="562" w:hanging="562"/>
        <w:spacing w:after="0"/>
        <w:tabs>
          <w:tab w:leader="none" w:pos="562" w:val="left"/>
        </w:tabs>
        <w:numPr>
          <w:ilvl w:val="0"/>
          <w:numId w:val="22"/>
        </w:numPr>
        <w:rPr>
          <w:rFonts w:ascii="Arial" w:cs="Arial" w:eastAsia="Arial" w:hAnsi="Arial"/>
          <w:sz w:val="18"/>
          <w:szCs w:val="18"/>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972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4972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8620" w:space="538"/>
            <w:col w:w="2262"/>
          </w:cols>
          <w:pgMar w:left="240" w:top="459" w:right="239" w:bottom="1440" w:gutter="0" w:footer="0" w:header="0"/>
          <w:type w:val="continuous"/>
        </w:sectPr>
      </w:pPr>
    </w:p>
    <w:p>
      <w:pPr>
        <w:spacing w:after="0" w:line="56"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For the six months ended June 30, 2016, the total net realized gain on investments was $0.3 million. Significant realized gains and (losses) for the six months ended June 30, 2016 are summarized below:</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9"/>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520" w:type="dxa"/>
            <w:vAlign w:val="bottom"/>
          </w:tcPr>
          <w:p>
            <w:pPr>
              <w:spacing w:after="0"/>
              <w:rPr>
                <w:sz w:val="12"/>
                <w:szCs w:val="12"/>
                <w:color w:val="auto"/>
              </w:rPr>
            </w:pPr>
          </w:p>
        </w:tc>
        <w:tc>
          <w:tcPr>
            <w:tcW w:w="368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Realization Event</w:t>
            </w:r>
          </w:p>
        </w:tc>
        <w:tc>
          <w:tcPr>
            <w:tcW w:w="20" w:type="dxa"/>
            <w:vAlign w:val="bottom"/>
          </w:tcPr>
          <w:p>
            <w:pPr>
              <w:spacing w:after="0"/>
              <w:rPr>
                <w:sz w:val="12"/>
                <w:szCs w:val="12"/>
                <w:color w:val="auto"/>
              </w:rPr>
            </w:pP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36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0"/>
        </w:trPr>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Safety Products</w:t>
            </w:r>
          </w:p>
        </w:tc>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Group, LLC</w:t>
            </w:r>
          </w:p>
        </w:tc>
        <w:tc>
          <w:tcPr>
            <w:tcW w:w="52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Distribution related to sale of operations</w:t>
            </w: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Continental Anesthesia Management, LLC</w:t>
            </w:r>
          </w:p>
        </w:tc>
        <w:tc>
          <w:tcPr>
            <w:tcW w:w="4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Exit of portfolio company</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During the six months ended June 30, 2017, we recorded a net change in unrealized depreciation on investments of $(2.0) million attributable to (i) the reversal of net unrealized appreciation of $(4.6) million related to the exit, sale or restructuring of investments, resulting in unrealized depreciation, (ii) net unrealized depreciation of $(3.6) million on debt investments and (iii) net unrealized appreciation of $6.2 million on equity investments. During the six months ended June 30, 2016, we recorded a net change in unrealized appreciation on investments of $8.3 million attributable to (i) the reversal of net unrealized depreciation on investments of $0.9 million related to the exit or sale of investments, resulting in unrealized appreciation, (ii) net unrealized depreciation of $(6.2) million on debt investments and (iii) net unrealized appreciation of $13.6 million on equity investments.</w:t>
      </w:r>
    </w:p>
    <w:p>
      <w:pPr>
        <w:spacing w:after="0" w:line="16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During the six months ended June 30, 2017 and 2016, we recorded $1.4 million and $0.2 million, respectively, of income tax provision for realized gains on investments.</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As a result of these events, our net increase in net assets resulting from operations during the six months ended June 30, 2017 was $19.5 million, a decrease of $(0.8) million, or 3.9%, compared to a net increase in net assets resulting from operations of $20.3 million during the six months ended June 30, 2016.</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2017, we had $50.8 million in cash and cash equivalents and our net assets totaled $388.4 million. We believe that our current cash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cash equivalents on hand, our continued access to SBA-guaranteed debentures, our Credit Facility and our anticipated cash flows from operations will provide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adequate capital resources with which to operate and finance our investment business and make distributions to our stockholders for at least the next 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We intend to generate additional cash primarily from the future offerings of securities (including the ATM Program) and future borrowings, as well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cash flows from operations, including income earned from investments in our portfolio companies. On both a short-term and long-term basis, our primary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 of funds will be investments in portfolio companies and cash distributions to our stockholders. During the six months ended June 30, 2017, we repaid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$24.8 million of SBA debentures which would have matured on March 1, 2018. Our remaining outstanding SBA debentures continue to mature in 2018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subsequent years through 2027, which will require repayment on or before the respective maturity dates.</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For the six months ended June 30, 2017, we experienced a net decrease in cash and cash equivalents in the amount of $6.2 million. During that period, we used $9.7 million of cash for operating activities, which included the funding of $87.1 million of investments, which were offset by proceeds received from sales and repayments of investments of $66.7 million. During the same period, we received net proceeds from secondary offerings of shares of our common stock off of our effective shelf registration statement of $28.1 million and proceeds from the issuances of SBA debentures of $18.0 million, which were partially offset by net repayment of SBA debentures of $24.8 million, cash dividends paid to stockholders of $17.1 million and the payment of deferred financing costs of $0.7 million.</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the six months ended June 30, 2016, we experienced a net increase in cash and cash equivalents in the amount of $27.5 million. During that period, we received $12.2 million of cash from operating activities, primarily from proceeds received from sales and repayments of investments of $46.0 million, which were partially offset by the funding of $44.4 million of investments. During the same period, we received net proceeds from a secondary offering of shares of our common stock off of our effective shelf registration statement of $43.7 million and proceeds from the issuances of SBA debentures of $0.5 million, which were partially offset by net repayment of borrowings under the Credit Facility of $15.5 million and cash dividends paid to stockholders of $13.3 million.</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we will continue to fund our investment activities on a long-term basis through a combination of additional debt and equity capital.</w:t>
      </w:r>
    </w:p>
    <w:p>
      <w:pPr>
        <w:spacing w:after="0" w:line="24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Funds are licensed SBICs, and have the ability to issue debentures guaranteed by the SBA at favorable interest rates. Under the Small Business Investment Act and the SBA rules applicable to SBICs,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$150.0 million, whichever is less. For three or more SBICs under common control, the maximum amount of outstanding SBA debentures cannot exceed $350.0 million.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June 30, 2017, Fund I had $125.3 million of outstanding SBA debentures and cannot issue additional SBA debentures. As of June 30, 2017, Fund II had $92.0 million of outstanding SBA debentures. Fund II has the current capacity to issue up to an additional $58.0 million of SBA debentures. Subject to SBA regulatory requirements and approval, we may access up to $74.8 million of additional SBA debentures under the SBIC Debenture Program. For more information on the SBA debentures, please see Note 6 to our consolidated financial statements.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In June 2014, we entered into the Credit Facility to provide additional funding for our investment and operational activities. The Credit Facility, which matures on June 16, 2018, had an initial commitment of $30.0 million and an accordion feature that allows for an increase in the total commitments up to $75.0 million, subject to certain customary conditions. The Credit Facility is secured by substantially all of our assets, excluding the assets of the Funds.</w:t>
      </w:r>
    </w:p>
    <w:p>
      <w:pPr>
        <w:spacing w:after="0" w:line="14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On December 19, 2014, we amended the Credit Facility to (i) increase the commitment from $30.0 million to $50.0 million (ii) allow FIC to buy-back up to $10.0 million of our common stock subject to the satisfaction of specified financial covenants and conditions. The Credit Facility continues to have an accordion feature which allows for an increase in the total commitment up to $75.0 million.</w:t>
      </w:r>
    </w:p>
    <w:p>
      <w:pPr>
        <w:spacing w:after="0" w:line="18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Amounts available to borrow under the Credit Facility are subject to a minimum borrowing/collateral base that applies an advance rate to certain portfolio investments. We are subject to limitations with respect to the investments securing the Credit Facility, including, but not limited to, restrictions on sector concentrations, loan size, transferability, payment frequency and status and collateral interests, as well as restrictions on portfolio company leverage, which may also affect the borrowing base and therefore amounts available to borrow.</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Borrowings under the Credit Facility bear interest, subject to our election, on a per annum basis equal to (i) the alternate base rate plus 2.5% or (ii) the applicable LIBOR, which varies depending on the period of the borrowing under the Credit Facility, plus 3.5%. The alternate base rate is equal to the greater of (i) prime rate, (ii) the federal funds rate plus 0.5% or (iii) the three-month LIBOR plus 1.0%. We pay a commitment fee ranging from 0.5% to 1.0% per annum based on the size of the unused portion of the Credit Facility.</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made customary representations and warranties and are required to comply with various covenants, reporting requirements and other customary requirements for similar credit facilities. These covenants are subject to important limitations and exceptions that are described in the documents governing the Credit Facility. As of June 30, 2017, we were in compliance with all covenants of the Credit Facility and there were no borrowings outstanding under the Credit Facility.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2017, the weighted average interest rate for all SBA debentures and borrowings outstanding under the Credit Facility was 3.7%.</w:t>
      </w:r>
    </w:p>
    <w:p>
      <w:pPr>
        <w:spacing w:after="0" w:line="23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As a BDC, we are generally required to meet a coverage ratio of total assets to total senior securities, which include borrowings and any preferred stock we may issue in the future, of at least 200.0%. This requirement limits the amount that we may borrow. We have received exemptive relief from the Securities and Exchange Commission, or the SEC, to allow us to exclude any indebtedness guaranteed by the SBA and issued by the Funds from the 200.0% asset coverage requirements, which, in turn, will enable us to fund more investments with debt capital.</w:t>
      </w:r>
    </w:p>
    <w:p>
      <w:pPr>
        <w:spacing w:after="0" w:line="17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our board of directors, including Independent Directors, determines that such sale is in the best interests of us and our stockholders, and if our stockholders approve such sale. On June 15, 2017, our stockholders voted to allow us to sell or otherwise issue common stock at a price below net asset value per share for a period of one year ending on the earlier of June 15, 2018 or the date of our 2018 Annual Meeting of Stockholders. We expect to present our stockholders a similar proposal at our 2018 Annual Meeting of Stockholders. Our stockholders specified that the cumulative number of shares sold in each offering during the one-year period ending on the earlier of June 15, 2018 or the date of our 2018 Annual Meeting of Stockholders may not exceed 25.0% of our outstanding common stock immediately prior to each such sale.</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repurchase plan</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have an open market stock repurchase program (the “Program”) under which we may acquire up to $5.0 million of our outstanding common stock. Under the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November 1, 2016, the Board extended the Program through December 31, 2017, or until the approved dollar amount has been used to repurchase shares. The Program does not require us to repurchase any specific number of shares and the Company cannot assure that any shares will be repurchased under the Program.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Program may be suspended, extended, modified or discontinued at any time. We did not make any repurchases of common stock during the six months ended June 30, 2017 or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preparation of financial statements in accordance with GAAP requires management to make certain estimates and assumptions affecting amounts reported in the financial statements. We have identified investment valuation and revenue recognition as our most critical accounting estimates. We continuously evaluate our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As a BDC, we report our assets and liabilities at fair value at all times consistent with GAAP and the 1940 Act. Accordingly, we are required to periodically determine the fair value of all of our portfolio investments.</w:t>
      </w:r>
    </w:p>
    <w:p>
      <w:pPr>
        <w:spacing w:after="0" w:line="170" w:lineRule="exact"/>
        <w:rPr>
          <w:sz w:val="20"/>
          <w:szCs w:val="20"/>
          <w:color w:val="auto"/>
        </w:rPr>
      </w:pPr>
    </w:p>
    <w:p>
      <w:pPr>
        <w:ind w:right="220" w:firstLine="456"/>
        <w:spacing w:after="0" w:line="273" w:lineRule="auto"/>
        <w:rPr>
          <w:sz w:val="20"/>
          <w:szCs w:val="20"/>
          <w:color w:val="auto"/>
        </w:rPr>
      </w:pPr>
      <w:r>
        <w:rPr>
          <w:rFonts w:ascii="Arial" w:cs="Arial" w:eastAsia="Arial" w:hAnsi="Arial"/>
          <w:sz w:val="17"/>
          <w:szCs w:val="17"/>
          <w:color w:val="auto"/>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 could be material.</w:t>
      </w:r>
    </w:p>
    <w:p>
      <w:pPr>
        <w:spacing w:after="0" w:line="17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undertakes a multi-step valuation process each quarter, as described below:</w:t>
      </w:r>
    </w:p>
    <w:p>
      <w:pPr>
        <w:spacing w:after="0" w:line="197" w:lineRule="exact"/>
        <w:rPr>
          <w:sz w:val="20"/>
          <w:szCs w:val="20"/>
          <w:color w:val="auto"/>
        </w:rPr>
      </w:pPr>
    </w:p>
    <w:p>
      <w:pPr>
        <w:ind w:left="900" w:right="78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evaluated and rated by the investment professionals of our investment advisor responsible for the portfolio investment;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investment committee of our investment advisor;</w:t>
      </w:r>
    </w:p>
    <w:p>
      <w:pPr>
        <w:spacing w:after="0" w:line="130" w:lineRule="exact"/>
        <w:rPr>
          <w:rFonts w:ascii="Arial" w:cs="Arial" w:eastAsia="Arial" w:hAnsi="Arial"/>
          <w:sz w:val="18"/>
          <w:szCs w:val="18"/>
          <w:color w:val="auto"/>
        </w:rPr>
      </w:pPr>
    </w:p>
    <w:p>
      <w:pPr>
        <w:ind w:left="900" w:right="200" w:hanging="325"/>
        <w:spacing w:after="0" w:line="270"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board of directors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 Our board of directors consulted with the independent valuation firm(s) in arriving at our determination of fair value for 16 and 13 of our portfolio company investments representing 34.9% and 30.5% of the total portfolio investments at fair value (exclusive of new portfolio company investments made during the three months ended June 30, 2017 and December 31, 2016, respectively) as of June 30, 2017 and December 31, 2016, respectively;</w:t>
      </w:r>
    </w:p>
    <w:p>
      <w:pPr>
        <w:spacing w:after="0" w:line="83" w:lineRule="exact"/>
        <w:rPr>
          <w:rFonts w:ascii="Arial" w:cs="Arial" w:eastAsia="Arial" w:hAnsi="Arial"/>
          <w:sz w:val="17"/>
          <w:szCs w:val="17"/>
          <w:color w:val="auto"/>
        </w:rPr>
      </w:pPr>
    </w:p>
    <w:p>
      <w:pPr>
        <w:ind w:left="900" w:right="44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our investment advisor and of the independent valuation firm(s) and responds and supplements the valuation recommendations to reflect any comments; and</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advisor, the independent valuation firm(s) and the audit committee.</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Consistent with the policies and methodologies adopted by our board of directors, we perform detailed valuations of our debt and equity investments, including an analysis on the Company’s unfunded loan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sectPr>
          <w:pgSz w:w="11900" w:h="16838" w:orient="portrait"/>
          <w:cols w:equalWidth="0" w:num="1">
            <w:col w:w="11400"/>
          </w:cols>
          <w:pgMar w:left="240" w:top="459" w:right="259" w:bottom="1440" w:gutter="0" w:footer="0" w:header="0"/>
        </w:sectPr>
      </w:pP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00"/>
          </w:cols>
          <w:pgMar w:left="240" w:top="459" w:right="25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p>
    <w:p>
      <w:pPr>
        <w:spacing w:after="0" w:line="181"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For our debt investments, including senior secured loans and subordinated notes,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loan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loans to maturity. However, if we have information available to us that the loan is expected to be repaid in the near term, we would use an estimated remaining life based on the expected repayment date.</w:t>
      </w:r>
    </w:p>
    <w:p>
      <w:pPr>
        <w:spacing w:after="0" w:line="18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 Where applicable, we consider our ability to influence the capital structure of the portfolio company, as well as the timing of a potential exit.</w:t>
      </w:r>
    </w:p>
    <w:p>
      <w:pPr>
        <w:spacing w:after="0" w:line="17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may also utilize an income approach when estimating the fair value of our equity securities,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93"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The fair value of our royalty rights are calculated based on projected future cash flows and the specific provisions contained in the pertinent royalty agreement. The determination of the fair value of such royalty rights is not a significant component of our valuation process.</w:t>
      </w:r>
    </w:p>
    <w:p>
      <w:pPr>
        <w:spacing w:after="0" w:line="147"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i w:val="1"/>
          <w:iCs w:val="1"/>
          <w:color w:val="auto"/>
        </w:rPr>
        <w:t xml:space="preserve">Investments and related investment income. </w:t>
      </w:r>
      <w:r>
        <w:rPr>
          <w:rFonts w:ascii="Arial" w:cs="Arial" w:eastAsia="Arial" w:hAnsi="Arial"/>
          <w:sz w:val="16"/>
          <w:szCs w:val="16"/>
          <w:color w:val="auto"/>
        </w:rPr>
        <w:t>Realized gains or losses on investments are recorded upon the sale or disposition of a portfolio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by our board of directors through the application of our valuation policy, as well as reclassifications of any prior period unrealized appreciation or depreciation on exited investments to realized gains or losses on investments.</w:t>
      </w:r>
    </w:p>
    <w:p>
      <w:pPr>
        <w:spacing w:after="0" w:line="15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Interest and dividend income</w:t>
      </w:r>
      <w:r>
        <w:rPr>
          <w:rFonts w:ascii="Arial" w:cs="Arial" w:eastAsia="Arial" w:hAnsi="Arial"/>
          <w:sz w:val="18"/>
          <w:szCs w:val="18"/>
          <w:color w:val="auto"/>
        </w:rPr>
        <w:t>. Interest and dividend income are recorded on the accrual basis to the extent that we expect to collect such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when the relevant tax forms are received from the portfolio company.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Payment-in-kind interest. </w:t>
      </w:r>
      <w:r>
        <w:rPr>
          <w:rFonts w:ascii="Arial" w:cs="Arial" w:eastAsia="Arial" w:hAnsi="Arial"/>
          <w:sz w:val="18"/>
          <w:szCs w:val="18"/>
          <w:color w:val="auto"/>
        </w:rPr>
        <w:t>Certain of our investments contain a PIK income provision. The PIK income, computed at the contractual rate specified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investment agreement, is added to the principal balance of the investment, rather than being paid in cash, and recorded as interest or dividend income, as applicable, on the consolidated statements of operations. Generally, PIK can be paid-in-kind or all in cash. We stop accruing PIK income when there is reasonable doubt that PIK income will be collected. PIK income is included in our taxable income and, therefore, affects the amount we are required to pay to our stockholders in the form of dividends in order to maintain our tax treatment as a RIC and to avoid paying corporate federal income tax, even though we have not yet collected the cash.</w:t>
      </w:r>
    </w:p>
    <w:p>
      <w:pPr>
        <w:spacing w:after="0" w:line="193"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i w:val="1"/>
          <w:iCs w:val="1"/>
          <w:color w:val="auto"/>
        </w:rPr>
        <w:t xml:space="preserve">Non-accrual. </w:t>
      </w:r>
      <w:r>
        <w:rPr>
          <w:rFonts w:ascii="Arial" w:cs="Arial" w:eastAsia="Arial" w:hAnsi="Arial"/>
          <w:sz w:val="16"/>
          <w:szCs w:val="16"/>
          <w:color w:val="auto"/>
        </w:rPr>
        <w:t>When there is reasonable doubt that principal, interest or dividends will be collected, loans or preferred equity investments are placed on</w:t>
      </w:r>
      <w:r>
        <w:rPr>
          <w:rFonts w:ascii="Arial" w:cs="Arial" w:eastAsia="Arial" w:hAnsi="Arial"/>
          <w:sz w:val="16"/>
          <w:szCs w:val="16"/>
          <w:i w:val="1"/>
          <w:iCs w:val="1"/>
          <w:color w:val="auto"/>
        </w:rPr>
        <w:t xml:space="preserve"> </w:t>
      </w:r>
      <w:r>
        <w:rPr>
          <w:rFonts w:ascii="Arial" w:cs="Arial" w:eastAsia="Arial" w:hAnsi="Arial"/>
          <w:sz w:val="16"/>
          <w:szCs w:val="16"/>
          <w:color w:val="auto"/>
        </w:rPr>
        <w:t>non-accrual status and we will generally cease recognizing interest or dividend income. Interest and dividend payments received on non-accrual investments may be recognized as interest or dividend income or applied to the investment principal balance based on management’s judgment. Non-accrual investments are restored to accrual status when past due principal, interest or dividends are paid and, in management’s judgment, are likely to remain current.</w:t>
      </w:r>
    </w:p>
    <w:p>
      <w:pPr>
        <w:spacing w:after="0" w:line="154"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i w:val="1"/>
          <w:iCs w:val="1"/>
          <w:color w:val="auto"/>
        </w:rPr>
        <w:t xml:space="preserve">Warrants. </w:t>
      </w:r>
      <w:r>
        <w:rPr>
          <w:rFonts w:ascii="Arial" w:cs="Arial" w:eastAsia="Arial" w:hAnsi="Arial"/>
          <w:sz w:val="16"/>
          <w:szCs w:val="16"/>
          <w:color w:val="auto"/>
        </w:rPr>
        <w:t>In connection with our debt investments, we will sometimes receive warrants or other equity-related securities (Warrants). We determine the</w:t>
      </w:r>
      <w:r>
        <w:rPr>
          <w:rFonts w:ascii="Arial" w:cs="Arial" w:eastAsia="Arial" w:hAnsi="Arial"/>
          <w:sz w:val="16"/>
          <w:szCs w:val="16"/>
          <w:i w:val="1"/>
          <w:iCs w:val="1"/>
          <w:color w:val="auto"/>
        </w:rPr>
        <w:t xml:space="preserve"> </w:t>
      </w:r>
      <w:r>
        <w:rPr>
          <w:rFonts w:ascii="Arial" w:cs="Arial" w:eastAsia="Arial" w:hAnsi="Arial"/>
          <w:sz w:val="16"/>
          <w:szCs w:val="16"/>
          <w:color w:val="auto"/>
        </w:rPr>
        <w:t>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or OID, and accreted into interest income using the effective interest method over the term of the debt investment.</w:t>
      </w:r>
    </w:p>
    <w:p>
      <w:pPr>
        <w:spacing w:after="0" w:line="15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All transaction fees earned in connection with our investments are recognized as fee income. Such fees typically include fees for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structuring and advisory services, provided to portfolio companies. We recognize income from fees for providing such structuring and advisory services when the services are rendered or the transactions are completed. Upon the prepayment of a loan or debt security, any prepayment penalties are recorded as fee income when earned.</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also typically receive loan origination or closing fees in connection with investments. Such loan origination and closing fees are capitalized as unearned income and offset against investment cost basis on our consolidated statements of assets and liabilities and accreted into income over the term of the investment.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 (Topic 606)</w:t>
      </w:r>
      <w:r>
        <w:rPr>
          <w:rFonts w:ascii="Arial" w:cs="Arial" w:eastAsia="Arial" w:hAnsi="Arial"/>
          <w:sz w:val="16"/>
          <w:szCs w:val="16"/>
          <w:color w:val="auto"/>
        </w:rPr>
        <w:t>, which supersedes the revenue recognition requirements in</w:t>
      </w:r>
      <w:r>
        <w:rPr>
          <w:rFonts w:ascii="Arial" w:cs="Arial" w:eastAsia="Arial" w:hAnsi="Arial"/>
          <w:sz w:val="16"/>
          <w:szCs w:val="16"/>
          <w:i w:val="1"/>
          <w:iCs w:val="1"/>
          <w:color w:val="auto"/>
        </w:rPr>
        <w:t xml:space="preserve"> Revenue Recognition (Topic 605)</w:t>
      </w:r>
      <w:r>
        <w:rPr>
          <w:rFonts w:ascii="Arial" w:cs="Arial" w:eastAsia="Arial" w:hAnsi="Arial"/>
          <w:sz w:val="16"/>
          <w:szCs w:val="16"/>
          <w:color w:val="auto"/>
        </w:rPr>
        <w:t>. Under the new guidance, an entity</w:t>
      </w:r>
      <w:r>
        <w:rPr>
          <w:rFonts w:ascii="Arial" w:cs="Arial" w:eastAsia="Arial" w:hAnsi="Arial"/>
          <w:sz w:val="16"/>
          <w:szCs w:val="16"/>
          <w:i w:val="1"/>
          <w:iCs w:val="1"/>
          <w:color w:val="auto"/>
        </w:rPr>
        <w:t xml:space="preserve"> </w:t>
      </w:r>
      <w:r>
        <w:rPr>
          <w:rFonts w:ascii="Arial" w:cs="Arial" w:eastAsia="Arial" w:hAnsi="Arial"/>
          <w:sz w:val="16"/>
          <w:szCs w:val="16"/>
          <w:color w:val="auto"/>
        </w:rPr>
        <w:t>should recognize revenue to depict the transfer of promised goods or services to customers in an amount that reflects the consideration to which the entity expects to be entitled in exchange for those goods or services. In August 2015, the FASB issued ASU 2015-14, which defers the effective date of ASU 2014-09, such that the guidance is effective for annual and interim reporting periods beginning after December 15, 2017 and early application is permitted only for annual reporting periods beginning after December 15, 2016, including interim reporting periods within that reporting period. We are currently evaluating the impact this ASU will have on our consolidated financial position or disclosures, but we do not expect the impact to be material.</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may be a party to financial instruments with off-balance sheet risk in the normal course of business to meet the financial needs of our portfolio companies. We had off-balance sheet arrangements consisting of outstanding commitments to fund various undrawn revolving loans and other credit facilities totaling $4.9 million and $6.6 million as of June 30, 2017 and December 31, 2016, respectively. Such outstanding commitments are summarized in the following table (dollars in thousands):</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5"/>
          </w:tcPr>
          <w:p>
            <w:pPr>
              <w:ind w:left="50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14"/>
                <w:szCs w:val="14"/>
                <w:color w:val="auto"/>
              </w:rPr>
            </w:pPr>
          </w:p>
        </w:tc>
        <w:tc>
          <w:tcPr>
            <w:tcW w:w="206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3"/>
              </w:rPr>
              <w:t>Portfolio Company - Investment</w:t>
            </w:r>
          </w:p>
        </w:tc>
        <w:tc>
          <w:tcPr>
            <w:tcW w:w="2600" w:type="dxa"/>
            <w:vAlign w:val="bottom"/>
            <w:vMerge w:val="restart"/>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3"/>
              <w:spacing w:after="0" w:line="119" w:lineRule="exact"/>
              <w:rPr>
                <w:sz w:val="20"/>
                <w:szCs w:val="20"/>
                <w:color w:val="auto"/>
              </w:rPr>
            </w:pPr>
            <w:r>
              <w:rPr>
                <w:rFonts w:ascii="Arial" w:cs="Arial" w:eastAsia="Arial" w:hAnsi="Arial"/>
                <w:sz w:val="13"/>
                <w:szCs w:val="13"/>
                <w:b w:val="1"/>
                <w:bCs w:val="1"/>
                <w:color w:val="auto"/>
                <w:w w:val="98"/>
              </w:rPr>
              <w:t>Unfunded</w:t>
            </w:r>
          </w:p>
        </w:tc>
        <w:tc>
          <w:tcPr>
            <w:tcW w:w="5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800"/>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73"/>
              <w:spacing w:after="0" w:line="119" w:lineRule="exact"/>
              <w:rPr>
                <w:sz w:val="20"/>
                <w:szCs w:val="20"/>
                <w:color w:val="auto"/>
              </w:rPr>
            </w:pPr>
            <w:r>
              <w:rPr>
                <w:rFonts w:ascii="Arial" w:cs="Arial" w:eastAsia="Arial" w:hAnsi="Arial"/>
                <w:sz w:val="13"/>
                <w:szCs w:val="13"/>
                <w:b w:val="1"/>
                <w:bCs w:val="1"/>
                <w:color w:val="auto"/>
                <w:w w:val="98"/>
              </w:rPr>
              <w:t>Unfunded</w:t>
            </w:r>
          </w:p>
        </w:tc>
        <w:tc>
          <w:tcPr>
            <w:tcW w:w="0" w:type="dxa"/>
            <w:vAlign w:val="bottom"/>
          </w:tcPr>
          <w:p>
            <w:pPr>
              <w:spacing w:after="0"/>
              <w:rPr>
                <w:sz w:val="1"/>
                <w:szCs w:val="1"/>
                <w:color w:val="auto"/>
              </w:rPr>
            </w:pPr>
          </w:p>
        </w:tc>
      </w:tr>
      <w:tr>
        <w:trPr>
          <w:trHeight w:val="171"/>
        </w:trPr>
        <w:tc>
          <w:tcPr>
            <w:tcW w:w="2000" w:type="dxa"/>
            <w:vAlign w:val="bottom"/>
            <w:vMerge w:val="continue"/>
          </w:tcPr>
          <w:p>
            <w:pPr>
              <w:spacing w:after="0"/>
              <w:rPr>
                <w:sz w:val="14"/>
                <w:szCs w:val="14"/>
                <w:color w:val="auto"/>
              </w:rPr>
            </w:pPr>
          </w:p>
        </w:tc>
        <w:tc>
          <w:tcPr>
            <w:tcW w:w="260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3"/>
              </w:rPr>
              <w:t>Commitment</w:t>
            </w:r>
          </w:p>
        </w:tc>
        <w:tc>
          <w:tcPr>
            <w:tcW w:w="5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3"/>
              </w:rPr>
              <w:t>Commitment</w:t>
            </w:r>
          </w:p>
        </w:tc>
        <w:tc>
          <w:tcPr>
            <w:tcW w:w="5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3"/>
              </w:rPr>
              <w:t>Commitment</w:t>
            </w:r>
          </w:p>
        </w:tc>
        <w:tc>
          <w:tcPr>
            <w:tcW w:w="54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8"/>
              </w:rPr>
              <w:t>Commitment</w:t>
            </w: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9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FAR Research Inc. – Revolving Loan</w:t>
            </w:r>
          </w:p>
        </w:tc>
        <w:tc>
          <w:tcPr>
            <w:tcW w:w="9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5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Inflexxion, Inc. – Revolving Loan</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inthinc Technology Solutions, Inc. – Subordinated Note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Lightning Diversion Systems, LLC – Revolving Loan</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Oaktree Medical Centre, P.C. – Revolving Loan</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Safety Products Group, LLC – Common Equity</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2,852</w:t>
            </w: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SES Investors, LLC – Revolving Loan</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9,352</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4,866</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14,352</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6,566</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40" w:type="dxa"/>
            <w:vAlign w:val="bottom"/>
            <w:vMerge w:val="restart"/>
          </w:tcPr>
          <w:p>
            <w:pPr>
              <w:jc w:val="right"/>
              <w:ind w:right="110"/>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detail for each of the commitments above is provided in the Company’s consolidated schedules of investments.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31" w:lineRule="exact"/>
        <w:rPr>
          <w:sz w:val="20"/>
          <w:szCs w:val="20"/>
          <w:color w:val="auto"/>
        </w:rPr>
      </w:pPr>
    </w:p>
    <w:p>
      <w:pPr>
        <w:ind w:left="900" w:right="20" w:hanging="325"/>
        <w:spacing w:after="0" w:line="255"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connection with the Formation Transactions, Fund I terminated its management services agreement with Fidus Capital, LLC and we entered into the Investment Advisory Agreement with Fidus Investment Advisors, LLC, as our investment advisor. The investment professionals of Fidus Investment Advisors, LLC were also the investment professionals of Fidus Capital, LLC. We entered into the Investment Advisory Agreement with Fidus Investment Advisors, LLC to manage our day-to-day operating and investing activities. We pay our investment advisor a fee for its services under the Investment Advisory Agreement consisting of two components — a base management fee and an incentive fee. See Note 5 to our consolidated financial statements.</w:t>
      </w:r>
    </w:p>
    <w:p>
      <w:pPr>
        <w:spacing w:after="0" w:line="98"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Edward H. Ross, our Chairman and Chief Executive Officer, and Thomas C. Lauer, our President, are managers of Fidus Investment Advisors, LLC. In May 2015, Fidus Investment Advisors, LLC entered into a combination with Fidus Partners, LLC (the “Combination”), by which members of Fidus Investment Advisors LLC and Fidus Partners, LLC (“Partners”) contributed all of their respective membership interest in Fidus Investment Advisors LLC and Partners to a newly formed limited liability company, Fidus Group Holdings, LLC (“Holdings”). As a result, Fidus Investment Advisors LLC is a wholly-owned subsidiary of Holdings, which is a newly formed limited liability company organized under the laws of Delaware.</w:t>
      </w:r>
    </w:p>
    <w:p>
      <w:pPr>
        <w:spacing w:after="0" w:line="98"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entered into the Administration Agreement with Fidus Investment Advisors, LLC to provide us with the office facilities and administrative services necessary to conduct day-to-day operations. See Note 5 to our consolidated financial statements.</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entered into a license agreement with Fidus Partners, LLC, pursuant to which Fidus Partners, LLC has granted us a non-exclusive, royalty-free license to use the name “Fidus.”</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connection with the IPO and our election to be regulated as a BDC, we applied for and received exemptive relief from the SEC on March 27, 2012 to allow us to take certain actions that would otherwise be prohibited by the 1940 Act, as applicable to BDCs. The relief permits FIC and Fund I, each of which has elected to be treated as a BDC, to operate effectively as one company, specifically allowing them to: (1) engage in certain transactions with each other;</w:t>
      </w:r>
    </w:p>
    <w:p>
      <w:pPr>
        <w:ind w:right="80" w:firstLine="8"/>
        <w:spacing w:after="0" w:line="253"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 in securities in which the other is or proposes to be an investor; (3) file consolidated reports with the Commission; and (4) be subject to modified consolidated asset coverage requirements for senior securities issued by a BDC and its SBIC subsidiary. Fund II has not elected to be treated as a BDC and is not party to this exemptive relief. The fourth exemption described above allows us to exclude any indebtedness guaranteed by the SBA and issued by Fund I from the 200.0% asset coverage requirements applicable to us. Effective September 30, 2014, any SBA debentures issued by Fund II are not considered senior securities for purposes of the 200.0% asset coverage requirements.</w:t>
      </w:r>
    </w:p>
    <w:p>
      <w:pPr>
        <w:spacing w:after="0" w:line="191" w:lineRule="exact"/>
        <w:rPr>
          <w:sz w:val="20"/>
          <w:szCs w:val="20"/>
          <w:color w:val="auto"/>
        </w:rPr>
      </w:pPr>
    </w:p>
    <w:p>
      <w:pPr>
        <w:ind w:right="200" w:firstLine="456"/>
        <w:spacing w:after="0" w:line="270" w:lineRule="auto"/>
        <w:rPr>
          <w:sz w:val="20"/>
          <w:szCs w:val="20"/>
          <w:color w:val="auto"/>
        </w:rPr>
      </w:pPr>
      <w:r>
        <w:rPr>
          <w:rFonts w:ascii="Arial" w:cs="Arial" w:eastAsia="Arial" w:hAnsi="Arial"/>
          <w:sz w:val="17"/>
          <w:szCs w:val="17"/>
          <w:color w:val="auto"/>
        </w:rPr>
        <w:t>While we may co-invest with investment entities managed by our investment advisor or its affiliates, to the extent permitted by the 1940 Act and the rules and regulations thereunder, the 1940 Act imposes significant limits on co-investment. The SEC staff has granted us relief sought in an exemptive application that expands our ability to co-invest in portfolio companies with other funds managed by our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or our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w:t>
      </w:r>
    </w:p>
    <w:p>
      <w:pPr>
        <w:spacing w:after="0" w:line="182" w:lineRule="exact"/>
        <w:rPr>
          <w:sz w:val="20"/>
          <w:szCs w:val="20"/>
          <w:color w:val="auto"/>
        </w:rPr>
      </w:pPr>
    </w:p>
    <w:p>
      <w:pPr>
        <w:jc w:val="both"/>
        <w:ind w:right="100" w:firstLine="456"/>
        <w:spacing w:after="0" w:line="257" w:lineRule="auto"/>
        <w:rPr>
          <w:sz w:val="20"/>
          <w:szCs w:val="20"/>
          <w:color w:val="auto"/>
        </w:rPr>
      </w:pPr>
      <w:r>
        <w:rPr>
          <w:rFonts w:ascii="Arial" w:cs="Arial" w:eastAsia="Arial" w:hAnsi="Arial"/>
          <w:sz w:val="18"/>
          <w:szCs w:val="18"/>
          <w:color w:val="auto"/>
        </w:rPr>
        <w:t>In addition, we, Fund I and our investment advisor have each adopted a joint code of ethics pursuant to Rule 17j-1 under the 1940 Act that governs the conduct of our and our investment advisor’s officers, directors and employees. Additionally, our investment advisor has adopted a code of ethics pursuant to rule 240A-1 under the 1940 Act and in accordance with Rule 17j-1(c). We, and Fund I,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On July 13, 2017, we exited our equity investment in EBL, LLC. We sold our equity for a realized gain of approximately $2.2 million. Concurrently, we invested $10.0 million in subordinated notes and a new common equity investment in EBL, LLC, a lifestyle retailer of urban-inspired footwear, apparel and accessories.</w:t>
      </w:r>
    </w:p>
    <w:p>
      <w:pPr>
        <w:spacing w:after="0" w:line="18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On July 14, 2017, we exited our debt investment in Anatrace Products, LLC. We received payment in full on our subordinated note, including a prepayment penalty.</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On July 18, 2017, we invested $10.2 million in senior secured loans of Tile Redi, LLC, a leading manufacturer and marketer of bathroom products for use in tiled showers. The company serves both “do-it-yourselfers” and commercial end users throughout the US, primarily selling into the home remodeling and renovation end markets.</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 July 21, 2017, we invested $12.8 million in subordinated notes and common equity of Marco Group International OpCo, LLC, a manufacturer and distributor of surface preparation equipment, parts and supplies to industrial contractors primarily in the downstream energy, infrastructure and industrial markets.</w:t>
      </w:r>
    </w:p>
    <w:p>
      <w:pPr>
        <w:spacing w:after="0" w:line="181"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On July 28, 2017, we invested $7.8 million in subordinated notes, preferred equity and common equity of ControlScan, Inc., a leading provider of payments security, managed firewall and managed network solutions and one of the nation’s foremost PCI compliance companies.</w:t>
      </w:r>
    </w:p>
    <w:p>
      <w:pPr>
        <w:spacing w:after="0" w:line="14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On July 31, 2017, the Board declared a regular quarterly dividend of $0.39 per share payable on September 22, 2017 to stockholders of record as of September 8,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subject to financial market risks, including changes in interest rates. Changes in interest rates affect both our cost of funding and the valuation of our investment portfolio. Our risk management systems and procedures are designed to identify and analyze our risk, to set appropriate policies and limits and to continually monitor these risks and limits by means of reliable administrative and information systems and other policies and programs. In the future, our investment income may also be affected by changes in various interest rates, including LIBOR and prime rates, to the extent of any debt investments that include floating interest rates. As of June 30, 2017 and December 31, 2016, two and one debt investments, respectively, bore interest at a variable rate, which represented $15.8 million and $8.2 million of our portfolio on a fair value basis, respectively, and the remainder of our debt portfolio was comprised entirely of fixed rate investments. Assuming that the consolidated statements of assets and liabilities as of June 30, 2017 and December 31, 2016 were to remain constant, a hypothetical 100 basis point change in interest rates would not have a material effect on our level of interest income from debt investments. Our pooled SBA debentures bear interest at fixed rates. Our Credit Facility bears interest, subject to our election, on a per annum basis equal to (i) the alternate base rate plus 2.5% or (ii) the applicable LIBOR, which varies depending on the period of the borrowing under the Credit Facility, plus 3.5%. The alternate base rate is equal to the greater of (i) prime rate, (ii) the federal funds rate plus 0.5% or (iii) the three-month LIBOR plus 1.0%.</w:t>
      </w:r>
    </w:p>
    <w:p>
      <w:pPr>
        <w:spacing w:after="0" w:line="173"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second quarter of 2017 that have materially affected, or are reasonably likely to materially affect, our internal control over financial reporting.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and our investment advisor is not, currently subject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other information set forth in this report, you should carefully consider the “Risk Factors” discussed in our Form 10-K for the year ended December 31, 2016 and filed with the SEC on March 2, 2017, which are incorporated herein by reference. These Risk Factors could materially affect our business, financial condition and/or operating results. Additional risks and uncertainties not currently known to us or that we currently deem to be immaterial also may materially affect our business, financial condition and/or operating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an open market stock repurchase program (the “Program”) under which we may acquire up to $5.0 million of our outstanding common stock. Under the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November 1, 2016, the Board extended the Program through December 31, 2017, or until the approved dollar amount has been used to repurchase shares. The Program does not require us to repurchase any specific number of shares and the Company cannot assure that any shares will be repurchased under the Program. The Program may be suspended, extended, modified or discontinued at any time. We did not make any repurchases of common stock during the three or six months ended June 30, 2017 or 2016.</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r>
        <w:rPr>
          <w:rFonts w:ascii="Arial" w:cs="Arial" w:eastAsia="Arial" w:hAnsi="Arial"/>
          <w:sz w:val="18"/>
          <w:szCs w:val="18"/>
          <w:b w:val="1"/>
          <w:bCs w:val="1"/>
          <w:i w:val="1"/>
          <w:i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560" w:type="dxa"/>
            <w:vAlign w:val="bottom"/>
          </w:tcPr>
          <w:p>
            <w:pPr>
              <w:spacing w:after="0"/>
              <w:rPr>
                <w:sz w:val="16"/>
                <w:szCs w:val="16"/>
                <w:color w:val="auto"/>
              </w:rPr>
            </w:pPr>
          </w:p>
        </w:tc>
        <w:tc>
          <w:tcPr>
            <w:tcW w:w="10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182"/>
        </w:trPr>
        <w:tc>
          <w:tcPr>
            <w:tcW w:w="20" w:type="dxa"/>
            <w:vAlign w:val="bottom"/>
          </w:tcPr>
          <w:p>
            <w:pPr>
              <w:spacing w:after="0"/>
              <w:rPr>
                <w:sz w:val="15"/>
                <w:szCs w:val="15"/>
                <w:color w:val="auto"/>
              </w:rPr>
            </w:pPr>
          </w:p>
        </w:tc>
        <w:tc>
          <w:tcPr>
            <w:tcW w:w="5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31.1</w:t>
            </w:r>
          </w:p>
        </w:tc>
        <w:tc>
          <w:tcPr>
            <w:tcW w:w="560" w:type="dxa"/>
            <w:vAlign w:val="bottom"/>
          </w:tcPr>
          <w:p>
            <w:pPr>
              <w:spacing w:after="0"/>
              <w:rPr>
                <w:sz w:val="15"/>
                <w:szCs w:val="15"/>
                <w:color w:val="auto"/>
              </w:rPr>
            </w:pPr>
          </w:p>
        </w:tc>
        <w:tc>
          <w:tcPr>
            <w:tcW w:w="4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Chief</w:t>
            </w:r>
          </w:p>
        </w:tc>
        <w:tc>
          <w:tcPr>
            <w:tcW w:w="9700" w:type="dxa"/>
            <w:vAlign w:val="bottom"/>
          </w:tcPr>
          <w:p>
            <w:pPr>
              <w:jc w:val="right"/>
              <w:spacing w:after="0" w:line="182" w:lineRule="exact"/>
              <w:rPr>
                <w:sz w:val="20"/>
                <w:szCs w:val="20"/>
                <w:color w:val="auto"/>
              </w:rPr>
            </w:pPr>
            <w:r>
              <w:rPr>
                <w:rFonts w:ascii="Arial" w:cs="Arial" w:eastAsia="Arial" w:hAnsi="Arial"/>
                <w:sz w:val="18"/>
                <w:szCs w:val="18"/>
                <w:color w:val="auto"/>
                <w:w w:val="90"/>
              </w:rPr>
              <w:t>Executive Officer Certification Pursuant to Rule 13a-14 of the Securities Exchange Act of 1934, as adopted pursuant to Section 302 of</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the Sarbanes-Oxley Act of 2002.</w:t>
            </w:r>
          </w:p>
        </w:tc>
      </w:tr>
      <w:tr>
        <w:trPr>
          <w:trHeight w:val="310"/>
        </w:trPr>
        <w:tc>
          <w:tcPr>
            <w:tcW w:w="520" w:type="dxa"/>
            <w:vAlign w:val="bottom"/>
            <w:gridSpan w:val="2"/>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1"/>
              </w:rPr>
              <w:t>Chief Financial Officer Certification Pursuant to Rule 13a-14 of the Securities Exchange Act of 1934, as adopted pursuant to Section 302 of</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the Sarbanes-Oxley Act of 2002.</w:t>
            </w:r>
          </w:p>
        </w:tc>
      </w:tr>
      <w:tr>
        <w:trPr>
          <w:trHeight w:val="310"/>
        </w:trPr>
        <w:tc>
          <w:tcPr>
            <w:tcW w:w="520" w:type="dxa"/>
            <w:vAlign w:val="bottom"/>
            <w:gridSpan w:val="2"/>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89"/>
              </w:rPr>
              <w:t>Certification pursuant to Section 1350, Chapter 63 of Title 18, United States Code, as adopted pursuant to Section 906 of the Sarbanes-Oxley</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Act of 2002.</w:t>
            </w: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720" w:type="dxa"/>
            <w:vAlign w:val="bottom"/>
            <w:gridSpan w:val="3"/>
          </w:tcPr>
          <w:p>
            <w:pPr>
              <w:jc w:val="right"/>
              <w:ind w:right="5350"/>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2017</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FIDUS INVESTMENT CORPORATION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14605</wp:posOffset>
            </wp:positionV>
            <wp:extent cx="34048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14605</wp:posOffset>
            </wp:positionV>
            <wp:extent cx="34048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(Principal Financial and Accounting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56</w:t>
      </w:r>
    </w:p>
    <w:p>
      <w:pPr>
        <w:sectPr>
          <w:pgSz w:w="11900" w:h="16838" w:orient="portrait"/>
          <w:cols w:equalWidth="0" w:num="2">
            <w:col w:w="4900" w:space="720"/>
            <w:col w:w="5600"/>
          </w:cols>
          <w:pgMar w:left="240" w:top="459" w:right="4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00" w:type="dxa"/>
            <w:vAlign w:val="bottom"/>
          </w:tcPr>
          <w:p>
            <w:pPr>
              <w:jc w:val="center"/>
              <w:ind w:right="125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5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182"/>
        </w:trPr>
        <w:tc>
          <w:tcPr>
            <w:tcW w:w="20" w:type="dxa"/>
            <w:vAlign w:val="bottom"/>
          </w:tcPr>
          <w:p>
            <w:pPr>
              <w:spacing w:after="0"/>
              <w:rPr>
                <w:sz w:val="15"/>
                <w:szCs w:val="15"/>
                <w:color w:val="auto"/>
              </w:rPr>
            </w:pPr>
          </w:p>
        </w:tc>
        <w:tc>
          <w:tcPr>
            <w:tcW w:w="5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31.1</w:t>
            </w:r>
          </w:p>
        </w:tc>
        <w:tc>
          <w:tcPr>
            <w:tcW w:w="560" w:type="dxa"/>
            <w:vAlign w:val="bottom"/>
          </w:tcPr>
          <w:p>
            <w:pPr>
              <w:spacing w:after="0"/>
              <w:rPr>
                <w:sz w:val="15"/>
                <w:szCs w:val="15"/>
                <w:color w:val="auto"/>
              </w:rPr>
            </w:pPr>
          </w:p>
        </w:tc>
        <w:tc>
          <w:tcPr>
            <w:tcW w:w="4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Chief</w:t>
            </w:r>
          </w:p>
        </w:tc>
        <w:tc>
          <w:tcPr>
            <w:tcW w:w="9700" w:type="dxa"/>
            <w:vAlign w:val="bottom"/>
          </w:tcPr>
          <w:p>
            <w:pPr>
              <w:spacing w:after="0" w:line="182" w:lineRule="exact"/>
              <w:rPr>
                <w:sz w:val="20"/>
                <w:szCs w:val="20"/>
                <w:color w:val="auto"/>
              </w:rPr>
            </w:pPr>
            <w:r>
              <w:rPr>
                <w:rFonts w:ascii="Arial" w:cs="Arial" w:eastAsia="Arial" w:hAnsi="Arial"/>
                <w:sz w:val="18"/>
                <w:szCs w:val="18"/>
                <w:color w:val="auto"/>
                <w:w w:val="90"/>
              </w:rPr>
              <w:t>Executive Officer Certification Pursuant to Rule 13a-14 of the Securities Exchange Act of 1934, as adopted pursuant to Section 302 of</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the Sarbanes-Oxley Act of 2002.</w:t>
            </w:r>
          </w:p>
        </w:tc>
      </w:tr>
      <w:tr>
        <w:trPr>
          <w:trHeight w:val="310"/>
        </w:trPr>
        <w:tc>
          <w:tcPr>
            <w:tcW w:w="520" w:type="dxa"/>
            <w:vAlign w:val="bottom"/>
            <w:gridSpan w:val="2"/>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1"/>
              </w:rPr>
              <w:t>Chief Financial Officer Certification Pursuant to Rule 13a-14 of the Securities Exchange Act of 1934, as adopted pursuant to Section 302 of</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the Sarbanes-Oxley Act of 2002.</w:t>
            </w:r>
          </w:p>
        </w:tc>
      </w:tr>
      <w:tr>
        <w:trPr>
          <w:trHeight w:val="310"/>
        </w:trPr>
        <w:tc>
          <w:tcPr>
            <w:tcW w:w="520" w:type="dxa"/>
            <w:vAlign w:val="bottom"/>
            <w:gridSpan w:val="2"/>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89"/>
              </w:rPr>
              <w:t>Certification pursuant to Section 1350, Chapter 63 of Title 18, United States Code, as adopted pursuant to Section 906 of the Sarbanes-Oxley</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Act of 2002.</w:t>
            </w: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720" w:type="dxa"/>
            <w:vAlign w:val="bottom"/>
            <w:gridSpan w:val="3"/>
          </w:tcPr>
          <w:p>
            <w:pPr>
              <w:jc w:val="right"/>
              <w:ind w:right="5350"/>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240"/>
          </w:cols>
          <w:pgMar w:left="240" w:top="459" w:right="41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 Chief Executive Officer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Edward H. Ross, as Chief Executive Officer of Fidus Investment Corporation, certify that:</w:t>
      </w:r>
    </w:p>
    <w:p>
      <w:pPr>
        <w:spacing w:after="0" w:line="131"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Fidus Investment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 Chief Financial Officer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Shelby E. Sherard, as Chief Financial Officer of Fidus Investment Corporation, certify that:</w:t>
      </w:r>
    </w:p>
    <w:p>
      <w:pPr>
        <w:spacing w:after="0" w:line="13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Fidus Investment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connection with the Quarterly Report on Form 10-Q of Fidus Investment Corporation (the “Company”) for the quarterly period ended June 30, 2017, as filed with the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spacing w:after="0" w:line="92"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August 3, 2017</w:t>
      </w:r>
      <w:r>
        <w:rPr>
          <w:sz w:val="20"/>
          <w:szCs w:val="20"/>
          <w:color w:val="auto"/>
        </w:rPr>
        <w:tab/>
      </w:r>
      <w:r>
        <w:rPr>
          <w:rFonts w:ascii="Arial" w:cs="Arial" w:eastAsia="Arial" w:hAnsi="Arial"/>
          <w:sz w:val="16"/>
          <w:szCs w:val="16"/>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lowerLetter"/>
      <w:start w:val="1"/>
    </w:lvl>
  </w:abstractNum>
  <w:abstractNum w:abstractNumId="3">
    <w:nsid w:val="6B68079A"/>
    <w:multiLevelType w:val="hybridMultilevel"/>
    <w:lvl w:ilvl="0">
      <w:lvlJc w:val="left"/>
      <w:lvlText w:val="(%1)"/>
      <w:numFmt w:val="lowerLetter"/>
      <w:start w:val="9"/>
    </w:lvl>
  </w:abstractNum>
  <w:abstractNum w:abstractNumId="4">
    <w:nsid w:val="4E6AFB66"/>
    <w:multiLevelType w:val="hybridMultilevel"/>
    <w:lvl w:ilvl="0">
      <w:lvlJc w:val="left"/>
      <w:lvlText w:val="(%1)"/>
      <w:numFmt w:val="lowerLetter"/>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4"/>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3"/>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2"/>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2019-12-29T05:34:15Z</dcterms:created>
  <dcterms:modified xsi:type="dcterms:W3CDTF">2019-12-29T05:34:15Z</dcterms:modified>
</cp:coreProperties>
</file>