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180"/>
        <w:jc w:val="center"/>
        <w:rPr/>
      </w:pPr>
      <w:bookmarkStart w:id="0" w:name="fdus-20230331.htm"/>
      <w:bookmarkStart w:id="1" w:name="ksfdus20230331"/>
      <w:bookmarkEnd w:id="0"/>
      <w:bookmarkEnd w:id="1"/>
      <w:r>
        <w:rPr/>
        <w:t> </w:t>
      </w:r>
    </w:p>
    <w:p>
      <w:pPr>
        <w:pStyle w:val="TextBody"/>
        <w:spacing w:before="0" w:after="0"/>
        <w:jc w:val="center"/>
        <w:rPr>
          <w:rFonts w:ascii="Times New Roman;serif" w:hAnsi="Times New Roman;serif"/>
          <w:b/>
          <w:sz w:val="28"/>
        </w:rPr>
      </w:pPr>
      <w:r>
        <w:rPr>
          <w:rFonts w:ascii="Times New Roman;serif" w:hAnsi="Times New Roman;serif"/>
          <w:b/>
          <w:sz w:val="28"/>
        </w:rPr>
        <w:t>UNITED STATES</w:t>
      </w:r>
    </w:p>
    <w:p>
      <w:pPr>
        <w:pStyle w:val="TextBody"/>
        <w:spacing w:before="0" w:after="0"/>
        <w:jc w:val="center"/>
        <w:rPr>
          <w:rFonts w:ascii="Times New Roman;serif" w:hAnsi="Times New Roman;serif"/>
          <w:b/>
          <w:sz w:val="28"/>
        </w:rPr>
      </w:pPr>
      <w:r>
        <w:rPr>
          <w:rFonts w:ascii="Times New Roman;serif" w:hAnsi="Times New Roman;serif"/>
          <w:b/>
          <w:sz w:val="28"/>
        </w:rPr>
        <w:t>SECURITIES AND EXCHANGE COMMISSION</w:t>
      </w:r>
    </w:p>
    <w:p>
      <w:pPr>
        <w:pStyle w:val="TextBody"/>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spacing w:before="0" w:after="120"/>
        <w:jc w:val="center"/>
        <w:rPr>
          <w:rFonts w:ascii="Times New Roman" w:hAnsi="Times New Roman"/>
          <w:sz w:val="20"/>
        </w:rPr>
      </w:pPr>
      <w:r>
        <w:rPr>
          <w:rFonts w:ascii="Times New Roman;serif" w:hAnsi="Times New Roman;serif"/>
          <w:b w:val="false"/>
          <w:sz w:val="20"/>
        </w:rPr>
        <w:t>________________</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sz w:val="36"/>
        </w:rPr>
      </w:pPr>
      <w:r>
        <w:rPr>
          <w:rFonts w:ascii="Times New Roman;serif" w:hAnsi="Times New Roman;serif"/>
          <w:b/>
          <w:sz w:val="36"/>
        </w:rPr>
        <w:t>FORM 10-Q</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(Mark One)</w:t>
      </w:r>
    </w:p>
    <w:p>
      <w:pPr>
        <w:pStyle w:val="TextBody"/>
        <w:spacing w:before="60" w:after="0"/>
        <w:jc w:val="center"/>
        <w:rPr/>
      </w:pPr>
      <w:r>
        <w:rPr/>
        <w:t xml:space="preserve">☑ </w:t>
      </w:r>
      <w:r>
        <w:rPr>
          <w:rFonts w:ascii="Times New Roman;serif" w:hAnsi="Times New Roman;serif"/>
          <w:b/>
          <w:sz w:val="20"/>
        </w:rPr>
        <w:t>QUARTERLY REPORT PURSUANT TO SECTION 13 OR 15(d) OF THE SECURITIES</w:t>
      </w:r>
      <w:r>
        <w:rPr>
          <w:rFonts w:ascii="Times New Roman" w:hAnsi="Times New Roman"/>
          <w:sz w:val="20"/>
        </w:rPr>
        <w:t xml:space="preserve"> </w:t>
      </w:r>
      <w:r>
        <w:rPr>
          <w:rFonts w:ascii="Times New Roman;serif" w:hAnsi="Times New Roman;serif"/>
          <w:b/>
          <w:sz w:val="20"/>
        </w:rPr>
        <w:t>EXCHANGE ACT OF 1934</w:t>
      </w:r>
    </w:p>
    <w:p>
      <w:pPr>
        <w:pStyle w:val="TextBody"/>
        <w:spacing w:before="6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spacing w:before="60" w:after="0"/>
        <w:jc w:val="center"/>
        <w:rPr>
          <w:rFonts w:ascii="Times New Roman;serif" w:hAnsi="Times New Roman;serif"/>
          <w:b/>
          <w:sz w:val="20"/>
        </w:rPr>
      </w:pPr>
      <w:r>
        <w:rPr>
          <w:rFonts w:ascii="Times New Roman;serif" w:hAnsi="Times New Roman;serif"/>
          <w:b/>
          <w:sz w:val="20"/>
        </w:rPr>
        <w:t>OR</w:t>
      </w:r>
    </w:p>
    <w:p>
      <w:pPr>
        <w:pStyle w:val="TextBody"/>
        <w:spacing w:before="60" w:after="0"/>
        <w:jc w:val="center"/>
        <w:rPr/>
      </w:pPr>
      <w:r>
        <w:rPr/>
        <w:t xml:space="preserve">☐ </w:t>
      </w:r>
      <w:r>
        <w:rPr>
          <w:rFonts w:ascii="Times New Roman;serif" w:hAnsi="Times New Roman;serif"/>
          <w:b/>
          <w:sz w:val="20"/>
        </w:rPr>
        <w:t>TRANSITION REPORT PURSUANT TO SECTION 13 OR 15(d) OF THE SECURITIES</w:t>
      </w:r>
      <w:r>
        <w:rPr>
          <w:rFonts w:ascii="Times New Roman" w:hAnsi="Times New Roman"/>
          <w:sz w:val="20"/>
        </w:rPr>
        <w:t xml:space="preserve"> </w:t>
      </w:r>
      <w:r>
        <w:rPr>
          <w:rFonts w:ascii="Times New Roman;serif" w:hAnsi="Times New Roman;serif"/>
          <w:b/>
          <w:sz w:val="20"/>
        </w:rPr>
        <w:t>EXCHANGE ACT OF 1934</w:t>
      </w:r>
    </w:p>
    <w:p>
      <w:pPr>
        <w:pStyle w:val="TextBody"/>
        <w:spacing w:before="60" w:after="0"/>
        <w:jc w:val="center"/>
        <w:rPr>
          <w:rFonts w:ascii="Times New Roman" w:hAnsi="Times New Roman"/>
          <w:sz w:val="20"/>
        </w:rPr>
      </w:pPr>
      <w:r>
        <w:rPr>
          <w:rFonts w:ascii="Times New Roman;serif" w:hAnsi="Times New Roman;serif"/>
          <w:b/>
          <w:sz w:val="20"/>
        </w:rPr>
        <w:t>For the transition period from to</w:t>
      </w:r>
      <w:r>
        <w:rPr>
          <w:rFonts w:ascii="Times New Roman" w:hAnsi="Times New Roman"/>
          <w:sz w:val="20"/>
        </w:rPr>
        <w:t xml:space="preserve"> </w:t>
      </w:r>
    </w:p>
    <w:p>
      <w:pPr>
        <w:pStyle w:val="TextBody"/>
        <w:spacing w:before="60" w:after="0"/>
        <w:jc w:val="center"/>
        <w:rPr>
          <w:rFonts w:ascii="Times New Roman;serif" w:hAnsi="Times New Roman;serif"/>
          <w:b/>
          <w:sz w:val="20"/>
        </w:rPr>
      </w:pPr>
      <w:r>
        <w:rPr>
          <w:rFonts w:ascii="Times New Roman;serif" w:hAnsi="Times New Roman;serif"/>
          <w:b/>
          <w:sz w:val="20"/>
        </w:rPr>
        <w:t>Commission file number 814-00861</w:t>
      </w:r>
    </w:p>
    <w:p>
      <w:pPr>
        <w:pStyle w:val="TextBody"/>
        <w:spacing w:before="0" w:after="0"/>
        <w:jc w:val="left"/>
        <w:rPr/>
      </w:pPr>
      <w:r>
        <w:rPr/>
        <w:t> </w:t>
      </w:r>
    </w:p>
    <w:p>
      <w:pPr>
        <w:pStyle w:val="TextBody"/>
        <w:spacing w:before="0" w:after="0"/>
        <w:jc w:val="center"/>
        <w:rPr>
          <w:rFonts w:ascii="Times New Roman;serif" w:hAnsi="Times New Roman;serif"/>
          <w:b/>
          <w:sz w:val="48"/>
        </w:rPr>
      </w:pPr>
      <w:r>
        <w:rPr>
          <w:rFonts w:ascii="Times New Roman;serif" w:hAnsi="Times New Roman;serif"/>
          <w:b/>
          <w:sz w:val="48"/>
        </w:rPr>
        <w:t>Fidus Investment Corporation</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(Exact Name of Registrant as Specified in its Charter)</w:t>
      </w:r>
    </w:p>
    <w:p>
      <w:pPr>
        <w:pStyle w:val="TextBody"/>
        <w:spacing w:before="0" w:after="0"/>
        <w:jc w:val="center"/>
        <w:rPr/>
      </w:pPr>
      <w:r>
        <w:rPr/>
        <w:t> </w:t>
      </w:r>
    </w:p>
    <w:tbl>
      <w:tblPr>
        <w:tblW w:w="4592" w:type="dxa"/>
        <w:jc w:val="left"/>
        <w:tblInd w:w="0" w:type="dxa"/>
        <w:tblCellMar>
          <w:top w:w="28" w:type="dxa"/>
          <w:left w:w="28" w:type="dxa"/>
          <w:bottom w:w="28" w:type="dxa"/>
          <w:right w:w="28" w:type="dxa"/>
        </w:tblCellMar>
      </w:tblPr>
      <w:tblGrid>
        <w:gridCol w:w="3106"/>
        <w:gridCol w:w="1486"/>
      </w:tblGrid>
      <w:tr>
        <w:trPr/>
        <w:tc>
          <w:tcPr>
            <w:tcW w:w="3106" w:type="dxa"/>
            <w:tcBorders/>
            <w:shd w:fill="auto" w:val="clear"/>
            <w:vAlign w:val="center"/>
          </w:tcPr>
          <w:p>
            <w:pPr>
              <w:pStyle w:val="TableContents"/>
              <w:spacing w:before="0" w:after="283"/>
              <w:rPr>
                <w:sz w:val="4"/>
                <w:szCs w:val="4"/>
              </w:rPr>
            </w:pPr>
            <w:r>
              <w:rPr>
                <w:sz w:val="4"/>
                <w:szCs w:val="4"/>
              </w:rPr>
            </w:r>
          </w:p>
        </w:tc>
        <w:tc>
          <w:tcPr>
            <w:tcW w:w="1486" w:type="dxa"/>
            <w:tcBorders/>
            <w:shd w:fill="auto" w:val="clear"/>
            <w:vAlign w:val="center"/>
          </w:tcPr>
          <w:p>
            <w:pPr>
              <w:pStyle w:val="TableContents"/>
              <w:spacing w:before="0" w:after="283"/>
              <w:rPr>
                <w:sz w:val="4"/>
                <w:szCs w:val="4"/>
              </w:rPr>
            </w:pPr>
            <w:r>
              <w:rPr>
                <w:sz w:val="4"/>
                <w:szCs w:val="4"/>
              </w:rPr>
            </w:r>
          </w:p>
        </w:tc>
      </w:tr>
      <w:tr>
        <w:trPr/>
        <w:tc>
          <w:tcPr>
            <w:tcW w:w="31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Maryland</w:t>
            </w:r>
          </w:p>
        </w:tc>
        <w:tc>
          <w:tcPr>
            <w:tcW w:w="14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27-5017321</w:t>
            </w:r>
          </w:p>
        </w:tc>
      </w:tr>
      <w:tr>
        <w:trPr/>
        <w:tc>
          <w:tcPr>
            <w:tcW w:w="31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(State or Other Jurisdiction of</w:t>
            </w:r>
            <w:r>
              <w:rPr>
                <w:rFonts w:ascii="Times New Roman" w:hAnsi="Times New Roman"/>
                <w:sz w:val="16"/>
              </w:rPr>
              <w:t xml:space="preserve"> </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Incorporation or Organization)</w:t>
            </w:r>
          </w:p>
        </w:tc>
        <w:tc>
          <w:tcPr>
            <w:tcW w:w="14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(I.R.S. Employer</w:t>
            </w:r>
            <w:r>
              <w:rPr>
                <w:rFonts w:ascii="Times New Roman" w:hAnsi="Times New Roman"/>
                <w:sz w:val="16"/>
              </w:rPr>
              <w:t xml:space="preserve"> </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Identification No.)</w:t>
            </w:r>
          </w:p>
        </w:tc>
      </w:tr>
      <w:tr>
        <w:trPr/>
        <w:tc>
          <w:tcPr>
            <w:tcW w:w="310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8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r>
      <w:tr>
        <w:trPr/>
        <w:tc>
          <w:tcPr>
            <w:tcW w:w="31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1603 Orrington Avenue, Suite 1005</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Evanston, Illinois</w:t>
            </w:r>
          </w:p>
        </w:tc>
        <w:tc>
          <w:tcPr>
            <w:tcW w:w="148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60201</w:t>
            </w:r>
          </w:p>
        </w:tc>
      </w:tr>
      <w:tr>
        <w:trPr/>
        <w:tc>
          <w:tcPr>
            <w:tcW w:w="310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(Address of Principal Executive Offices)</w:t>
            </w:r>
          </w:p>
        </w:tc>
        <w:tc>
          <w:tcPr>
            <w:tcW w:w="148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(Zip Code)</w:t>
            </w:r>
          </w:p>
        </w:tc>
      </w:tr>
    </w:tbl>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(847) 859-3940</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 xml:space="preserve">(Registrant’s telephone number, including area code) </w:t>
      </w:r>
    </w:p>
    <w:p>
      <w:pPr>
        <w:pStyle w:val="TextBody"/>
        <w:spacing w:before="0" w:after="0"/>
        <w:jc w:val="center"/>
        <w:rPr>
          <w:rFonts w:ascii="Times New Roman" w:hAnsi="Times New Roman"/>
          <w:sz w:val="20"/>
        </w:rPr>
      </w:pPr>
      <w:r>
        <w:rPr>
          <w:rFonts w:ascii="Times New Roman;serif" w:hAnsi="Times New Roman;serif"/>
          <w:b w:val="false"/>
          <w:sz w:val="20"/>
        </w:rPr>
        <w:t>________________</w:t>
      </w:r>
      <w:r>
        <w:rPr>
          <w:rFonts w:ascii="Times New Roman" w:hAnsi="Times New Roman"/>
          <w:sz w:val="20"/>
        </w:rPr>
        <w:t xml:space="preserve"> </w:t>
      </w:r>
    </w:p>
    <w:p>
      <w:pPr>
        <w:pStyle w:val="TextBody"/>
        <w:spacing w:before="60" w:after="0"/>
        <w:jc w:val="center"/>
        <w:rPr>
          <w:rFonts w:ascii="Times New Roman;serif" w:hAnsi="Times New Roman;serif"/>
          <w:b/>
          <w:sz w:val="20"/>
        </w:rPr>
      </w:pPr>
      <w:r>
        <w:rPr>
          <w:rFonts w:ascii="Times New Roman;serif" w:hAnsi="Times New Roman;serif"/>
          <w:b/>
          <w:sz w:val="20"/>
        </w:rPr>
        <w:t>n/a</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(Former name, former address and former fiscal year, if changed since last report)</w:t>
      </w:r>
    </w:p>
    <w:p>
      <w:pPr>
        <w:pStyle w:val="TextBody"/>
        <w:spacing w:before="0" w:after="0"/>
        <w:jc w:val="center"/>
        <w:rPr>
          <w:rFonts w:ascii="Times New Roman;serif" w:hAnsi="Times New Roman;serif"/>
          <w:b/>
          <w:sz w:val="20"/>
        </w:rPr>
      </w:pPr>
      <w:r>
        <w:rPr>
          <w:rFonts w:ascii="Times New Roman;serif" w:hAnsi="Times New Roman;serif"/>
          <w:b/>
          <w:sz w:val="20"/>
        </w:rPr>
        <w:t>_______________</w:t>
      </w:r>
    </w:p>
    <w:p>
      <w:pPr>
        <w:pStyle w:val="TextBody"/>
        <w:spacing w:before="60" w:after="0"/>
        <w:jc w:val="center"/>
        <w:rPr>
          <w:rFonts w:ascii="Times New Roman;serif" w:hAnsi="Times New Roman;serif"/>
          <w:b/>
          <w:sz w:val="20"/>
        </w:rPr>
      </w:pPr>
      <w:r>
        <w:rPr>
          <w:rFonts w:ascii="Times New Roman;serif" w:hAnsi="Times New Roman;serif"/>
          <w:b/>
          <w:sz w:val="20"/>
        </w:rPr>
        <w:t>Securities registered pursuant to Section 12(b) of the Act:</w:t>
      </w:r>
    </w:p>
    <w:p>
      <w:pPr>
        <w:pStyle w:val="TextBody"/>
        <w:spacing w:before="0" w:after="0"/>
        <w:jc w:val="center"/>
        <w:rPr/>
      </w:pPr>
      <w:r>
        <w:rPr/>
        <w:t> </w:t>
      </w:r>
    </w:p>
    <w:tbl>
      <w:tblPr>
        <w:tblW w:w="8193" w:type="dxa"/>
        <w:jc w:val="left"/>
        <w:tblInd w:w="0" w:type="dxa"/>
        <w:tblCellMar>
          <w:top w:w="28" w:type="dxa"/>
          <w:left w:w="28" w:type="dxa"/>
          <w:bottom w:w="28" w:type="dxa"/>
          <w:right w:w="28" w:type="dxa"/>
        </w:tblCellMar>
      </w:tblPr>
      <w:tblGrid>
        <w:gridCol w:w="3601"/>
        <w:gridCol w:w="1276"/>
        <w:gridCol w:w="3316"/>
      </w:tblGrid>
      <w:tr>
        <w:trPr/>
        <w:tc>
          <w:tcPr>
            <w:tcW w:w="3601"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3601" w:type="dxa"/>
            <w:tcBorders>
              <w:top w:val="single" w:sz="4" w:space="0" w:color="000000"/>
              <w:left w:val="single" w:sz="4" w:space="0" w:color="000000"/>
              <w:bottom w:val="single" w:sz="4" w:space="0" w:color="000000"/>
              <w:right w:val="single" w:sz="4" w:space="0" w:color="000000"/>
            </w:tcBorders>
            <w:shd w:fill="auto" w:val="clear"/>
            <w:tcMar>
              <w:left w:w="108" w:type="dxa"/>
              <w:right w:w="108" w:type="dxa"/>
            </w:tcMar>
            <w:vAlign w:val="center"/>
          </w:tcPr>
          <w:p>
            <w:pPr>
              <w:pStyle w:val="TableContents"/>
              <w:spacing w:before="9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276"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90" w:after="0"/>
              <w:ind w:left="0" w:right="0" w:hanging="0"/>
              <w:jc w:val="center"/>
              <w:rPr>
                <w:rFonts w:ascii="Times New Roman;serif" w:hAnsi="Times New Roman;serif"/>
                <w:b/>
                <w:sz w:val="16"/>
              </w:rPr>
            </w:pPr>
            <w:r>
              <w:rPr>
                <w:rFonts w:ascii="Times New Roman;serif" w:hAnsi="Times New Roman;serif"/>
                <w:b/>
                <w:sz w:val="16"/>
              </w:rPr>
              <w:t>Trading Symbol</w:t>
            </w:r>
          </w:p>
        </w:tc>
        <w:tc>
          <w:tcPr>
            <w:tcW w:w="3316" w:type="dxa"/>
            <w:tcBorders>
              <w:top w:val="single" w:sz="4" w:space="0" w:color="000000"/>
              <w:bottom w:val="single" w:sz="4" w:space="0" w:color="000000"/>
              <w:right w:val="single" w:sz="4" w:space="0" w:color="000000"/>
            </w:tcBorders>
            <w:shd w:fill="auto" w:val="clear"/>
            <w:tcMar>
              <w:left w:w="0" w:type="dxa"/>
              <w:right w:w="108" w:type="dxa"/>
            </w:tcMar>
            <w:vAlign w:val="center"/>
          </w:tcPr>
          <w:p>
            <w:pPr>
              <w:pStyle w:val="TableContents"/>
              <w:spacing w:before="9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601" w:type="dxa"/>
            <w:tcBorders>
              <w:left w:val="single" w:sz="4" w:space="0" w:color="000000"/>
              <w:bottom w:val="single" w:sz="4" w:space="0" w:color="000000"/>
              <w:right w:val="single" w:sz="4" w:space="0" w:color="000000"/>
            </w:tcBorders>
            <w:shd w:fill="auto" w:val="clear"/>
            <w:tcMar>
              <w:top w:w="0" w:type="dxa"/>
              <w:left w:w="108" w:type="dxa"/>
              <w:right w:w="108" w:type="dxa"/>
            </w:tcMar>
            <w:vAlign w:val="center"/>
          </w:tcPr>
          <w:p>
            <w:pPr>
              <w:pStyle w:val="TableContents"/>
              <w:spacing w:before="90" w:after="0"/>
              <w:ind w:left="0" w:right="0" w:hanging="0"/>
              <w:jc w:val="center"/>
              <w:rPr>
                <w:rFonts w:ascii="Times New Roman;serif" w:hAnsi="Times New Roman;serif"/>
                <w:b w:val="false"/>
                <w:sz w:val="20"/>
              </w:rPr>
            </w:pPr>
            <w:r>
              <w:rPr>
                <w:rFonts w:ascii="Times New Roman;serif" w:hAnsi="Times New Roman;serif"/>
                <w:b w:val="false"/>
                <w:sz w:val="20"/>
              </w:rPr>
              <w:t>Common Stock, par value $0.001 per share</w:t>
            </w:r>
          </w:p>
        </w:tc>
        <w:tc>
          <w:tcPr>
            <w:tcW w:w="127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90" w:after="0"/>
              <w:ind w:left="0" w:right="0" w:hanging="0"/>
              <w:jc w:val="center"/>
              <w:rPr>
                <w:rFonts w:ascii="Times New Roman;serif" w:hAnsi="Times New Roman;serif"/>
                <w:b w:val="false"/>
                <w:sz w:val="20"/>
              </w:rPr>
            </w:pPr>
            <w:r>
              <w:rPr>
                <w:rFonts w:ascii="Times New Roman;serif" w:hAnsi="Times New Roman;serif"/>
                <w:b w:val="false"/>
                <w:sz w:val="20"/>
              </w:rPr>
              <w:t>FDUS</w:t>
            </w:r>
          </w:p>
        </w:tc>
        <w:tc>
          <w:tcPr>
            <w:tcW w:w="3316" w:type="dxa"/>
            <w:tcBorders>
              <w:bottom w:val="single" w:sz="4" w:space="0" w:color="000000"/>
              <w:right w:val="single" w:sz="4" w:space="0" w:color="000000"/>
            </w:tcBorders>
            <w:shd w:fill="auto" w:val="clear"/>
            <w:tcMar>
              <w:top w:w="0" w:type="dxa"/>
              <w:left w:w="0" w:type="dxa"/>
              <w:right w:w="108" w:type="dxa"/>
            </w:tcMar>
            <w:vAlign w:val="center"/>
          </w:tcPr>
          <w:p>
            <w:pPr>
              <w:pStyle w:val="TableContents"/>
              <w:spacing w:before="90" w:after="0"/>
              <w:ind w:left="0" w:right="0" w:hanging="0"/>
              <w:jc w:val="center"/>
              <w:rPr>
                <w:rFonts w:ascii="Times New Roman" w:hAnsi="Times New Roman"/>
                <w:sz w:val="20"/>
              </w:rPr>
            </w:pPr>
            <w:r>
              <w:rPr>
                <w:rFonts w:ascii="Times New Roman;serif" w:hAnsi="Times New Roman;serif"/>
                <w:b w:val="false"/>
                <w:sz w:val="20"/>
              </w:rPr>
              <w:t>The NASDAQ</w:t>
            </w:r>
            <w:r>
              <w:rPr>
                <w:rFonts w:ascii="Times New Roman" w:hAnsi="Times New Roman"/>
                <w:sz w:val="20"/>
              </w:rPr>
              <w:t> </w:t>
            </w:r>
            <w:r>
              <w:rPr>
                <w:rFonts w:ascii="Times New Roman;serif" w:hAnsi="Times New Roman;serif"/>
                <w:b w:val="false"/>
                <w:sz w:val="20"/>
              </w:rPr>
              <w:t>Global Select Market</w:t>
            </w:r>
          </w:p>
        </w:tc>
      </w:tr>
    </w:tbl>
    <w:p>
      <w:pPr>
        <w:pStyle w:val="TextBody"/>
        <w:spacing w:before="0" w:after="0"/>
        <w:jc w:val="center"/>
        <w:rPr/>
      </w:pPr>
      <w:r>
        <w:rPr/>
        <w:t> </w:t>
      </w:r>
    </w:p>
    <w:p>
      <w:pPr>
        <w:pStyle w:val="TextBody"/>
        <w:spacing w:before="0" w:after="0"/>
        <w:jc w:val="left"/>
        <w:rPr>
          <w:rFonts w:ascii="Times New Roman" w:hAnsi="Times New Roman"/>
          <w:sz w:val="20"/>
        </w:rPr>
      </w:pPr>
      <w:r>
        <w:rPr>
          <w:rFonts w:ascii="Times New Roman;serif" w:hAnsi="Times New Roman;serif"/>
          <w:b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20"/>
        </w:rPr>
        <w:t>No ☐</w:t>
      </w:r>
    </w:p>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rFonts w:ascii="Times New Roman" w:hAnsi="Times New Roman"/>
          <w:sz w:val="20"/>
        </w:rPr>
        <w:t xml:space="preserve"> </w:t>
      </w:r>
      <w:r>
        <w:rPr>
          <w:rFonts w:ascii="Times New Roman;serif" w:hAnsi="Times New Roman;serif"/>
          <w:b w:val="false"/>
          <w:sz w:val="20"/>
        </w:rPr>
        <w:t>Yes</w:t>
      </w:r>
      <w:r>
        <w:rPr>
          <w:rFonts w:ascii="Times New Roman" w:hAnsi="Times New Roman"/>
          <w:sz w:val="20"/>
        </w:rPr>
        <w:t xml:space="preserve"> ☑ </w:t>
      </w:r>
      <w:r>
        <w:rPr>
          <w:rFonts w:ascii="Times New Roman;serif" w:hAnsi="Times New Roman;serif"/>
          <w:b w:val="false"/>
          <w:sz w:val="20"/>
        </w:rPr>
        <w:t>No ☐</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2081"/>
        <w:gridCol w:w="1419"/>
        <w:gridCol w:w="1779"/>
        <w:gridCol w:w="2438"/>
        <w:gridCol w:w="2488"/>
      </w:tblGrid>
      <w:tr>
        <w:trPr/>
        <w:tc>
          <w:tcPr>
            <w:tcW w:w="2081" w:type="dxa"/>
            <w:tcBorders/>
            <w:shd w:fill="auto" w:val="clear"/>
            <w:vAlign w:val="center"/>
          </w:tcPr>
          <w:p>
            <w:pPr>
              <w:pStyle w:val="TableContents"/>
              <w:spacing w:before="0" w:after="283"/>
              <w:rPr>
                <w:sz w:val="4"/>
                <w:szCs w:val="4"/>
              </w:rPr>
            </w:pPr>
            <w:r>
              <w:rPr>
                <w:sz w:val="4"/>
                <w:szCs w:val="4"/>
              </w:rPr>
            </w:r>
          </w:p>
        </w:tc>
        <w:tc>
          <w:tcPr>
            <w:tcW w:w="1419" w:type="dxa"/>
            <w:tcBorders/>
            <w:shd w:fill="auto" w:val="clear"/>
            <w:vAlign w:val="center"/>
          </w:tcPr>
          <w:p>
            <w:pPr>
              <w:pStyle w:val="TableContents"/>
              <w:spacing w:before="0" w:after="283"/>
              <w:rPr>
                <w:sz w:val="4"/>
                <w:szCs w:val="4"/>
              </w:rPr>
            </w:pPr>
            <w:r>
              <w:rPr>
                <w:sz w:val="4"/>
                <w:szCs w:val="4"/>
              </w:rPr>
            </w:r>
          </w:p>
        </w:tc>
        <w:tc>
          <w:tcPr>
            <w:tcW w:w="1779" w:type="dxa"/>
            <w:tcBorders/>
            <w:shd w:fill="auto" w:val="clear"/>
            <w:vAlign w:val="center"/>
          </w:tcPr>
          <w:p>
            <w:pPr>
              <w:pStyle w:val="TableContents"/>
              <w:spacing w:before="0" w:after="283"/>
              <w:rPr>
                <w:sz w:val="4"/>
                <w:szCs w:val="4"/>
              </w:rPr>
            </w:pPr>
            <w:r>
              <w:rPr>
                <w:sz w:val="4"/>
                <w:szCs w:val="4"/>
              </w:rPr>
            </w:r>
          </w:p>
        </w:tc>
        <w:tc>
          <w:tcPr>
            <w:tcW w:w="2438" w:type="dxa"/>
            <w:tcBorders/>
            <w:shd w:fill="auto" w:val="clear"/>
            <w:vAlign w:val="center"/>
          </w:tcPr>
          <w:p>
            <w:pPr>
              <w:pStyle w:val="TableContents"/>
              <w:spacing w:before="0" w:after="283"/>
              <w:rPr>
                <w:sz w:val="4"/>
                <w:szCs w:val="4"/>
              </w:rPr>
            </w:pPr>
            <w:r>
              <w:rPr>
                <w:sz w:val="4"/>
                <w:szCs w:val="4"/>
              </w:rPr>
            </w:r>
          </w:p>
        </w:tc>
        <w:tc>
          <w:tcPr>
            <w:tcW w:w="2488" w:type="dxa"/>
            <w:tcBorders/>
            <w:shd w:fill="auto" w:val="clear"/>
            <w:vAlign w:val="center"/>
          </w:tcPr>
          <w:p>
            <w:pPr>
              <w:pStyle w:val="TableContents"/>
              <w:spacing w:before="0" w:after="283"/>
              <w:rPr>
                <w:sz w:val="4"/>
                <w:szCs w:val="4"/>
              </w:rPr>
            </w:pPr>
            <w:r>
              <w:rPr>
                <w:sz w:val="4"/>
                <w:szCs w:val="4"/>
              </w:rPr>
            </w:r>
          </w:p>
        </w:tc>
      </w:tr>
      <w:tr>
        <w:trPr/>
        <w:tc>
          <w:tcPr>
            <w:tcW w:w="2081"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Large accelerated filer ☐</w:t>
            </w:r>
          </w:p>
        </w:tc>
        <w:tc>
          <w:tcPr>
            <w:tcW w:w="141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Accelerated filer</w:t>
            </w:r>
          </w:p>
          <w:p>
            <w:pPr>
              <w:pStyle w:val="TableContents"/>
              <w:spacing w:before="0" w:after="0"/>
              <w:ind w:left="0" w:right="0" w:hanging="0"/>
              <w:jc w:val="center"/>
              <w:rPr/>
            </w:pPr>
            <w:r>
              <w:rPr/>
              <w:t>☐</w:t>
            </w:r>
          </w:p>
        </w:tc>
        <w:tc>
          <w:tcPr>
            <w:tcW w:w="177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Non-accelerated filer</w:t>
            </w:r>
          </w:p>
          <w:p>
            <w:pPr>
              <w:pStyle w:val="TableContents"/>
              <w:spacing w:before="0" w:after="0"/>
              <w:ind w:left="0" w:right="0" w:hanging="0"/>
              <w:jc w:val="center"/>
              <w:rPr/>
            </w:pPr>
            <w:r>
              <w:rPr/>
              <w:t>☑</w:t>
            </w:r>
          </w:p>
        </w:tc>
        <w:tc>
          <w:tcPr>
            <w:tcW w:w="2438"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 xml:space="preserve">Smaller reporting company </w:t>
            </w:r>
            <w:r>
              <w:rPr>
                <w:rFonts w:ascii="Times New Roman" w:hAnsi="Times New Roman"/>
                <w:sz w:val="20"/>
              </w:rPr>
              <w:t>☐</w:t>
            </w:r>
          </w:p>
        </w:tc>
        <w:tc>
          <w:tcPr>
            <w:tcW w:w="2488"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val="false"/>
                <w:sz w:val="20"/>
              </w:rPr>
              <w:t xml:space="preserve">Emerging growth company </w:t>
            </w:r>
            <w:r>
              <w:rPr>
                <w:rFonts w:ascii="Times New Roman" w:hAnsi="Times New Roman"/>
                <w:sz w:val="20"/>
              </w:rPr>
              <w:t>☐</w:t>
            </w:r>
          </w:p>
        </w:tc>
      </w:tr>
      <w:tr>
        <w:trPr/>
        <w:tc>
          <w:tcPr>
            <w:tcW w:w="10205" w:type="dxa"/>
            <w:gridSpan w:val="5"/>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(Do not check if a smaller reporting company)</w:t>
            </w:r>
          </w:p>
        </w:tc>
      </w:tr>
    </w:tbl>
    <w:p>
      <w:pPr>
        <w:pStyle w:val="TextBody"/>
        <w:spacing w:before="0" w:after="0"/>
        <w:jc w:val="center"/>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 xml:space="preserve">Indicate by check mark whether the registrant is a shell company (as defined in Rule 12b-2 of the Exchange Act). Yes ☐ No </w:t>
      </w:r>
      <w:r>
        <w:rPr>
          <w:rFonts w:ascii="Times New Roman" w:hAnsi="Times New Roman"/>
          <w:sz w:val="20"/>
        </w:rPr>
        <w:t>☑</w:t>
      </w:r>
    </w:p>
    <w:p>
      <w:pPr>
        <w:pStyle w:val="TextBody"/>
        <w:spacing w:before="0" w:after="0"/>
        <w:jc w:val="left"/>
        <w:rPr>
          <w:rFonts w:ascii="Times New Roman" w:hAnsi="Times New Roman"/>
          <w:sz w:val="20"/>
        </w:rPr>
      </w:pPr>
      <w:r>
        <w:rPr>
          <w:rFonts w:ascii="Times New Roman;serif" w:hAnsi="Times New Roman;serif"/>
          <w:b w:val="false"/>
          <w:sz w:val="20"/>
        </w:rPr>
        <w:t>As of May 2, 2023, the Registrant had outstanding 24,988,398</w:t>
      </w:r>
      <w:r>
        <w:rPr>
          <w:rFonts w:ascii="Times New Roman" w:hAnsi="Times New Roman"/>
          <w:sz w:val="20"/>
        </w:rPr>
        <w:t xml:space="preserve"> </w:t>
      </w:r>
      <w:r>
        <w:rPr>
          <w:rFonts w:ascii="Times New Roman;serif" w:hAnsi="Times New Roman;serif"/>
          <w:b w:val="false"/>
          <w:sz w:val="20"/>
        </w:rPr>
        <w:t>shares of common stock, $0.001 par value.</w:t>
      </w:r>
    </w:p>
    <w:p>
      <w:pPr>
        <w:pStyle w:val="TextBody"/>
        <w:spacing w:before="0" w:after="0"/>
        <w:jc w:val="center"/>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180"/>
        <w:jc w:val="center"/>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spacing w:before="0" w:after="0"/>
        <w:jc w:val="center"/>
        <w:rPr>
          <w:rFonts w:ascii="Times New Roman;serif" w:hAnsi="Times New Roman;serif"/>
          <w:b/>
          <w:sz w:val="20"/>
        </w:rPr>
      </w:pPr>
      <w:r>
        <w:rPr>
          <w:rFonts w:ascii="Times New Roman;serif" w:hAnsi="Times New Roman;serif"/>
          <w:b/>
          <w:sz w:val="20"/>
        </w:rPr>
        <w:t>QUARTERLY REPORT ON FORM 10-Q</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768"/>
        <w:gridCol w:w="9075"/>
        <w:gridCol w:w="362"/>
      </w:tblGrid>
      <w:tr>
        <w:trPr/>
        <w:tc>
          <w:tcPr>
            <w:tcW w:w="768" w:type="dxa"/>
            <w:tcBorders/>
            <w:shd w:fill="auto" w:val="clear"/>
            <w:vAlign w:val="center"/>
          </w:tcPr>
          <w:p>
            <w:pPr>
              <w:pStyle w:val="TableContents"/>
              <w:spacing w:before="0" w:after="283"/>
              <w:rPr>
                <w:sz w:val="4"/>
                <w:szCs w:val="4"/>
              </w:rPr>
            </w:pPr>
            <w:r>
              <w:rPr>
                <w:sz w:val="4"/>
                <w:szCs w:val="4"/>
              </w:rPr>
            </w:r>
          </w:p>
        </w:tc>
        <w:tc>
          <w:tcPr>
            <w:tcW w:w="9075"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r>
      <w:tr>
        <w:trPr/>
        <w:tc>
          <w:tcPr>
            <w:tcW w:w="768" w:type="dxa"/>
            <w:tcBorders/>
            <w:shd w:fill="auto" w:val="clear"/>
            <w:vAlign w:val="center"/>
          </w:tcPr>
          <w:p>
            <w:pPr>
              <w:pStyle w:val="TableContents"/>
              <w:spacing w:before="0" w:after="0"/>
              <w:ind w:left="0" w:right="0" w:hanging="0"/>
              <w:jc w:val="left"/>
              <w:rPr/>
            </w:pPr>
            <w:r>
              <w:rPr/>
              <w:t> </w:t>
            </w:r>
          </w:p>
        </w:tc>
        <w:tc>
          <w:tcPr>
            <w:tcW w:w="9075" w:type="dxa"/>
            <w:tcBorders/>
            <w:shd w:fill="auto" w:val="clear"/>
            <w:vAlign w:val="center"/>
          </w:tcPr>
          <w:p>
            <w:pPr>
              <w:pStyle w:val="TableContents"/>
              <w:spacing w:before="0" w:after="0"/>
              <w:ind w:left="0" w:right="101" w:hanging="0"/>
              <w:jc w:val="center"/>
              <w:rPr/>
            </w:pPr>
            <w:hyperlink w:anchor="part_i">
              <w:r>
                <w:rPr>
                  <w:rStyle w:val="InternetLink"/>
                  <w:rFonts w:ascii="Times New Roman;serif" w:hAnsi="Times New Roman;serif"/>
                  <w:b/>
                  <w:sz w:val="20"/>
                  <w:u w:val="single"/>
                </w:rPr>
                <w:t>PART I — FINANCIAL INFORMATION</w:t>
              </w:r>
            </w:hyperlink>
          </w:p>
        </w:tc>
        <w:tc>
          <w:tcPr>
            <w:tcW w:w="362" w:type="dxa"/>
            <w:tcBorders/>
            <w:shd w:fill="auto" w:val="clear"/>
            <w:vAlign w:val="center"/>
          </w:tcPr>
          <w:p>
            <w:pPr>
              <w:pStyle w:val="TableContents"/>
              <w:spacing w:before="0" w:after="0"/>
              <w:ind w:left="0" w:right="0" w:hanging="0"/>
              <w:jc w:val="right"/>
              <w:rPr/>
            </w:pPr>
            <w:r>
              <w:rPr/>
              <w:t> </w:t>
            </w:r>
          </w:p>
        </w:tc>
      </w:tr>
      <w:tr>
        <w:trPr/>
        <w:tc>
          <w:tcPr>
            <w:tcW w:w="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9075" w:type="dxa"/>
            <w:tcBorders/>
            <w:shd w:fill="auto" w:val="clear"/>
            <w:vAlign w:val="center"/>
          </w:tcPr>
          <w:p>
            <w:pPr>
              <w:pStyle w:val="TableContents"/>
              <w:spacing w:before="0" w:after="0"/>
              <w:ind w:left="0" w:right="0" w:hanging="0"/>
              <w:jc w:val="left"/>
              <w:rPr/>
            </w:pPr>
            <w:hyperlink w:anchor="item_1">
              <w:r>
                <w:rPr>
                  <w:rStyle w:val="InternetLink"/>
                  <w:rFonts w:ascii="Times New Roman;serif" w:hAnsi="Times New Roman;serif"/>
                  <w:b w:val="false"/>
                  <w:sz w:val="20"/>
                  <w:u w:val="single"/>
                </w:rPr>
                <w:t>Financial Statements.</w:t>
              </w:r>
            </w:hyperlink>
          </w:p>
        </w:tc>
        <w:tc>
          <w:tcPr>
            <w:tcW w:w="362" w:type="dxa"/>
            <w:tcBorders/>
            <w:shd w:fill="auto" w:val="clear"/>
            <w:vAlign w:val="center"/>
          </w:tcPr>
          <w:p>
            <w:pPr>
              <w:pStyle w:val="TableContents"/>
              <w:spacing w:before="0" w:after="0"/>
              <w:ind w:left="0" w:right="0" w:hanging="0"/>
              <w:jc w:val="right"/>
              <w:rPr/>
            </w:pPr>
            <w:r>
              <w:rPr/>
              <w:t> </w:t>
            </w:r>
          </w:p>
        </w:tc>
      </w:tr>
      <w:tr>
        <w:trPr/>
        <w:tc>
          <w:tcPr>
            <w:tcW w:w="768" w:type="dxa"/>
            <w:tcBorders/>
            <w:shd w:fill="auto" w:val="clear"/>
            <w:vAlign w:val="center"/>
          </w:tcPr>
          <w:p>
            <w:pPr>
              <w:pStyle w:val="TableContents"/>
              <w:spacing w:before="0" w:after="0"/>
              <w:ind w:left="0" w:right="0" w:hanging="0"/>
              <w:jc w:val="left"/>
              <w:rPr/>
            </w:pPr>
            <w:r>
              <w:rPr/>
              <w:t> </w:t>
            </w:r>
          </w:p>
        </w:tc>
        <w:tc>
          <w:tcPr>
            <w:tcW w:w="9075" w:type="dxa"/>
            <w:tcBorders/>
            <w:shd w:fill="auto" w:val="clear"/>
            <w:vAlign w:val="center"/>
          </w:tcPr>
          <w:p>
            <w:pPr>
              <w:pStyle w:val="TableContents"/>
              <w:spacing w:before="0" w:after="0"/>
              <w:ind w:left="0" w:right="0" w:hanging="0"/>
              <w:jc w:val="left"/>
              <w:rPr/>
            </w:pPr>
            <w:hyperlink w:anchor="net_asset">
              <w:r>
                <w:rPr>
                  <w:rStyle w:val="InternetLink"/>
                  <w:rFonts w:ascii="Times New Roman;serif" w:hAnsi="Times New Roman;serif"/>
                  <w:b w:val="false"/>
                  <w:sz w:val="20"/>
                  <w:u w:val="single"/>
                </w:rPr>
                <w:t>Consolidated Statements of Assets and Liabilities — March 31, 2023 (unaudited) and December 31, 2022</w:t>
              </w:r>
            </w:hyperlink>
          </w:p>
        </w:tc>
        <w:tc>
          <w:tcPr>
            <w:tcW w:w="3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r>
      <w:tr>
        <w:trPr/>
        <w:tc>
          <w:tcPr>
            <w:tcW w:w="768" w:type="dxa"/>
            <w:tcBorders/>
            <w:shd w:fill="auto" w:val="clear"/>
            <w:vAlign w:val="center"/>
          </w:tcPr>
          <w:p>
            <w:pPr>
              <w:pStyle w:val="TableContents"/>
              <w:spacing w:before="0" w:after="0"/>
              <w:ind w:left="0" w:right="0" w:hanging="0"/>
              <w:jc w:val="left"/>
              <w:rPr/>
            </w:pPr>
            <w:r>
              <w:rPr/>
              <w:t> </w:t>
            </w:r>
          </w:p>
        </w:tc>
        <w:tc>
          <w:tcPr>
            <w:tcW w:w="9075" w:type="dxa"/>
            <w:tcBorders/>
            <w:shd w:fill="auto" w:val="clear"/>
            <w:vAlign w:val="center"/>
          </w:tcPr>
          <w:p>
            <w:pPr>
              <w:pStyle w:val="TableContents"/>
              <w:spacing w:before="0" w:after="0"/>
              <w:ind w:left="0" w:right="0" w:hanging="0"/>
              <w:jc w:val="left"/>
              <w:rPr/>
            </w:pPr>
            <w:hyperlink w:anchor="statement_of_operations">
              <w:r>
                <w:rPr>
                  <w:rStyle w:val="InternetLink"/>
                  <w:rFonts w:ascii="Times New Roman;serif" w:hAnsi="Times New Roman;serif"/>
                  <w:b w:val="false"/>
                  <w:sz w:val="20"/>
                  <w:u w:val="single"/>
                </w:rPr>
                <w:t>Consolidated Statements of Operations — three months ended March 31, 2023 (unaudited) and 2022 (unaudited)</w:t>
              </w:r>
            </w:hyperlink>
          </w:p>
        </w:tc>
        <w:tc>
          <w:tcPr>
            <w:tcW w:w="3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r>
      <w:tr>
        <w:trPr/>
        <w:tc>
          <w:tcPr>
            <w:tcW w:w="768" w:type="dxa"/>
            <w:tcBorders/>
            <w:shd w:fill="auto" w:val="clear"/>
            <w:vAlign w:val="center"/>
          </w:tcPr>
          <w:p>
            <w:pPr>
              <w:pStyle w:val="TableContents"/>
              <w:spacing w:before="0" w:after="0"/>
              <w:ind w:left="0" w:right="0" w:hanging="0"/>
              <w:jc w:val="left"/>
              <w:rPr/>
            </w:pPr>
            <w:r>
              <w:rPr/>
              <w:t> </w:t>
            </w:r>
          </w:p>
        </w:tc>
        <w:tc>
          <w:tcPr>
            <w:tcW w:w="9075" w:type="dxa"/>
            <w:tcBorders/>
            <w:shd w:fill="auto" w:val="clear"/>
            <w:vAlign w:val="center"/>
          </w:tcPr>
          <w:p>
            <w:pPr>
              <w:pStyle w:val="TableContents"/>
              <w:spacing w:before="0" w:after="0"/>
              <w:ind w:left="0" w:right="0" w:hanging="0"/>
              <w:jc w:val="left"/>
              <w:rPr/>
            </w:pPr>
            <w:hyperlink w:anchor="changes_net_assets">
              <w:r>
                <w:rPr>
                  <w:rStyle w:val="InternetLink"/>
                  <w:rFonts w:ascii="Times New Roman;serif" w:hAnsi="Times New Roman;serif"/>
                  <w:b w:val="false"/>
                  <w:sz w:val="20"/>
                  <w:u w:val="single"/>
                </w:rPr>
                <w:t>Consolidated Statements of Changes in Net Assets — three months ended March 31, 2023 (unaudited) and 2022 (unaudited)</w:t>
              </w:r>
            </w:hyperlink>
          </w:p>
        </w:tc>
        <w:tc>
          <w:tcPr>
            <w:tcW w:w="3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768" w:type="dxa"/>
            <w:tcBorders/>
            <w:shd w:fill="auto" w:val="clear"/>
            <w:vAlign w:val="center"/>
          </w:tcPr>
          <w:p>
            <w:pPr>
              <w:pStyle w:val="TableContents"/>
              <w:spacing w:before="0" w:after="0"/>
              <w:ind w:left="0" w:right="0" w:hanging="0"/>
              <w:jc w:val="left"/>
              <w:rPr/>
            </w:pPr>
            <w:r>
              <w:rPr/>
              <w:t> </w:t>
            </w:r>
          </w:p>
        </w:tc>
        <w:tc>
          <w:tcPr>
            <w:tcW w:w="9075" w:type="dxa"/>
            <w:tcBorders/>
            <w:shd w:fill="auto" w:val="clear"/>
            <w:vAlign w:val="center"/>
          </w:tcPr>
          <w:p>
            <w:pPr>
              <w:pStyle w:val="TableContents"/>
              <w:spacing w:before="0" w:after="0"/>
              <w:ind w:left="0" w:right="0" w:hanging="0"/>
              <w:jc w:val="left"/>
              <w:rPr/>
            </w:pPr>
            <w:hyperlink w:anchor="statements_cash_flows">
              <w:r>
                <w:rPr>
                  <w:rStyle w:val="InternetLink"/>
                  <w:rFonts w:ascii="Times New Roman;serif" w:hAnsi="Times New Roman;serif"/>
                  <w:b w:val="false"/>
                  <w:sz w:val="20"/>
                  <w:u w:val="single"/>
                </w:rPr>
                <w:t>Consolidated Statements of Cash Flows — three months ended March 31, 2023, (unaudited) and 2022 (unaudited)</w:t>
              </w:r>
            </w:hyperlink>
          </w:p>
        </w:tc>
        <w:tc>
          <w:tcPr>
            <w:tcW w:w="3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w:t>
            </w:r>
          </w:p>
        </w:tc>
      </w:tr>
      <w:tr>
        <w:trPr/>
        <w:tc>
          <w:tcPr>
            <w:tcW w:w="768" w:type="dxa"/>
            <w:tcBorders/>
            <w:shd w:fill="auto" w:val="clear"/>
            <w:vAlign w:val="center"/>
          </w:tcPr>
          <w:p>
            <w:pPr>
              <w:pStyle w:val="TableContents"/>
              <w:spacing w:before="0" w:after="0"/>
              <w:ind w:left="0" w:right="0" w:hanging="0"/>
              <w:jc w:val="left"/>
              <w:rPr/>
            </w:pPr>
            <w:r>
              <w:rPr/>
              <w:t> </w:t>
            </w:r>
          </w:p>
        </w:tc>
        <w:tc>
          <w:tcPr>
            <w:tcW w:w="9075" w:type="dxa"/>
            <w:tcBorders/>
            <w:shd w:fill="auto" w:val="clear"/>
            <w:vAlign w:val="center"/>
          </w:tcPr>
          <w:p>
            <w:pPr>
              <w:pStyle w:val="TableContents"/>
              <w:spacing w:before="0" w:after="0"/>
              <w:ind w:left="0" w:right="0" w:hanging="0"/>
              <w:jc w:val="left"/>
              <w:rPr/>
            </w:pPr>
            <w:hyperlink w:anchor="consolidated_schedule_of_investments">
              <w:r>
                <w:rPr>
                  <w:rStyle w:val="InternetLink"/>
                  <w:rFonts w:ascii="Times New Roman;serif" w:hAnsi="Times New Roman;serif"/>
                  <w:b w:val="false"/>
                  <w:sz w:val="20"/>
                  <w:u w:val="single"/>
                </w:rPr>
                <w:t>Consolidated Schedules of Investments — March 31, 2023 (unaudited) and December 31, 2022</w:t>
              </w:r>
            </w:hyperlink>
          </w:p>
        </w:tc>
        <w:tc>
          <w:tcPr>
            <w:tcW w:w="3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r>
      <w:tr>
        <w:trPr/>
        <w:tc>
          <w:tcPr>
            <w:tcW w:w="768" w:type="dxa"/>
            <w:tcBorders/>
            <w:shd w:fill="auto" w:val="clear"/>
            <w:vAlign w:val="center"/>
          </w:tcPr>
          <w:p>
            <w:pPr>
              <w:pStyle w:val="TableContents"/>
              <w:spacing w:before="0" w:after="0"/>
              <w:ind w:left="0" w:right="0" w:hanging="0"/>
              <w:jc w:val="left"/>
              <w:rPr/>
            </w:pPr>
            <w:r>
              <w:rPr/>
              <w:t> </w:t>
            </w:r>
          </w:p>
        </w:tc>
        <w:tc>
          <w:tcPr>
            <w:tcW w:w="9075" w:type="dxa"/>
            <w:tcBorders/>
            <w:shd w:fill="auto" w:val="clear"/>
            <w:vAlign w:val="center"/>
          </w:tcPr>
          <w:p>
            <w:pPr>
              <w:pStyle w:val="TableContents"/>
              <w:spacing w:before="0" w:after="0"/>
              <w:ind w:left="0" w:right="0" w:hanging="0"/>
              <w:jc w:val="left"/>
              <w:rPr/>
            </w:pPr>
            <w:hyperlink w:anchor="notes_consolidated_financial_statements">
              <w:r>
                <w:rPr>
                  <w:rStyle w:val="InternetLink"/>
                  <w:rFonts w:ascii="Times New Roman;serif" w:hAnsi="Times New Roman;serif"/>
                  <w:b w:val="false"/>
                  <w:sz w:val="20"/>
                  <w:u w:val="single"/>
                </w:rPr>
                <w:t>Notes to Consolidated Financial Statements (unaudited)</w:t>
              </w:r>
            </w:hyperlink>
          </w:p>
        </w:tc>
        <w:tc>
          <w:tcPr>
            <w:tcW w:w="3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w:t>
            </w:r>
          </w:p>
        </w:tc>
      </w:tr>
      <w:tr>
        <w:trPr/>
        <w:tc>
          <w:tcPr>
            <w:tcW w:w="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9075" w:type="dxa"/>
            <w:tcBorders/>
            <w:shd w:fill="auto" w:val="clear"/>
            <w:vAlign w:val="center"/>
          </w:tcPr>
          <w:p>
            <w:pPr>
              <w:pStyle w:val="TableContents"/>
              <w:spacing w:before="0" w:after="0"/>
              <w:ind w:left="0" w:right="0" w:hanging="0"/>
              <w:jc w:val="left"/>
              <w:rPr/>
            </w:pPr>
            <w:hyperlink w:anchor="item2_mda">
              <w:r>
                <w:rPr>
                  <w:rStyle w:val="InternetLink"/>
                  <w:rFonts w:ascii="Times New Roman;serif" w:hAnsi="Times New Roman;serif"/>
                  <w:b w:val="false"/>
                  <w:sz w:val="20"/>
                  <w:u w:val="single"/>
                </w:rPr>
                <w:t>Management’s Discussion and Analysis of Financial Condition and Results of Operations</w:t>
              </w:r>
            </w:hyperlink>
            <w:r>
              <w:rPr>
                <w:rFonts w:ascii="Times New Roman;serif" w:hAnsi="Times New Roman;serif"/>
                <w:b w:val="false"/>
                <w:sz w:val="20"/>
              </w:rPr>
              <w:t>.</w:t>
            </w:r>
          </w:p>
        </w:tc>
        <w:tc>
          <w:tcPr>
            <w:tcW w:w="3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w:t>
            </w:r>
          </w:p>
        </w:tc>
      </w:tr>
      <w:tr>
        <w:trPr/>
        <w:tc>
          <w:tcPr>
            <w:tcW w:w="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9075" w:type="dxa"/>
            <w:tcBorders/>
            <w:shd w:fill="auto" w:val="clear"/>
            <w:vAlign w:val="center"/>
          </w:tcPr>
          <w:p>
            <w:pPr>
              <w:pStyle w:val="TableContents"/>
              <w:spacing w:before="0" w:after="0"/>
              <w:ind w:left="0" w:right="0" w:hanging="0"/>
              <w:jc w:val="left"/>
              <w:rPr/>
            </w:pPr>
            <w:hyperlink w:anchor="item3_marketrisk">
              <w:r>
                <w:rPr>
                  <w:rStyle w:val="InternetLink"/>
                  <w:rFonts w:ascii="Times New Roman;serif" w:hAnsi="Times New Roman;serif"/>
                  <w:b w:val="false"/>
                  <w:sz w:val="20"/>
                  <w:u w:val="single"/>
                </w:rPr>
                <w:t>Quantitative and Qualitative Disclosures About Market Risk.</w:t>
              </w:r>
            </w:hyperlink>
          </w:p>
        </w:tc>
        <w:tc>
          <w:tcPr>
            <w:tcW w:w="3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w:t>
            </w:r>
          </w:p>
        </w:tc>
      </w:tr>
      <w:tr>
        <w:trPr/>
        <w:tc>
          <w:tcPr>
            <w:tcW w:w="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9075" w:type="dxa"/>
            <w:tcBorders/>
            <w:shd w:fill="auto" w:val="clear"/>
            <w:vAlign w:val="center"/>
          </w:tcPr>
          <w:p>
            <w:pPr>
              <w:pStyle w:val="TableContents"/>
              <w:spacing w:before="0" w:after="0"/>
              <w:ind w:left="0" w:right="0" w:hanging="0"/>
              <w:jc w:val="left"/>
              <w:rPr/>
            </w:pPr>
            <w:hyperlink w:anchor="item4_controls">
              <w:r>
                <w:rPr>
                  <w:rStyle w:val="InternetLink"/>
                  <w:rFonts w:ascii="Times New Roman;serif" w:hAnsi="Times New Roman;serif"/>
                  <w:b w:val="false"/>
                  <w:sz w:val="20"/>
                  <w:u w:val="single"/>
                </w:rPr>
                <w:t>Controls and Procedures</w:t>
              </w:r>
            </w:hyperlink>
          </w:p>
        </w:tc>
        <w:tc>
          <w:tcPr>
            <w:tcW w:w="3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w:t>
            </w:r>
          </w:p>
        </w:tc>
      </w:tr>
      <w:tr>
        <w:trPr/>
        <w:tc>
          <w:tcPr>
            <w:tcW w:w="768" w:type="dxa"/>
            <w:tcBorders/>
            <w:shd w:fill="auto" w:val="clear"/>
            <w:vAlign w:val="center"/>
          </w:tcPr>
          <w:p>
            <w:pPr>
              <w:pStyle w:val="TableContents"/>
              <w:spacing w:before="0" w:after="0"/>
              <w:ind w:left="0" w:right="0" w:hanging="0"/>
              <w:jc w:val="left"/>
              <w:rPr/>
            </w:pPr>
            <w:r>
              <w:rPr/>
              <w:t> </w:t>
            </w:r>
          </w:p>
        </w:tc>
        <w:tc>
          <w:tcPr>
            <w:tcW w:w="9075" w:type="dxa"/>
            <w:tcBorders/>
            <w:shd w:fill="auto" w:val="clear"/>
            <w:vAlign w:val="center"/>
          </w:tcPr>
          <w:p>
            <w:pPr>
              <w:pStyle w:val="TableContents"/>
              <w:spacing w:before="0" w:after="0"/>
              <w:ind w:left="0" w:right="0" w:hanging="0"/>
              <w:jc w:val="center"/>
              <w:rPr/>
            </w:pPr>
            <w:hyperlink w:anchor="part_ii">
              <w:r>
                <w:rPr>
                  <w:rStyle w:val="InternetLink"/>
                  <w:rFonts w:ascii="Times New Roman;serif" w:hAnsi="Times New Roman;serif"/>
                  <w:b/>
                  <w:sz w:val="20"/>
                  <w:u w:val="single"/>
                </w:rPr>
                <w:t>PART II — OTHER INFORMATION</w:t>
              </w:r>
            </w:hyperlink>
          </w:p>
        </w:tc>
        <w:tc>
          <w:tcPr>
            <w:tcW w:w="362" w:type="dxa"/>
            <w:tcBorders/>
            <w:shd w:fill="auto" w:val="clear"/>
            <w:vAlign w:val="center"/>
          </w:tcPr>
          <w:p>
            <w:pPr>
              <w:pStyle w:val="TableContents"/>
              <w:spacing w:before="0" w:after="0"/>
              <w:ind w:left="0" w:right="0" w:hanging="0"/>
              <w:jc w:val="right"/>
              <w:rPr/>
            </w:pPr>
            <w:r>
              <w:rPr/>
              <w:t> </w:t>
            </w:r>
          </w:p>
        </w:tc>
      </w:tr>
      <w:tr>
        <w:trPr/>
        <w:tc>
          <w:tcPr>
            <w:tcW w:w="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9075" w:type="dxa"/>
            <w:tcBorders/>
            <w:shd w:fill="auto" w:val="clear"/>
            <w:vAlign w:val="center"/>
          </w:tcPr>
          <w:p>
            <w:pPr>
              <w:pStyle w:val="TableContents"/>
              <w:spacing w:before="0" w:after="0"/>
              <w:ind w:left="0" w:right="0" w:hanging="0"/>
              <w:jc w:val="left"/>
              <w:rPr/>
            </w:pPr>
            <w:hyperlink w:anchor="item1_legal_proceedings">
              <w:r>
                <w:rPr>
                  <w:rStyle w:val="InternetLink"/>
                  <w:rFonts w:ascii="Times New Roman;serif" w:hAnsi="Times New Roman;serif"/>
                  <w:b w:val="false"/>
                  <w:sz w:val="20"/>
                  <w:u w:val="single"/>
                </w:rPr>
                <w:t>Legal Proceedings.</w:t>
              </w:r>
            </w:hyperlink>
          </w:p>
        </w:tc>
        <w:tc>
          <w:tcPr>
            <w:tcW w:w="3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r>
      <w:tr>
        <w:trPr/>
        <w:tc>
          <w:tcPr>
            <w:tcW w:w="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9075" w:type="dxa"/>
            <w:tcBorders/>
            <w:shd w:fill="auto" w:val="clear"/>
            <w:vAlign w:val="center"/>
          </w:tcPr>
          <w:p>
            <w:pPr>
              <w:pStyle w:val="TableContents"/>
              <w:spacing w:before="0" w:after="0"/>
              <w:ind w:left="0" w:right="0" w:hanging="0"/>
              <w:jc w:val="left"/>
              <w:rPr/>
            </w:pPr>
            <w:hyperlink w:anchor="item1a_risk_factors">
              <w:r>
                <w:rPr>
                  <w:rStyle w:val="InternetLink"/>
                  <w:rFonts w:ascii="Times New Roman;serif" w:hAnsi="Times New Roman;serif"/>
                  <w:b w:val="false"/>
                  <w:sz w:val="20"/>
                  <w:u w:val="single"/>
                </w:rPr>
                <w:t>Risk Factors.</w:t>
              </w:r>
            </w:hyperlink>
          </w:p>
        </w:tc>
        <w:tc>
          <w:tcPr>
            <w:tcW w:w="3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r>
      <w:tr>
        <w:trPr/>
        <w:tc>
          <w:tcPr>
            <w:tcW w:w="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9075" w:type="dxa"/>
            <w:tcBorders/>
            <w:shd w:fill="auto" w:val="clear"/>
            <w:vAlign w:val="center"/>
          </w:tcPr>
          <w:p>
            <w:pPr>
              <w:pStyle w:val="TableContents"/>
              <w:spacing w:before="0" w:after="0"/>
              <w:ind w:left="0" w:right="0" w:hanging="0"/>
              <w:jc w:val="left"/>
              <w:rPr/>
            </w:pPr>
            <w:hyperlink w:anchor="item2_unregistered_sales_equity">
              <w:r>
                <w:rPr>
                  <w:rStyle w:val="InternetLink"/>
                  <w:rFonts w:ascii="Times New Roman;serif" w:hAnsi="Times New Roman;serif"/>
                  <w:b w:val="false"/>
                  <w:sz w:val="20"/>
                  <w:u w:val="single"/>
                </w:rPr>
                <w:t>Unregistered Sales of Equity Securities and Use of Proceeds.</w:t>
              </w:r>
            </w:hyperlink>
          </w:p>
        </w:tc>
        <w:tc>
          <w:tcPr>
            <w:tcW w:w="3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r>
      <w:tr>
        <w:trPr/>
        <w:tc>
          <w:tcPr>
            <w:tcW w:w="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9075" w:type="dxa"/>
            <w:tcBorders/>
            <w:shd w:fill="auto" w:val="clear"/>
            <w:vAlign w:val="center"/>
          </w:tcPr>
          <w:p>
            <w:pPr>
              <w:pStyle w:val="TableContents"/>
              <w:spacing w:before="0" w:after="0"/>
              <w:ind w:left="0" w:right="0" w:hanging="0"/>
              <w:jc w:val="left"/>
              <w:rPr/>
            </w:pPr>
            <w:hyperlink w:anchor="item3_defaults_upon_senior_securities">
              <w:r>
                <w:rPr>
                  <w:rStyle w:val="InternetLink"/>
                  <w:rFonts w:ascii="Times New Roman;serif" w:hAnsi="Times New Roman;serif"/>
                  <w:b w:val="false"/>
                  <w:sz w:val="20"/>
                  <w:u w:val="single"/>
                </w:rPr>
                <w:t>Defaults Upon Senior Securities.</w:t>
              </w:r>
            </w:hyperlink>
          </w:p>
        </w:tc>
        <w:tc>
          <w:tcPr>
            <w:tcW w:w="3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r>
      <w:tr>
        <w:trPr/>
        <w:tc>
          <w:tcPr>
            <w:tcW w:w="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9075" w:type="dxa"/>
            <w:tcBorders/>
            <w:shd w:fill="auto" w:val="clear"/>
            <w:vAlign w:val="center"/>
          </w:tcPr>
          <w:p>
            <w:pPr>
              <w:pStyle w:val="TableContents"/>
              <w:spacing w:before="0" w:after="0"/>
              <w:ind w:left="0" w:right="0" w:hanging="0"/>
              <w:jc w:val="left"/>
              <w:rPr/>
            </w:pPr>
            <w:hyperlink w:anchor="item4_mine_safety_disclosures">
              <w:r>
                <w:rPr>
                  <w:rStyle w:val="InternetLink"/>
                  <w:rFonts w:ascii="Times New Roman;serif" w:hAnsi="Times New Roman;serif"/>
                  <w:b w:val="false"/>
                  <w:sz w:val="20"/>
                  <w:u w:val="single"/>
                </w:rPr>
                <w:t>Mine Safety Disclosures.</w:t>
              </w:r>
            </w:hyperlink>
          </w:p>
        </w:tc>
        <w:tc>
          <w:tcPr>
            <w:tcW w:w="3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r>
      <w:tr>
        <w:trPr/>
        <w:tc>
          <w:tcPr>
            <w:tcW w:w="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9075" w:type="dxa"/>
            <w:tcBorders/>
            <w:shd w:fill="auto" w:val="clear"/>
            <w:vAlign w:val="center"/>
          </w:tcPr>
          <w:p>
            <w:pPr>
              <w:pStyle w:val="TableContents"/>
              <w:spacing w:before="0" w:after="0"/>
              <w:ind w:left="0" w:right="0" w:hanging="0"/>
              <w:jc w:val="left"/>
              <w:rPr/>
            </w:pPr>
            <w:hyperlink w:anchor="item5_other_information">
              <w:r>
                <w:rPr>
                  <w:rStyle w:val="InternetLink"/>
                  <w:rFonts w:ascii="Times New Roman;serif" w:hAnsi="Times New Roman;serif"/>
                  <w:b w:val="false"/>
                  <w:sz w:val="20"/>
                  <w:u w:val="single"/>
                </w:rPr>
                <w:t>Other Information.</w:t>
              </w:r>
            </w:hyperlink>
          </w:p>
        </w:tc>
        <w:tc>
          <w:tcPr>
            <w:tcW w:w="3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59</w:t>
            </w:r>
          </w:p>
        </w:tc>
      </w:tr>
      <w:tr>
        <w:trPr/>
        <w:tc>
          <w:tcPr>
            <w:tcW w:w="7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9075" w:type="dxa"/>
            <w:tcBorders/>
            <w:shd w:fill="auto" w:val="clear"/>
            <w:vAlign w:val="center"/>
          </w:tcPr>
          <w:p>
            <w:pPr>
              <w:pStyle w:val="TableContents"/>
              <w:spacing w:before="0" w:after="0"/>
              <w:ind w:left="0" w:right="0" w:hanging="0"/>
              <w:jc w:val="left"/>
              <w:rPr/>
            </w:pPr>
            <w:hyperlink w:anchor="item6_exhibits">
              <w:r>
                <w:rPr>
                  <w:rStyle w:val="InternetLink"/>
                  <w:rFonts w:ascii="Times New Roman;serif" w:hAnsi="Times New Roman;serif"/>
                  <w:b w:val="false"/>
                  <w:sz w:val="20"/>
                  <w:u w:val="single"/>
                </w:rPr>
                <w:t>Exhibits.</w:t>
              </w:r>
            </w:hyperlink>
          </w:p>
        </w:tc>
        <w:tc>
          <w:tcPr>
            <w:tcW w:w="3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w:t>
            </w:r>
          </w:p>
        </w:tc>
      </w:tr>
      <w:tr>
        <w:trPr/>
        <w:tc>
          <w:tcPr>
            <w:tcW w:w="9843" w:type="dxa"/>
            <w:gridSpan w:val="2"/>
            <w:tcBorders/>
            <w:shd w:fill="auto" w:val="cle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36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w:t>
            </w:r>
          </w:p>
        </w:tc>
      </w:tr>
      <w:tr>
        <w:trPr/>
        <w:tc>
          <w:tcPr>
            <w:tcW w:w="9843" w:type="dxa"/>
            <w:gridSpan w:val="2"/>
            <w:tcBorders/>
            <w:shd w:fill="auto" w:val="clear"/>
            <w:vAlign w:val="center"/>
          </w:tcPr>
          <w:p>
            <w:pPr>
              <w:pStyle w:val="TableContents"/>
              <w:spacing w:before="0" w:after="0"/>
              <w:ind w:left="0" w:right="0" w:hanging="0"/>
              <w:jc w:val="left"/>
              <w:rPr/>
            </w:pPr>
            <w:r>
              <w:rPr/>
              <w:t> </w:t>
            </w:r>
          </w:p>
        </w:tc>
        <w:tc>
          <w:tcPr>
            <w:tcW w:w="362"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180"/>
        <w:jc w:val="center"/>
        <w:rPr/>
      </w:pPr>
      <w:r>
        <w:rPr/>
        <w:t> </w:t>
      </w:r>
    </w:p>
    <w:p>
      <w:pPr>
        <w:pStyle w:val="TextBody"/>
        <w:spacing w:before="0" w:after="0"/>
        <w:jc w:val="center"/>
        <w:rPr>
          <w:rFonts w:ascii="Times New Roman;serif" w:hAnsi="Times New Roman;serif"/>
          <w:b/>
          <w:sz w:val="20"/>
        </w:rPr>
      </w:pPr>
      <w:bookmarkStart w:id="2" w:name="part_i"/>
      <w:bookmarkEnd w:id="2"/>
      <w:r>
        <w:rPr>
          <w:rFonts w:ascii="Times New Roman;serif" w:hAnsi="Times New Roman;serif"/>
          <w:b/>
          <w:sz w:val="20"/>
        </w:rPr>
        <w:t>PART I — FINANCIAL INFORMATION</w:t>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3" w:name="item_1"/>
      <w:bookmarkEnd w:id="3"/>
      <w:r>
        <w:rPr>
          <w:rFonts w:ascii="Times New Roman;serif" w:hAnsi="Times New Roman;serif"/>
          <w:b/>
          <w:sz w:val="20"/>
        </w:rPr>
        <w:t>Item 1. Financial Statements.</w:t>
      </w:r>
    </w:p>
    <w:p>
      <w:pPr>
        <w:pStyle w:val="TextBody"/>
        <w:spacing w:before="0" w:after="0"/>
        <w:jc w:val="center"/>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bookmarkStart w:id="4" w:name="net_asset"/>
      <w:bookmarkEnd w:id="4"/>
      <w:r>
        <w:rPr>
          <w:rFonts w:ascii="Times New Roman;serif" w:hAnsi="Times New Roman;serif"/>
          <w:b/>
          <w:sz w:val="20"/>
        </w:rPr>
        <w:t>Consolidated Statements of Assets and Liabilities</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7457"/>
        <w:gridCol w:w="146"/>
        <w:gridCol w:w="207"/>
        <w:gridCol w:w="732"/>
        <w:gridCol w:w="146"/>
        <w:gridCol w:w="146"/>
        <w:gridCol w:w="238"/>
        <w:gridCol w:w="839"/>
        <w:gridCol w:w="294"/>
      </w:tblGrid>
      <w:tr>
        <w:trPr/>
        <w:tc>
          <w:tcPr>
            <w:tcW w:w="745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r>
      <w:tr>
        <w:trPr/>
        <w:tc>
          <w:tcPr>
            <w:tcW w:w="745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9"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center"/>
              <w:rPr/>
            </w:pPr>
            <w:r>
              <w:rPr/>
              <w:t> </w:t>
            </w:r>
          </w:p>
        </w:tc>
        <w:tc>
          <w:tcPr>
            <w:tcW w:w="294" w:type="dxa"/>
            <w:tcBorders/>
            <w:shd w:fill="auto" w:val="clear"/>
            <w:vAlign w:val="center"/>
          </w:tcPr>
          <w:p>
            <w:pPr>
              <w:pStyle w:val="TableContents"/>
              <w:spacing w:before="0" w:after="0"/>
              <w:ind w:left="0" w:right="0" w:hanging="0"/>
              <w:jc w:val="center"/>
              <w:rPr/>
            </w:pPr>
            <w:r>
              <w:rPr/>
              <w:t> </w:t>
            </w:r>
          </w:p>
        </w:tc>
      </w:tr>
      <w:tr>
        <w:trPr/>
        <w:tc>
          <w:tcPr>
            <w:tcW w:w="745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9"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94" w:type="dxa"/>
            <w:tcBorders/>
            <w:shd w:fill="auto" w:val="clear"/>
            <w:vAlign w:val="center"/>
          </w:tcPr>
          <w:p>
            <w:pPr>
              <w:pStyle w:val="TableContents"/>
              <w:spacing w:before="0" w:after="0"/>
              <w:ind w:left="0" w:right="0" w:hanging="0"/>
              <w:jc w:val="center"/>
              <w:rPr/>
            </w:pPr>
            <w:r>
              <w:rPr/>
              <w:t> </w:t>
            </w:r>
          </w:p>
        </w:tc>
      </w:tr>
      <w:tr>
        <w:trPr/>
        <w:tc>
          <w:tcPr>
            <w:tcW w:w="745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7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457"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ASSETS</w:t>
            </w:r>
          </w:p>
        </w:tc>
        <w:tc>
          <w:tcPr>
            <w:tcW w:w="146" w:type="dxa"/>
            <w:tcBorders/>
            <w:shd w:fill="auto" w:val="clear"/>
            <w:vAlign w:val="center"/>
          </w:tcPr>
          <w:p>
            <w:pPr>
              <w:pStyle w:val="TableContents"/>
              <w:spacing w:before="0" w:after="0"/>
              <w:ind w:left="0" w:right="0" w:hanging="0"/>
              <w:jc w:val="left"/>
              <w:rPr/>
            </w:pPr>
            <w:r>
              <w:rPr/>
              <w:t> </w:t>
            </w:r>
          </w:p>
        </w:tc>
        <w:tc>
          <w:tcPr>
            <w:tcW w:w="93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r>
      <w:tr>
        <w:trPr/>
        <w:tc>
          <w:tcPr>
            <w:tcW w:w="745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Investments, at fair value:</w:t>
            </w:r>
          </w:p>
        </w:tc>
        <w:tc>
          <w:tcPr>
            <w:tcW w:w="146" w:type="dxa"/>
            <w:tcBorders/>
            <w:shd w:fill="auto" w:val="clear"/>
            <w:vAlign w:val="center"/>
          </w:tcPr>
          <w:p>
            <w:pPr>
              <w:pStyle w:val="TableContents"/>
              <w:spacing w:before="0" w:after="0"/>
              <w:ind w:left="0" w:right="0" w:hanging="0"/>
              <w:jc w:val="left"/>
              <w:rPr/>
            </w:pPr>
            <w:r>
              <w:rPr/>
              <w:t> </w:t>
            </w:r>
          </w:p>
        </w:tc>
        <w:tc>
          <w:tcPr>
            <w:tcW w:w="93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firstLine="100"/>
              <w:jc w:val="left"/>
              <w:rPr/>
            </w:pPr>
            <w:r>
              <w:rPr/>
              <w:t> </w:t>
            </w:r>
          </w:p>
        </w:tc>
      </w:tr>
      <w:tr>
        <w:trPr/>
        <w:tc>
          <w:tcPr>
            <w:tcW w:w="7457" w:type="dxa"/>
            <w:tcBorders/>
            <w:shd w:fill="auto" w:val="clear"/>
            <w:vAlign w:val="center"/>
          </w:tcPr>
          <w:p>
            <w:pPr>
              <w:pStyle w:val="TableContents"/>
              <w:spacing w:before="0" w:after="0"/>
              <w:ind w:left="100" w:right="0" w:hanging="0"/>
              <w:jc w:val="left"/>
              <w:rPr/>
            </w:pPr>
            <w:r>
              <w:rPr/>
              <w:t>   </w:t>
            </w:r>
            <w:r>
              <w:rPr>
                <w:rFonts w:ascii="Times New Roman;serif" w:hAnsi="Times New Roman;serif"/>
                <w:b w:val="false"/>
                <w:sz w:val="16"/>
              </w:rPr>
              <w:t>Control investments (cost: $17,915</w:t>
            </w:r>
            <w:r>
              <w:rPr>
                <w:rFonts w:ascii="Times New Roman" w:hAnsi="Times New Roman"/>
                <w:sz w:val="20"/>
              </w:rPr>
              <w:t> </w:t>
            </w:r>
            <w:r>
              <w:rPr>
                <w:rFonts w:ascii="Times New Roman;serif" w:hAnsi="Times New Roman;serif"/>
                <w:b w:val="false"/>
                <w:sz w:val="16"/>
              </w:rPr>
              <w:t>and $17,915, respectively)</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9" w:type="dxa"/>
            <w:tcBorders/>
            <w:shd w:fill="auto" w:val="clear"/>
            <w:vAlign w:val="center"/>
          </w:tcPr>
          <w:p>
            <w:pPr>
              <w:pStyle w:val="TableContents"/>
              <w:spacing w:before="0" w:after="0"/>
              <w:ind w:left="0" w:right="0" w:hanging="0"/>
              <w:jc w:val="right"/>
              <w:rPr/>
            </w:pPr>
            <w:r>
              <w:rPr/>
              <w:t>—</w:t>
            </w:r>
          </w:p>
        </w:tc>
        <w:tc>
          <w:tcPr>
            <w:tcW w:w="294" w:type="dxa"/>
            <w:tcBorders/>
            <w:shd w:fill="auto" w:val="clear"/>
            <w:vAlign w:val="center"/>
          </w:tcPr>
          <w:p>
            <w:pPr>
              <w:pStyle w:val="TableContents"/>
              <w:spacing w:before="0" w:after="0"/>
              <w:ind w:left="0" w:right="0" w:firstLine="100"/>
              <w:jc w:val="left"/>
              <w:rPr/>
            </w:pPr>
            <w:r>
              <w:rPr/>
              <w:t> </w:t>
            </w:r>
          </w:p>
        </w:tc>
      </w:tr>
      <w:tr>
        <w:trPr/>
        <w:tc>
          <w:tcPr>
            <w:tcW w:w="7457" w:type="dxa"/>
            <w:tcBorders/>
            <w:shd w:fill="auto" w:val="clear"/>
            <w:vAlign w:val="center"/>
          </w:tcPr>
          <w:p>
            <w:pPr>
              <w:pStyle w:val="TableContents"/>
              <w:spacing w:before="0" w:after="0"/>
              <w:ind w:left="100" w:right="0" w:hanging="0"/>
              <w:jc w:val="left"/>
              <w:rPr/>
            </w:pPr>
            <w:r>
              <w:rPr/>
              <w:t>   </w:t>
            </w:r>
            <w:r>
              <w:rPr>
                <w:rFonts w:ascii="Times New Roman;serif" w:hAnsi="Times New Roman;serif"/>
                <w:b w:val="false"/>
                <w:sz w:val="16"/>
              </w:rPr>
              <w:t>Affiliate investments (cost: $55,740</w:t>
            </w:r>
            <w:r>
              <w:rPr>
                <w:rFonts w:ascii="Times New Roman" w:hAnsi="Times New Roman"/>
                <w:sz w:val="20"/>
              </w:rPr>
              <w:t> </w:t>
            </w:r>
            <w:r>
              <w:rPr>
                <w:rFonts w:ascii="Times New Roman;serif" w:hAnsi="Times New Roman;serif"/>
                <w:b w:val="false"/>
                <w:sz w:val="16"/>
              </w:rPr>
              <w:t>and $55,804, respectively)</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99,037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101,590</w:t>
            </w:r>
          </w:p>
        </w:tc>
        <w:tc>
          <w:tcPr>
            <w:tcW w:w="294" w:type="dxa"/>
            <w:tcBorders/>
            <w:shd w:fill="auto" w:val="clear"/>
            <w:vAlign w:val="center"/>
          </w:tcPr>
          <w:p>
            <w:pPr>
              <w:pStyle w:val="TableContents"/>
              <w:spacing w:before="0" w:after="0"/>
              <w:ind w:left="0" w:right="0" w:firstLine="100"/>
              <w:jc w:val="left"/>
              <w:rPr/>
            </w:pPr>
            <w:r>
              <w:rPr/>
              <w:t> </w:t>
            </w:r>
          </w:p>
        </w:tc>
      </w:tr>
      <w:tr>
        <w:trPr/>
        <w:tc>
          <w:tcPr>
            <w:tcW w:w="7457" w:type="dxa"/>
            <w:tcBorders/>
            <w:shd w:fill="auto" w:val="clear"/>
            <w:vAlign w:val="center"/>
          </w:tcPr>
          <w:p>
            <w:pPr>
              <w:pStyle w:val="TableContents"/>
              <w:spacing w:before="0" w:after="0"/>
              <w:ind w:left="100" w:right="0" w:hanging="0"/>
              <w:jc w:val="left"/>
              <w:rPr/>
            </w:pPr>
            <w:r>
              <w:rPr/>
              <w:t>   </w:t>
            </w:r>
            <w:r>
              <w:rPr>
                <w:rFonts w:ascii="Times New Roman;serif" w:hAnsi="Times New Roman;serif"/>
                <w:b w:val="false"/>
                <w:sz w:val="16"/>
              </w:rPr>
              <w:t>Non-control/non-affiliate investments (cost: $791,325</w:t>
            </w:r>
            <w:r>
              <w:rPr>
                <w:rFonts w:ascii="Times New Roman" w:hAnsi="Times New Roman"/>
                <w:sz w:val="20"/>
              </w:rPr>
              <w:t> </w:t>
            </w:r>
            <w:r>
              <w:rPr>
                <w:rFonts w:ascii="Times New Roman;serif" w:hAnsi="Times New Roman;serif"/>
                <w:b w:val="false"/>
                <w:sz w:val="16"/>
              </w:rPr>
              <w:t>and $754,974, respectively)</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798,287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758,739</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45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6"/>
              </w:rPr>
              <w:t>Total investments, at fair value (cost: $864,980</w:t>
            </w:r>
            <w:r>
              <w:rPr>
                <w:rFonts w:ascii="Times New Roman" w:hAnsi="Times New Roman"/>
                <w:sz w:val="20"/>
              </w:rPr>
              <w:t> </w:t>
            </w:r>
            <w:r>
              <w:rPr>
                <w:rFonts w:ascii="Times New Roman;serif" w:hAnsi="Times New Roman;serif"/>
                <w:b w:val="false"/>
                <w:sz w:val="16"/>
              </w:rPr>
              <w:t>and $828,693, respectively)</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897,324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860,329</w:t>
            </w:r>
          </w:p>
        </w:tc>
        <w:tc>
          <w:tcPr>
            <w:tcW w:w="294" w:type="dxa"/>
            <w:tcBorders/>
            <w:shd w:fill="auto" w:val="clear"/>
            <w:vAlign w:val="center"/>
          </w:tcPr>
          <w:p>
            <w:pPr>
              <w:pStyle w:val="TableContents"/>
              <w:spacing w:before="0" w:after="0"/>
              <w:ind w:left="0" w:right="0" w:hanging="0"/>
              <w:jc w:val="left"/>
              <w:rPr/>
            </w:pPr>
            <w:r>
              <w:rPr/>
              <w:t> </w:t>
            </w:r>
          </w:p>
        </w:tc>
      </w:tr>
      <w:tr>
        <w:trPr/>
        <w:tc>
          <w:tcPr>
            <w:tcW w:w="745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36,418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62,350</w:t>
            </w:r>
          </w:p>
        </w:tc>
        <w:tc>
          <w:tcPr>
            <w:tcW w:w="294" w:type="dxa"/>
            <w:tcBorders/>
            <w:shd w:fill="auto" w:val="clear"/>
            <w:vAlign w:val="center"/>
          </w:tcPr>
          <w:p>
            <w:pPr>
              <w:pStyle w:val="TableContents"/>
              <w:spacing w:before="0" w:after="0"/>
              <w:ind w:left="0" w:right="0" w:hanging="0"/>
              <w:jc w:val="left"/>
              <w:rPr/>
            </w:pPr>
            <w:r>
              <w:rPr/>
              <w:t> </w:t>
            </w:r>
          </w:p>
        </w:tc>
      </w:tr>
      <w:tr>
        <w:trPr/>
        <w:tc>
          <w:tcPr>
            <w:tcW w:w="745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Interest receivable</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13,705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11,826</w:t>
            </w:r>
          </w:p>
        </w:tc>
        <w:tc>
          <w:tcPr>
            <w:tcW w:w="294" w:type="dxa"/>
            <w:tcBorders/>
            <w:shd w:fill="auto" w:val="clear"/>
            <w:vAlign w:val="center"/>
          </w:tcPr>
          <w:p>
            <w:pPr>
              <w:pStyle w:val="TableContents"/>
              <w:spacing w:before="0" w:after="0"/>
              <w:ind w:left="0" w:right="0" w:hanging="0"/>
              <w:jc w:val="left"/>
              <w:rPr/>
            </w:pPr>
            <w:r>
              <w:rPr/>
              <w:t> </w:t>
            </w:r>
          </w:p>
        </w:tc>
      </w:tr>
      <w:tr>
        <w:trPr/>
        <w:tc>
          <w:tcPr>
            <w:tcW w:w="745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Prepaid expenses and other assets</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1,577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1,455</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457"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Total assets</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949,024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935,960</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457"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LIABILITIES</w:t>
            </w:r>
          </w:p>
        </w:tc>
        <w:tc>
          <w:tcPr>
            <w:tcW w:w="146" w:type="dxa"/>
            <w:tcBorders/>
            <w:shd w:fill="auto" w:val="clear"/>
            <w:vAlign w:val="center"/>
          </w:tcPr>
          <w:p>
            <w:pPr>
              <w:pStyle w:val="TableContents"/>
              <w:spacing w:before="0" w:after="0"/>
              <w:ind w:left="0" w:right="0" w:hanging="0"/>
              <w:jc w:val="left"/>
              <w:rPr/>
            </w:pPr>
            <w:r>
              <w:rPr/>
              <w:t> </w:t>
            </w:r>
          </w:p>
        </w:tc>
        <w:tc>
          <w:tcPr>
            <w:tcW w:w="93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r>
      <w:tr>
        <w:trPr/>
        <w:tc>
          <w:tcPr>
            <w:tcW w:w="745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SBA debentures, net of deferred financing costs (Note 6)</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160,352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148,476</w:t>
            </w:r>
          </w:p>
        </w:tc>
        <w:tc>
          <w:tcPr>
            <w:tcW w:w="294" w:type="dxa"/>
            <w:tcBorders/>
            <w:shd w:fill="auto" w:val="clear"/>
            <w:vAlign w:val="center"/>
          </w:tcPr>
          <w:p>
            <w:pPr>
              <w:pStyle w:val="TableContents"/>
              <w:spacing w:before="0" w:after="0"/>
              <w:ind w:left="0" w:right="0" w:hanging="0"/>
              <w:jc w:val="left"/>
              <w:rPr/>
            </w:pPr>
            <w:r>
              <w:rPr/>
              <w:t> </w:t>
            </w:r>
          </w:p>
        </w:tc>
      </w:tr>
      <w:tr>
        <w:trPr/>
        <w:tc>
          <w:tcPr>
            <w:tcW w:w="745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Notes, net of deferred financing costs (Note 6)</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246,402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246,128</w:t>
            </w:r>
          </w:p>
        </w:tc>
        <w:tc>
          <w:tcPr>
            <w:tcW w:w="294" w:type="dxa"/>
            <w:tcBorders/>
            <w:shd w:fill="auto" w:val="clear"/>
            <w:vAlign w:val="center"/>
          </w:tcPr>
          <w:p>
            <w:pPr>
              <w:pStyle w:val="TableContents"/>
              <w:spacing w:before="0" w:after="0"/>
              <w:ind w:left="0" w:right="0" w:hanging="0"/>
              <w:jc w:val="left"/>
              <w:rPr/>
            </w:pPr>
            <w:r>
              <w:rPr/>
              <w:t> </w:t>
            </w:r>
          </w:p>
        </w:tc>
      </w:tr>
      <w:tr>
        <w:trPr/>
        <w:tc>
          <w:tcPr>
            <w:tcW w:w="745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Borrowings under Credit Facility, net of deferred financing costs (Note 6)</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13,694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(1,380</w:t>
            </w:r>
          </w:p>
        </w:tc>
        <w:tc>
          <w:tcPr>
            <w:tcW w:w="29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745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Secured borrowings</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16,634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16,880</w:t>
            </w:r>
          </w:p>
        </w:tc>
        <w:tc>
          <w:tcPr>
            <w:tcW w:w="294" w:type="dxa"/>
            <w:tcBorders/>
            <w:shd w:fill="auto" w:val="clear"/>
            <w:vAlign w:val="center"/>
          </w:tcPr>
          <w:p>
            <w:pPr>
              <w:pStyle w:val="TableContents"/>
              <w:spacing w:before="0" w:after="0"/>
              <w:ind w:left="0" w:right="0" w:hanging="0"/>
              <w:jc w:val="left"/>
              <w:rPr/>
            </w:pPr>
            <w:r>
              <w:rPr/>
              <w:t> </w:t>
            </w:r>
          </w:p>
        </w:tc>
      </w:tr>
      <w:tr>
        <w:trPr/>
        <w:tc>
          <w:tcPr>
            <w:tcW w:w="745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Accrued interest and fees payable</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4,747</w:t>
            </w:r>
          </w:p>
        </w:tc>
        <w:tc>
          <w:tcPr>
            <w:tcW w:w="294" w:type="dxa"/>
            <w:tcBorders/>
            <w:shd w:fill="auto" w:val="clear"/>
            <w:vAlign w:val="center"/>
          </w:tcPr>
          <w:p>
            <w:pPr>
              <w:pStyle w:val="TableContents"/>
              <w:spacing w:before="0" w:after="0"/>
              <w:ind w:left="0" w:right="0" w:hanging="0"/>
              <w:jc w:val="left"/>
              <w:rPr/>
            </w:pPr>
            <w:r>
              <w:rPr/>
              <w:t> </w:t>
            </w:r>
          </w:p>
        </w:tc>
      </w:tr>
      <w:tr>
        <w:trPr/>
        <w:tc>
          <w:tcPr>
            <w:tcW w:w="745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Base management fee payable, net of base management fee waiver – due to affiliate</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3,769</w:t>
            </w:r>
          </w:p>
        </w:tc>
        <w:tc>
          <w:tcPr>
            <w:tcW w:w="294" w:type="dxa"/>
            <w:tcBorders/>
            <w:shd w:fill="auto" w:val="clear"/>
            <w:vAlign w:val="center"/>
          </w:tcPr>
          <w:p>
            <w:pPr>
              <w:pStyle w:val="TableContents"/>
              <w:spacing w:before="0" w:after="0"/>
              <w:ind w:left="0" w:right="0" w:hanging="0"/>
              <w:jc w:val="left"/>
              <w:rPr/>
            </w:pPr>
            <w:r>
              <w:rPr/>
              <w:t> </w:t>
            </w:r>
          </w:p>
        </w:tc>
      </w:tr>
      <w:tr>
        <w:trPr/>
        <w:tc>
          <w:tcPr>
            <w:tcW w:w="745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Income incentive fee payable – due to affiliate</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3,035</w:t>
            </w:r>
          </w:p>
        </w:tc>
        <w:tc>
          <w:tcPr>
            <w:tcW w:w="294" w:type="dxa"/>
            <w:tcBorders/>
            <w:shd w:fill="auto" w:val="clear"/>
            <w:vAlign w:val="center"/>
          </w:tcPr>
          <w:p>
            <w:pPr>
              <w:pStyle w:val="TableContents"/>
              <w:spacing w:before="0" w:after="0"/>
              <w:ind w:left="0" w:right="0" w:hanging="0"/>
              <w:jc w:val="left"/>
              <w:rPr/>
            </w:pPr>
            <w:r>
              <w:rPr/>
              <w:t> </w:t>
            </w:r>
          </w:p>
        </w:tc>
      </w:tr>
      <w:tr>
        <w:trPr/>
        <w:tc>
          <w:tcPr>
            <w:tcW w:w="745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Capital gains incentive fee payable – due to affiliate</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15,257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22,659</w:t>
            </w:r>
          </w:p>
        </w:tc>
        <w:tc>
          <w:tcPr>
            <w:tcW w:w="294" w:type="dxa"/>
            <w:tcBorders/>
            <w:shd w:fill="auto" w:val="clear"/>
            <w:vAlign w:val="center"/>
          </w:tcPr>
          <w:p>
            <w:pPr>
              <w:pStyle w:val="TableContents"/>
              <w:spacing w:before="0" w:after="0"/>
              <w:ind w:left="0" w:right="0" w:hanging="0"/>
              <w:jc w:val="left"/>
              <w:rPr/>
            </w:pPr>
            <w:r>
              <w:rPr/>
              <w:t> </w:t>
            </w:r>
          </w:p>
        </w:tc>
      </w:tr>
      <w:tr>
        <w:trPr/>
        <w:tc>
          <w:tcPr>
            <w:tcW w:w="745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Administration fee payable and other – due to affiliate</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576</w:t>
            </w:r>
          </w:p>
        </w:tc>
        <w:tc>
          <w:tcPr>
            <w:tcW w:w="294" w:type="dxa"/>
            <w:tcBorders/>
            <w:shd w:fill="auto" w:val="clear"/>
            <w:vAlign w:val="center"/>
          </w:tcPr>
          <w:p>
            <w:pPr>
              <w:pStyle w:val="TableContents"/>
              <w:spacing w:before="0" w:after="0"/>
              <w:ind w:left="0" w:right="0" w:hanging="0"/>
              <w:jc w:val="left"/>
              <w:rPr/>
            </w:pPr>
            <w:r>
              <w:rPr/>
              <w:t> </w:t>
            </w:r>
          </w:p>
        </w:tc>
      </w:tr>
      <w:tr>
        <w:trPr/>
        <w:tc>
          <w:tcPr>
            <w:tcW w:w="745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Taxes payable</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9,937</w:t>
            </w:r>
          </w:p>
        </w:tc>
        <w:tc>
          <w:tcPr>
            <w:tcW w:w="294" w:type="dxa"/>
            <w:tcBorders/>
            <w:shd w:fill="auto" w:val="clear"/>
            <w:vAlign w:val="center"/>
          </w:tcPr>
          <w:p>
            <w:pPr>
              <w:pStyle w:val="TableContents"/>
              <w:spacing w:before="0" w:after="0"/>
              <w:ind w:left="0" w:right="0" w:hanging="0"/>
              <w:jc w:val="left"/>
              <w:rPr/>
            </w:pPr>
            <w:r>
              <w:rPr/>
              <w:t> </w:t>
            </w:r>
          </w:p>
        </w:tc>
      </w:tr>
      <w:tr>
        <w:trPr/>
        <w:tc>
          <w:tcPr>
            <w:tcW w:w="745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Accounts payable and other liabilities</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735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790</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457"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464,378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455,617</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45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Commitments and contingencies (Note 7)</w:t>
            </w:r>
          </w:p>
        </w:tc>
        <w:tc>
          <w:tcPr>
            <w:tcW w:w="146" w:type="dxa"/>
            <w:tcBorders/>
            <w:shd w:fill="auto" w:val="clear"/>
            <w:vAlign w:val="center"/>
          </w:tcPr>
          <w:p>
            <w:pPr>
              <w:pStyle w:val="TableContents"/>
              <w:spacing w:before="0" w:after="0"/>
              <w:ind w:left="0" w:right="0" w:hanging="0"/>
              <w:jc w:val="left"/>
              <w:rPr/>
            </w:pPr>
            <w:r>
              <w:rPr/>
              <w:t> </w:t>
            </w:r>
          </w:p>
        </w:tc>
        <w:tc>
          <w:tcPr>
            <w:tcW w:w="93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r>
      <w:tr>
        <w:trPr/>
        <w:tc>
          <w:tcPr>
            <w:tcW w:w="7457"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NET ASSETS</w:t>
            </w:r>
          </w:p>
        </w:tc>
        <w:tc>
          <w:tcPr>
            <w:tcW w:w="146" w:type="dxa"/>
            <w:tcBorders/>
            <w:shd w:fill="auto" w:val="clear"/>
            <w:vAlign w:val="center"/>
          </w:tcPr>
          <w:p>
            <w:pPr>
              <w:pStyle w:val="TableContents"/>
              <w:spacing w:before="0" w:after="0"/>
              <w:ind w:left="0" w:right="0" w:hanging="0"/>
              <w:jc w:val="left"/>
              <w:rPr/>
            </w:pPr>
            <w:r>
              <w:rPr/>
              <w:t> </w:t>
            </w:r>
          </w:p>
        </w:tc>
        <w:tc>
          <w:tcPr>
            <w:tcW w:w="939"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left"/>
              <w:rPr/>
            </w:pPr>
            <w:r>
              <w:rPr/>
              <w:t> </w:t>
            </w:r>
          </w:p>
        </w:tc>
        <w:tc>
          <w:tcPr>
            <w:tcW w:w="294" w:type="dxa"/>
            <w:tcBorders/>
            <w:shd w:fill="auto" w:val="clear"/>
            <w:vAlign w:val="center"/>
          </w:tcPr>
          <w:p>
            <w:pPr>
              <w:pStyle w:val="TableContents"/>
              <w:spacing w:before="0" w:after="0"/>
              <w:ind w:left="0" w:right="0" w:hanging="0"/>
              <w:jc w:val="left"/>
              <w:rPr/>
            </w:pPr>
            <w:r>
              <w:rPr/>
              <w:t> </w:t>
            </w:r>
          </w:p>
        </w:tc>
      </w:tr>
      <w:tr>
        <w:trPr/>
        <w:tc>
          <w:tcPr>
            <w:tcW w:w="7457"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6"/>
              </w:rPr>
              <w:t>Common stock, $0.001</w:t>
            </w:r>
            <w:r>
              <w:rPr>
                <w:rFonts w:ascii="Times New Roman" w:hAnsi="Times New Roman"/>
                <w:sz w:val="20"/>
              </w:rPr>
              <w:t> </w:t>
            </w:r>
            <w:r>
              <w:rPr>
                <w:rFonts w:ascii="Times New Roman;serif" w:hAnsi="Times New Roman;serif"/>
                <w:b w:val="false"/>
                <w:sz w:val="16"/>
              </w:rPr>
              <w:t>par value (100,000,000</w:t>
            </w:r>
            <w:r>
              <w:rPr>
                <w:rFonts w:ascii="Times New Roman" w:hAnsi="Times New Roman"/>
                <w:sz w:val="20"/>
              </w:rPr>
              <w:t> </w:t>
            </w:r>
            <w:r>
              <w:rPr>
                <w:rFonts w:ascii="Times New Roman;serif" w:hAnsi="Times New Roman;serif"/>
                <w:b w:val="false"/>
                <w:sz w:val="16"/>
              </w:rPr>
              <w:t>shares authorized, 24,988,398</w:t>
            </w:r>
            <w:r>
              <w:rPr>
                <w:rFonts w:ascii="Times New Roman" w:hAnsi="Times New Roman"/>
                <w:sz w:val="20"/>
              </w:rPr>
              <w:t> </w:t>
            </w:r>
            <w:r>
              <w:rPr>
                <w:rFonts w:ascii="Times New Roman;serif" w:hAnsi="Times New Roman;serif"/>
                <w:b w:val="false"/>
                <w:sz w:val="16"/>
              </w:rPr>
              <w:t>and 24,727,788</w:t>
            </w:r>
            <w:r>
              <w:rPr>
                <w:rFonts w:ascii="Times New Roman" w:hAnsi="Times New Roman"/>
                <w:sz w:val="20"/>
              </w:rPr>
              <w:t> </w:t>
            </w:r>
            <w:r>
              <w:rPr>
                <w:rFonts w:ascii="Times New Roman;serif" w:hAnsi="Times New Roman;serif"/>
                <w:b w:val="false"/>
                <w:sz w:val="16"/>
              </w:rPr>
              <w:t>shares issued and</w:t>
            </w:r>
          </w:p>
        </w:tc>
        <w:tc>
          <w:tcPr>
            <w:tcW w:w="146" w:type="dxa"/>
            <w:tcBorders/>
            <w:shd w:fill="auto" w:val="clear"/>
            <w:vAlign w:val="center"/>
          </w:tcPr>
          <w:p>
            <w:pPr>
              <w:pStyle w:val="TableContents"/>
              <w:spacing w:before="0" w:after="0"/>
              <w:ind w:left="0" w:right="0" w:hanging="0"/>
              <w:jc w:val="left"/>
              <w:rPr/>
            </w:pPr>
            <w:r>
              <w:rPr/>
              <w:t> </w:t>
            </w:r>
          </w:p>
        </w:tc>
        <w:tc>
          <w:tcPr>
            <w:tcW w:w="939"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77" w:type="dxa"/>
            <w:gridSpan w:val="2"/>
            <w:tcBorders/>
            <w:shd w:fill="auto" w:val="clear"/>
            <w:vAlign w:val="center"/>
          </w:tcPr>
          <w:p>
            <w:pPr>
              <w:pStyle w:val="TableContents"/>
              <w:spacing w:before="0" w:after="0"/>
              <w:ind w:left="0" w:right="0" w:hanging="0"/>
              <w:jc w:val="right"/>
              <w:rPr/>
            </w:pPr>
            <w:r>
              <w:rPr/>
              <w:t> </w:t>
            </w:r>
          </w:p>
        </w:tc>
        <w:tc>
          <w:tcPr>
            <w:tcW w:w="294" w:type="dxa"/>
            <w:tcBorders/>
            <w:shd w:fill="auto" w:val="clear"/>
            <w:vAlign w:val="center"/>
          </w:tcPr>
          <w:p>
            <w:pPr>
              <w:pStyle w:val="TableContents"/>
              <w:spacing w:before="0" w:after="0"/>
              <w:ind w:left="0" w:right="0" w:firstLine="100"/>
              <w:jc w:val="right"/>
              <w:rPr/>
            </w:pPr>
            <w:r>
              <w:rPr/>
              <w:t> </w:t>
            </w:r>
          </w:p>
        </w:tc>
      </w:tr>
      <w:tr>
        <w:trPr/>
        <w:tc>
          <w:tcPr>
            <w:tcW w:w="7457" w:type="dxa"/>
            <w:tcBorders/>
            <w:shd w:fill="auto" w:val="clear"/>
            <w:vAlign w:val="center"/>
          </w:tcPr>
          <w:p>
            <w:pPr>
              <w:pStyle w:val="TableContents"/>
              <w:spacing w:before="0" w:after="0"/>
              <w:ind w:left="100" w:right="0" w:hanging="0"/>
              <w:jc w:val="left"/>
              <w:rPr/>
            </w:pPr>
            <w:r>
              <w:rPr/>
              <w:t> </w:t>
            </w:r>
            <w:r>
              <w:rPr>
                <w:rFonts w:ascii="Times New Roman;serif" w:hAnsi="Times New Roman;serif"/>
                <w:b w:val="false"/>
                <w:sz w:val="16"/>
              </w:rPr>
              <w:t>outstanding at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294" w:type="dxa"/>
            <w:tcBorders/>
            <w:shd w:fill="auto" w:val="clear"/>
            <w:vAlign w:val="center"/>
          </w:tcPr>
          <w:p>
            <w:pPr>
              <w:pStyle w:val="TableContents"/>
              <w:spacing w:before="0" w:after="0"/>
              <w:ind w:left="0" w:right="0" w:hanging="0"/>
              <w:jc w:val="left"/>
              <w:rPr/>
            </w:pPr>
            <w:r>
              <w:rPr/>
              <w:t> </w:t>
            </w:r>
          </w:p>
        </w:tc>
      </w:tr>
      <w:tr>
        <w:trPr/>
        <w:tc>
          <w:tcPr>
            <w:tcW w:w="745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shd w:fill="auto" w:val="clear"/>
            <w:vAlign w:val="center"/>
          </w:tcPr>
          <w:p>
            <w:pPr>
              <w:pStyle w:val="TableContents"/>
              <w:spacing w:before="0" w:after="0"/>
              <w:ind w:left="0" w:right="0" w:hanging="0"/>
              <w:jc w:val="left"/>
              <w:rPr/>
            </w:pPr>
            <w:r>
              <w:rPr/>
              <w:t> </w:t>
            </w:r>
          </w:p>
        </w:tc>
        <w:tc>
          <w:tcPr>
            <w:tcW w:w="73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400,978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 w:type="dxa"/>
            <w:tcBorders/>
            <w:shd w:fill="auto" w:val="clear"/>
            <w:vAlign w:val="center"/>
          </w:tcPr>
          <w:p>
            <w:pPr>
              <w:pStyle w:val="TableContents"/>
              <w:spacing w:before="0" w:after="0"/>
              <w:ind w:left="0" w:right="0" w:hanging="0"/>
              <w:jc w:val="left"/>
              <w:rPr/>
            </w:pPr>
            <w:r>
              <w:rPr/>
              <w:t> </w:t>
            </w:r>
          </w:p>
        </w:tc>
        <w:tc>
          <w:tcPr>
            <w:tcW w:w="83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395,672</w:t>
            </w:r>
          </w:p>
        </w:tc>
        <w:tc>
          <w:tcPr>
            <w:tcW w:w="294" w:type="dxa"/>
            <w:tcBorders/>
            <w:shd w:fill="auto" w:val="clear"/>
            <w:vAlign w:val="center"/>
          </w:tcPr>
          <w:p>
            <w:pPr>
              <w:pStyle w:val="TableContents"/>
              <w:spacing w:before="0" w:after="0"/>
              <w:ind w:left="0" w:right="0" w:hanging="0"/>
              <w:jc w:val="left"/>
              <w:rPr/>
            </w:pPr>
            <w:r>
              <w:rPr/>
              <w:t> </w:t>
            </w:r>
          </w:p>
        </w:tc>
      </w:tr>
      <w:tr>
        <w:trPr/>
        <w:tc>
          <w:tcPr>
            <w:tcW w:w="745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distributable earnings</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83,643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84,646</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457"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Total net assets</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484,646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480,343</w:t>
            </w:r>
          </w:p>
        </w:tc>
        <w:tc>
          <w:tcPr>
            <w:tcW w:w="29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457"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Total liabilities and net assets</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949,024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935,960</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457"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Net asset value per common share</w:t>
            </w:r>
          </w:p>
        </w:tc>
        <w:tc>
          <w:tcPr>
            <w:tcW w:w="146" w:type="dxa"/>
            <w:tcBorders/>
            <w:shd w:fill="auto" w:val="clear"/>
            <w:vAlign w:val="center"/>
          </w:tcPr>
          <w:p>
            <w:pPr>
              <w:pStyle w:val="TableContents"/>
              <w:spacing w:before="0" w:after="0"/>
              <w:ind w:left="0" w:right="0" w:hanging="0"/>
              <w:jc w:val="left"/>
              <w:rPr/>
            </w:pPr>
            <w:r>
              <w:rPr/>
              <w:t> </w:t>
            </w:r>
          </w:p>
        </w:tc>
        <w:tc>
          <w:tcPr>
            <w:tcW w:w="20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19.39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19.43</w:t>
            </w:r>
          </w:p>
        </w:tc>
        <w:tc>
          <w:tcPr>
            <w:tcW w:w="29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See Notes to Consolidated Financial Statements (unaudited).</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180"/>
        <w:jc w:val="center"/>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bookmarkStart w:id="5" w:name="statement_of_operations"/>
      <w:bookmarkEnd w:id="5"/>
      <w:r>
        <w:rPr>
          <w:rFonts w:ascii="Times New Roman;serif" w:hAnsi="Times New Roman;serif"/>
          <w:b/>
          <w:sz w:val="20"/>
        </w:rPr>
        <w:t>Consolidated Statements of Operations (unaudited)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shares and per share data)</w:t>
      </w:r>
    </w:p>
    <w:tbl>
      <w:tblPr>
        <w:tblW w:w="9235" w:type="dxa"/>
        <w:jc w:val="left"/>
        <w:tblInd w:w="0" w:type="dxa"/>
        <w:tblCellMar>
          <w:top w:w="28" w:type="dxa"/>
          <w:left w:w="28" w:type="dxa"/>
          <w:bottom w:w="28" w:type="dxa"/>
          <w:right w:w="28" w:type="dxa"/>
        </w:tblCellMar>
      </w:tblPr>
      <w:tblGrid>
        <w:gridCol w:w="5716"/>
        <w:gridCol w:w="146"/>
        <w:gridCol w:w="196"/>
        <w:gridCol w:w="916"/>
        <w:gridCol w:w="166"/>
        <w:gridCol w:w="146"/>
        <w:gridCol w:w="196"/>
        <w:gridCol w:w="916"/>
        <w:gridCol w:w="166"/>
        <w:gridCol w:w="671"/>
      </w:tblGrid>
      <w:tr>
        <w:trPr/>
        <w:tc>
          <w:tcPr>
            <w:tcW w:w="57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r>
      <w:tr>
        <w:trPr/>
        <w:tc>
          <w:tcPr>
            <w:tcW w:w="57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3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w:t>
            </w:r>
          </w:p>
        </w:tc>
        <w:tc>
          <w:tcPr>
            <w:tcW w:w="166" w:type="dxa"/>
            <w:tcBorders/>
            <w:shd w:fill="auto" w:val="clear"/>
            <w:vAlign w:val="center"/>
          </w:tcPr>
          <w:p>
            <w:pPr>
              <w:pStyle w:val="TableContents"/>
              <w:spacing w:before="0" w:after="0"/>
              <w:ind w:left="0" w:right="0" w:hanging="0"/>
              <w:jc w:val="center"/>
              <w:rPr/>
            </w:pPr>
            <w:r>
              <w:rPr/>
              <w:t> </w:t>
            </w:r>
          </w:p>
        </w:tc>
        <w:tc>
          <w:tcPr>
            <w:tcW w:w="671" w:type="dxa"/>
            <w:tcBorders/>
            <w:shd w:fill="auto" w:val="clear"/>
            <w:vAlign w:val="center"/>
          </w:tcPr>
          <w:p>
            <w:pPr>
              <w:pStyle w:val="TableContents"/>
              <w:spacing w:before="0" w:after="0"/>
              <w:ind w:left="0" w:right="0" w:hanging="0"/>
              <w:jc w:val="center"/>
              <w:rPr/>
            </w:pPr>
            <w:r>
              <w:rPr/>
              <w:t> </w:t>
            </w:r>
          </w:p>
        </w:tc>
      </w:tr>
      <w:tr>
        <w:trPr/>
        <w:tc>
          <w:tcPr>
            <w:tcW w:w="57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71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Investment Income:</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160"/>
              <w:jc w:val="left"/>
              <w:rPr/>
            </w:pPr>
            <w:r>
              <w:rPr/>
              <w:t> </w:t>
            </w:r>
          </w:p>
        </w:tc>
      </w:tr>
      <w:tr>
        <w:trPr/>
        <w:tc>
          <w:tcPr>
            <w:tcW w:w="5716" w:type="dxa"/>
            <w:tcBorders/>
            <w:shd w:fill="auto" w:val="clear"/>
            <w:vAlign w:val="center"/>
          </w:tcPr>
          <w:p>
            <w:pPr>
              <w:pStyle w:val="TableContents"/>
              <w:spacing w:before="0" w:after="0"/>
              <w:ind w:left="160" w:right="0" w:hanging="0"/>
              <w:jc w:val="left"/>
              <w:rPr>
                <w:rFonts w:ascii="Times New Roman;serif" w:hAnsi="Times New Roman;serif"/>
                <w:b w:val="false"/>
                <w:sz w:val="16"/>
              </w:rPr>
            </w:pPr>
            <w:r>
              <w:rPr>
                <w:rFonts w:ascii="Times New Roman;serif" w:hAnsi="Times New Roman;serif"/>
                <w:b w:val="false"/>
                <w:sz w:val="16"/>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320"/>
              <w:jc w:val="left"/>
              <w:rPr/>
            </w:pPr>
            <w:r>
              <w:rPr/>
              <w:t> </w:t>
            </w:r>
          </w:p>
        </w:tc>
      </w:tr>
      <w:tr>
        <w:trPr/>
        <w:tc>
          <w:tcPr>
            <w:tcW w:w="5716" w:type="dxa"/>
            <w:tcBorders/>
            <w:shd w:fill="auto" w:val="clear"/>
            <w:vAlign w:val="center"/>
          </w:tcPr>
          <w:p>
            <w:pPr>
              <w:pStyle w:val="TableContents"/>
              <w:spacing w:before="0" w:after="0"/>
              <w:ind w:left="320" w:right="0" w:hanging="0"/>
              <w:jc w:val="left"/>
              <w:rPr>
                <w:rFonts w:ascii="Times New Roman;serif" w:hAnsi="Times New Roman;serif"/>
                <w:b w:val="false"/>
                <w:sz w:val="16"/>
              </w:rPr>
            </w:pPr>
            <w:r>
              <w:rPr>
                <w:rFonts w:ascii="Times New Roman;serif" w:hAnsi="Times New Roman;serif"/>
                <w:b w:val="false"/>
                <w:sz w:val="16"/>
              </w:rPr>
              <w:t>Control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320"/>
              <w:jc w:val="right"/>
              <w:rPr/>
            </w:pPr>
            <w:r>
              <w:rPr/>
              <w:t> </w:t>
            </w:r>
          </w:p>
        </w:tc>
      </w:tr>
      <w:tr>
        <w:trPr/>
        <w:tc>
          <w:tcPr>
            <w:tcW w:w="5716" w:type="dxa"/>
            <w:tcBorders/>
            <w:shd w:fill="auto" w:val="clear"/>
            <w:vAlign w:val="center"/>
          </w:tcPr>
          <w:p>
            <w:pPr>
              <w:pStyle w:val="TableContents"/>
              <w:spacing w:before="0" w:after="0"/>
              <w:ind w:left="320" w:right="0" w:hanging="0"/>
              <w:jc w:val="left"/>
              <w:rPr>
                <w:rFonts w:ascii="Times New Roman;serif" w:hAnsi="Times New Roman;serif"/>
                <w:b w:val="false"/>
                <w:sz w:val="16"/>
              </w:rPr>
            </w:pPr>
            <w:r>
              <w:rPr>
                <w:rFonts w:ascii="Times New Roman;serif" w:hAnsi="Times New Roman;serif"/>
                <w:b w:val="false"/>
                <w:sz w:val="16"/>
              </w:rPr>
              <w:t>Affiliate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884</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320"/>
              <w:jc w:val="right"/>
              <w:rPr/>
            </w:pPr>
            <w:r>
              <w:rPr/>
              <w:t> </w:t>
            </w:r>
          </w:p>
        </w:tc>
      </w:tr>
      <w:tr>
        <w:trPr/>
        <w:tc>
          <w:tcPr>
            <w:tcW w:w="5716" w:type="dxa"/>
            <w:tcBorders/>
            <w:shd w:fill="auto" w:val="clear"/>
            <w:vAlign w:val="center"/>
          </w:tcPr>
          <w:p>
            <w:pPr>
              <w:pStyle w:val="TableContents"/>
              <w:spacing w:before="0" w:after="0"/>
              <w:ind w:left="320" w:right="0" w:hanging="0"/>
              <w:jc w:val="left"/>
              <w:rPr>
                <w:rFonts w:ascii="Times New Roman;serif" w:hAnsi="Times New Roman;serif"/>
                <w:b w:val="false"/>
                <w:sz w:val="16"/>
              </w:rPr>
            </w:pPr>
            <w:r>
              <w:rPr>
                <w:rFonts w:ascii="Times New Roman;serif" w:hAnsi="Times New Roman;serif"/>
                <w:b w:val="false"/>
                <w:sz w:val="16"/>
              </w:rPr>
              <w:t>Non-control/non-affiliate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24,906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16,197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80"/>
              <w:jc w:val="right"/>
              <w:rPr/>
            </w:pPr>
            <w:r>
              <w:rPr/>
              <w:t> </w:t>
            </w:r>
          </w:p>
        </w:tc>
      </w:tr>
      <w:tr>
        <w:trPr/>
        <w:tc>
          <w:tcPr>
            <w:tcW w:w="5716" w:type="dxa"/>
            <w:tcBorders/>
            <w:shd w:fill="auto" w:val="clear"/>
            <w:vAlign w:val="center"/>
          </w:tcPr>
          <w:p>
            <w:pPr>
              <w:pStyle w:val="TableContents"/>
              <w:spacing w:before="0" w:after="0"/>
              <w:ind w:left="480" w:right="0" w:hanging="0"/>
              <w:jc w:val="left"/>
              <w:rPr>
                <w:rFonts w:ascii="Times New Roman;serif" w:hAnsi="Times New Roman;serif"/>
                <w:b w:val="false"/>
                <w:sz w:val="16"/>
              </w:rPr>
            </w:pPr>
            <w:r>
              <w:rPr>
                <w:rFonts w:ascii="Times New Roman;serif" w:hAnsi="Times New Roman;serif"/>
                <w:b w:val="false"/>
                <w:sz w:val="16"/>
              </w:rPr>
              <w:t>Total interest income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25,956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17,081</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160"/>
              <w:jc w:val="right"/>
              <w:rPr/>
            </w:pPr>
            <w:r>
              <w:rPr/>
              <w:t> </w:t>
            </w:r>
          </w:p>
        </w:tc>
      </w:tr>
      <w:tr>
        <w:trPr/>
        <w:tc>
          <w:tcPr>
            <w:tcW w:w="5716" w:type="dxa"/>
            <w:tcBorders/>
            <w:shd w:fill="auto" w:val="clear"/>
            <w:vAlign w:val="center"/>
          </w:tcPr>
          <w:p>
            <w:pPr>
              <w:pStyle w:val="TableContents"/>
              <w:spacing w:before="0" w:after="0"/>
              <w:ind w:left="160" w:right="0" w:hanging="0"/>
              <w:jc w:val="left"/>
              <w:rPr>
                <w:rFonts w:ascii="Times New Roman;serif" w:hAnsi="Times New Roman;serif"/>
                <w:b w:val="false"/>
                <w:sz w:val="16"/>
              </w:rPr>
            </w:pPr>
            <w:r>
              <w:rPr>
                <w:rFonts w:ascii="Times New Roman;serif" w:hAnsi="Times New Roman;serif"/>
                <w:b w:val="false"/>
                <w:sz w:val="16"/>
              </w:rPr>
              <w:t>Payment-in-kind interest income</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320"/>
              <w:jc w:val="left"/>
              <w:rPr/>
            </w:pPr>
            <w:r>
              <w:rPr/>
              <w:t> </w:t>
            </w:r>
          </w:p>
        </w:tc>
      </w:tr>
      <w:tr>
        <w:trPr/>
        <w:tc>
          <w:tcPr>
            <w:tcW w:w="5716" w:type="dxa"/>
            <w:tcBorders/>
            <w:shd w:fill="auto" w:val="clear"/>
            <w:vAlign w:val="center"/>
          </w:tcPr>
          <w:p>
            <w:pPr>
              <w:pStyle w:val="TableContents"/>
              <w:spacing w:before="0" w:after="0"/>
              <w:ind w:left="320" w:right="0" w:hanging="0"/>
              <w:jc w:val="left"/>
              <w:rPr>
                <w:rFonts w:ascii="Times New Roman;serif" w:hAnsi="Times New Roman;serif"/>
                <w:b w:val="false"/>
                <w:sz w:val="16"/>
              </w:rPr>
            </w:pPr>
            <w:r>
              <w:rPr>
                <w:rFonts w:ascii="Times New Roman;serif" w:hAnsi="Times New Roman;serif"/>
                <w:b w:val="false"/>
                <w:sz w:val="16"/>
              </w:rPr>
              <w:t>Control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320"/>
              <w:jc w:val="right"/>
              <w:rPr/>
            </w:pPr>
            <w:r>
              <w:rPr/>
              <w:t> </w:t>
            </w:r>
          </w:p>
        </w:tc>
      </w:tr>
      <w:tr>
        <w:trPr/>
        <w:tc>
          <w:tcPr>
            <w:tcW w:w="5716" w:type="dxa"/>
            <w:tcBorders/>
            <w:shd w:fill="auto" w:val="clear"/>
            <w:vAlign w:val="center"/>
          </w:tcPr>
          <w:p>
            <w:pPr>
              <w:pStyle w:val="TableContents"/>
              <w:spacing w:before="0" w:after="0"/>
              <w:ind w:left="320" w:right="0" w:hanging="0"/>
              <w:jc w:val="left"/>
              <w:rPr>
                <w:rFonts w:ascii="Times New Roman;serif" w:hAnsi="Times New Roman;serif"/>
                <w:b w:val="false"/>
                <w:sz w:val="16"/>
              </w:rPr>
            </w:pPr>
            <w:r>
              <w:rPr>
                <w:rFonts w:ascii="Times New Roman;serif" w:hAnsi="Times New Roman;serif"/>
                <w:b w:val="false"/>
                <w:sz w:val="16"/>
              </w:rPr>
              <w:t>Affiliate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320"/>
              <w:jc w:val="right"/>
              <w:rPr/>
            </w:pPr>
            <w:r>
              <w:rPr/>
              <w:t> </w:t>
            </w:r>
          </w:p>
        </w:tc>
      </w:tr>
      <w:tr>
        <w:trPr/>
        <w:tc>
          <w:tcPr>
            <w:tcW w:w="5716" w:type="dxa"/>
            <w:tcBorders/>
            <w:shd w:fill="auto" w:val="clear"/>
            <w:vAlign w:val="center"/>
          </w:tcPr>
          <w:p>
            <w:pPr>
              <w:pStyle w:val="TableContents"/>
              <w:spacing w:before="0" w:after="0"/>
              <w:ind w:left="320" w:right="0" w:hanging="0"/>
              <w:jc w:val="left"/>
              <w:rPr>
                <w:rFonts w:ascii="Times New Roman;serif" w:hAnsi="Times New Roman;serif"/>
                <w:b w:val="false"/>
                <w:sz w:val="16"/>
              </w:rPr>
            </w:pPr>
            <w:r>
              <w:rPr>
                <w:rFonts w:ascii="Times New Roman;serif" w:hAnsi="Times New Roman;serif"/>
                <w:b w:val="false"/>
                <w:sz w:val="16"/>
              </w:rPr>
              <w:t>Non-control/non-affiliate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637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80"/>
              <w:jc w:val="left"/>
              <w:rPr/>
            </w:pPr>
            <w:r>
              <w:rPr/>
              <w:t> </w:t>
            </w:r>
          </w:p>
        </w:tc>
      </w:tr>
      <w:tr>
        <w:trPr/>
        <w:tc>
          <w:tcPr>
            <w:tcW w:w="5716" w:type="dxa"/>
            <w:tcBorders/>
            <w:shd w:fill="auto" w:val="clear"/>
            <w:vAlign w:val="center"/>
          </w:tcPr>
          <w:p>
            <w:pPr>
              <w:pStyle w:val="TableContents"/>
              <w:spacing w:before="0" w:after="0"/>
              <w:ind w:left="480" w:right="0" w:hanging="0"/>
              <w:jc w:val="left"/>
              <w:rPr>
                <w:rFonts w:ascii="Times New Roman;serif" w:hAnsi="Times New Roman;serif"/>
                <w:b w:val="false"/>
                <w:sz w:val="16"/>
              </w:rPr>
            </w:pPr>
            <w:r>
              <w:rPr>
                <w:rFonts w:ascii="Times New Roman;serif" w:hAnsi="Times New Roman;serif"/>
                <w:b w:val="false"/>
                <w:sz w:val="16"/>
              </w:rPr>
              <w:t>Total payment-in-kind interest income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637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547</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160"/>
              <w:jc w:val="right"/>
              <w:rPr/>
            </w:pPr>
            <w:r>
              <w:rPr/>
              <w:t> </w:t>
            </w:r>
          </w:p>
        </w:tc>
      </w:tr>
      <w:tr>
        <w:trPr/>
        <w:tc>
          <w:tcPr>
            <w:tcW w:w="5716" w:type="dxa"/>
            <w:tcBorders/>
            <w:shd w:fill="auto" w:val="clear"/>
            <w:vAlign w:val="center"/>
          </w:tcPr>
          <w:p>
            <w:pPr>
              <w:pStyle w:val="TableContents"/>
              <w:spacing w:before="0" w:after="0"/>
              <w:ind w:left="160" w:right="0" w:hanging="0"/>
              <w:jc w:val="left"/>
              <w:rPr>
                <w:rFonts w:ascii="Times New Roman;serif" w:hAnsi="Times New Roman;serif"/>
                <w:b w:val="false"/>
                <w:sz w:val="16"/>
              </w:rPr>
            </w:pPr>
            <w:r>
              <w:rPr>
                <w:rFonts w:ascii="Times New Roman;serif" w:hAnsi="Times New Roman;serif"/>
                <w:b w:val="false"/>
                <w:sz w:val="16"/>
              </w:rPr>
              <w:t>Dividend income</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320"/>
              <w:jc w:val="left"/>
              <w:rPr/>
            </w:pPr>
            <w:r>
              <w:rPr/>
              <w:t> </w:t>
            </w:r>
          </w:p>
        </w:tc>
      </w:tr>
      <w:tr>
        <w:trPr/>
        <w:tc>
          <w:tcPr>
            <w:tcW w:w="5716" w:type="dxa"/>
            <w:tcBorders/>
            <w:shd w:fill="auto" w:val="clear"/>
            <w:vAlign w:val="center"/>
          </w:tcPr>
          <w:p>
            <w:pPr>
              <w:pStyle w:val="TableContents"/>
              <w:spacing w:before="0" w:after="0"/>
              <w:ind w:left="320" w:right="0" w:hanging="0"/>
              <w:jc w:val="left"/>
              <w:rPr>
                <w:rFonts w:ascii="Times New Roman;serif" w:hAnsi="Times New Roman;serif"/>
                <w:b w:val="false"/>
                <w:sz w:val="16"/>
              </w:rPr>
            </w:pPr>
            <w:r>
              <w:rPr>
                <w:rFonts w:ascii="Times New Roman;serif" w:hAnsi="Times New Roman;serif"/>
                <w:b w:val="false"/>
                <w:sz w:val="16"/>
              </w:rPr>
              <w:t>Control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320"/>
              <w:jc w:val="right"/>
              <w:rPr/>
            </w:pPr>
            <w:r>
              <w:rPr/>
              <w:t> </w:t>
            </w:r>
          </w:p>
        </w:tc>
      </w:tr>
      <w:tr>
        <w:trPr/>
        <w:tc>
          <w:tcPr>
            <w:tcW w:w="5716" w:type="dxa"/>
            <w:tcBorders/>
            <w:shd w:fill="auto" w:val="clear"/>
            <w:vAlign w:val="center"/>
          </w:tcPr>
          <w:p>
            <w:pPr>
              <w:pStyle w:val="TableContents"/>
              <w:spacing w:before="0" w:after="0"/>
              <w:ind w:left="320" w:right="0" w:hanging="0"/>
              <w:jc w:val="left"/>
              <w:rPr>
                <w:rFonts w:ascii="Times New Roman;serif" w:hAnsi="Times New Roman;serif"/>
                <w:b w:val="false"/>
                <w:sz w:val="16"/>
              </w:rPr>
            </w:pPr>
            <w:r>
              <w:rPr>
                <w:rFonts w:ascii="Times New Roman;serif" w:hAnsi="Times New Roman;serif"/>
                <w:b w:val="false"/>
                <w:sz w:val="16"/>
              </w:rPr>
              <w:t>Affiliate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656</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320"/>
              <w:jc w:val="right"/>
              <w:rPr/>
            </w:pPr>
            <w:r>
              <w:rPr/>
              <w:t> </w:t>
            </w:r>
          </w:p>
        </w:tc>
      </w:tr>
      <w:tr>
        <w:trPr/>
        <w:tc>
          <w:tcPr>
            <w:tcW w:w="5716" w:type="dxa"/>
            <w:tcBorders/>
            <w:shd w:fill="auto" w:val="clear"/>
            <w:vAlign w:val="center"/>
          </w:tcPr>
          <w:p>
            <w:pPr>
              <w:pStyle w:val="TableContents"/>
              <w:spacing w:before="0" w:after="0"/>
              <w:ind w:left="320" w:right="0" w:hanging="0"/>
              <w:jc w:val="left"/>
              <w:rPr>
                <w:rFonts w:ascii="Times New Roman;serif" w:hAnsi="Times New Roman;serif"/>
                <w:b w:val="false"/>
                <w:sz w:val="16"/>
              </w:rPr>
            </w:pPr>
            <w:r>
              <w:rPr>
                <w:rFonts w:ascii="Times New Roman;serif" w:hAnsi="Times New Roman;serif"/>
                <w:b w:val="false"/>
                <w:sz w:val="16"/>
              </w:rPr>
              <w:t>Non-control/non-affiliate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80"/>
              <w:jc w:val="left"/>
              <w:rPr/>
            </w:pPr>
            <w:r>
              <w:rPr/>
              <w:t> </w:t>
            </w:r>
          </w:p>
        </w:tc>
      </w:tr>
      <w:tr>
        <w:trPr/>
        <w:tc>
          <w:tcPr>
            <w:tcW w:w="5716" w:type="dxa"/>
            <w:tcBorders/>
            <w:shd w:fill="auto" w:val="clear"/>
            <w:vAlign w:val="center"/>
          </w:tcPr>
          <w:p>
            <w:pPr>
              <w:pStyle w:val="TableContents"/>
              <w:spacing w:before="0" w:after="0"/>
              <w:ind w:left="480" w:right="0" w:hanging="0"/>
              <w:jc w:val="left"/>
              <w:rPr>
                <w:rFonts w:ascii="Times New Roman;serif" w:hAnsi="Times New Roman;serif"/>
                <w:b w:val="false"/>
                <w:sz w:val="16"/>
              </w:rPr>
            </w:pPr>
            <w:r>
              <w:rPr>
                <w:rFonts w:ascii="Times New Roman;serif" w:hAnsi="Times New Roman;serif"/>
                <w:b w:val="false"/>
                <w:sz w:val="16"/>
              </w:rPr>
              <w:t>Total dividend income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384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689</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160"/>
              <w:jc w:val="right"/>
              <w:rPr/>
            </w:pPr>
            <w:r>
              <w:rPr/>
              <w:t> </w:t>
            </w:r>
          </w:p>
        </w:tc>
      </w:tr>
      <w:tr>
        <w:trPr/>
        <w:tc>
          <w:tcPr>
            <w:tcW w:w="5716" w:type="dxa"/>
            <w:tcBorders/>
            <w:shd w:fill="auto" w:val="clear"/>
            <w:vAlign w:val="center"/>
          </w:tcPr>
          <w:p>
            <w:pPr>
              <w:pStyle w:val="TableContents"/>
              <w:spacing w:before="0" w:after="0"/>
              <w:ind w:left="160" w:right="0" w:hanging="0"/>
              <w:jc w:val="left"/>
              <w:rPr>
                <w:rFonts w:ascii="Times New Roman;serif" w:hAnsi="Times New Roman;serif"/>
                <w:b w:val="false"/>
                <w:sz w:val="16"/>
              </w:rPr>
            </w:pPr>
            <w:r>
              <w:rPr>
                <w:rFonts w:ascii="Times New Roman;serif" w:hAnsi="Times New Roman;serif"/>
                <w:b w:val="false"/>
                <w:sz w:val="16"/>
              </w:rPr>
              <w:t>Fee income</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320"/>
              <w:jc w:val="left"/>
              <w:rPr/>
            </w:pPr>
            <w:r>
              <w:rPr/>
              <w:t> </w:t>
            </w:r>
          </w:p>
        </w:tc>
      </w:tr>
      <w:tr>
        <w:trPr/>
        <w:tc>
          <w:tcPr>
            <w:tcW w:w="5716" w:type="dxa"/>
            <w:tcBorders/>
            <w:shd w:fill="auto" w:val="clear"/>
            <w:vAlign w:val="center"/>
          </w:tcPr>
          <w:p>
            <w:pPr>
              <w:pStyle w:val="TableContents"/>
              <w:spacing w:before="0" w:after="0"/>
              <w:ind w:left="320" w:right="0" w:hanging="0"/>
              <w:jc w:val="left"/>
              <w:rPr>
                <w:rFonts w:ascii="Times New Roman;serif" w:hAnsi="Times New Roman;serif"/>
                <w:b w:val="false"/>
                <w:sz w:val="16"/>
              </w:rPr>
            </w:pPr>
            <w:r>
              <w:rPr>
                <w:rFonts w:ascii="Times New Roman;serif" w:hAnsi="Times New Roman;serif"/>
                <w:b w:val="false"/>
                <w:sz w:val="16"/>
              </w:rPr>
              <w:t>Control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320"/>
              <w:jc w:val="right"/>
              <w:rPr/>
            </w:pPr>
            <w:r>
              <w:rPr/>
              <w:t> </w:t>
            </w:r>
          </w:p>
        </w:tc>
      </w:tr>
      <w:tr>
        <w:trPr/>
        <w:tc>
          <w:tcPr>
            <w:tcW w:w="5716" w:type="dxa"/>
            <w:tcBorders/>
            <w:shd w:fill="auto" w:val="clear"/>
            <w:vAlign w:val="center"/>
          </w:tcPr>
          <w:p>
            <w:pPr>
              <w:pStyle w:val="TableContents"/>
              <w:spacing w:before="0" w:after="0"/>
              <w:ind w:left="320" w:right="0" w:hanging="0"/>
              <w:jc w:val="left"/>
              <w:rPr>
                <w:rFonts w:ascii="Times New Roman;serif" w:hAnsi="Times New Roman;serif"/>
                <w:b w:val="false"/>
                <w:sz w:val="16"/>
              </w:rPr>
            </w:pPr>
            <w:r>
              <w:rPr>
                <w:rFonts w:ascii="Times New Roman;serif" w:hAnsi="Times New Roman;serif"/>
                <w:b w:val="false"/>
                <w:sz w:val="16"/>
              </w:rPr>
              <w:t>Affiliate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137</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320"/>
              <w:jc w:val="right"/>
              <w:rPr/>
            </w:pPr>
            <w:r>
              <w:rPr/>
              <w:t> </w:t>
            </w:r>
          </w:p>
        </w:tc>
      </w:tr>
      <w:tr>
        <w:trPr/>
        <w:tc>
          <w:tcPr>
            <w:tcW w:w="5716" w:type="dxa"/>
            <w:tcBorders/>
            <w:shd w:fill="auto" w:val="clear"/>
            <w:vAlign w:val="center"/>
          </w:tcPr>
          <w:p>
            <w:pPr>
              <w:pStyle w:val="TableContents"/>
              <w:spacing w:before="0" w:after="0"/>
              <w:ind w:left="320" w:right="0" w:hanging="0"/>
              <w:jc w:val="left"/>
              <w:rPr>
                <w:rFonts w:ascii="Times New Roman;serif" w:hAnsi="Times New Roman;serif"/>
                <w:b w:val="false"/>
                <w:sz w:val="16"/>
              </w:rPr>
            </w:pPr>
            <w:r>
              <w:rPr>
                <w:rFonts w:ascii="Times New Roman;serif" w:hAnsi="Times New Roman;serif"/>
                <w:b w:val="false"/>
                <w:sz w:val="16"/>
              </w:rPr>
              <w:t>Non-control/non-affiliate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2,061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80"/>
              <w:jc w:val="left"/>
              <w:rPr/>
            </w:pPr>
            <w:r>
              <w:rPr/>
              <w:t> </w:t>
            </w:r>
          </w:p>
        </w:tc>
      </w:tr>
      <w:tr>
        <w:trPr/>
        <w:tc>
          <w:tcPr>
            <w:tcW w:w="5716" w:type="dxa"/>
            <w:tcBorders/>
            <w:shd w:fill="auto" w:val="clear"/>
            <w:vAlign w:val="center"/>
          </w:tcPr>
          <w:p>
            <w:pPr>
              <w:pStyle w:val="TableContents"/>
              <w:spacing w:before="0" w:after="0"/>
              <w:ind w:left="480" w:right="0" w:hanging="0"/>
              <w:jc w:val="left"/>
              <w:rPr>
                <w:rFonts w:ascii="Times New Roman;serif" w:hAnsi="Times New Roman;serif"/>
                <w:b w:val="false"/>
                <w:sz w:val="16"/>
              </w:rPr>
            </w:pPr>
            <w:r>
              <w:rPr>
                <w:rFonts w:ascii="Times New Roman;serif" w:hAnsi="Times New Roman;serif"/>
                <w:b w:val="false"/>
                <w:sz w:val="16"/>
              </w:rPr>
              <w:t>Total fee income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1,436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2,198</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160"/>
              <w:jc w:val="right"/>
              <w:rPr/>
            </w:pPr>
            <w:r>
              <w:rPr/>
              <w:t> </w:t>
            </w:r>
          </w:p>
        </w:tc>
      </w:tr>
      <w:tr>
        <w:trPr/>
        <w:tc>
          <w:tcPr>
            <w:tcW w:w="5716" w:type="dxa"/>
            <w:tcBorders/>
            <w:shd w:fill="auto" w:val="clear"/>
            <w:vAlign w:val="center"/>
          </w:tcPr>
          <w:p>
            <w:pPr>
              <w:pStyle w:val="TableContents"/>
              <w:spacing w:before="0" w:after="0"/>
              <w:ind w:left="160" w:right="0" w:hanging="0"/>
              <w:jc w:val="left"/>
              <w:rPr>
                <w:rFonts w:ascii="Times New Roman;serif" w:hAnsi="Times New Roman;serif"/>
                <w:b w:val="false"/>
                <w:sz w:val="16"/>
              </w:rPr>
            </w:pPr>
            <w:r>
              <w:rPr>
                <w:rFonts w:ascii="Times New Roman;serif" w:hAnsi="Times New Roman;serif"/>
                <w:b w:val="false"/>
                <w:sz w:val="16"/>
              </w:rPr>
              <w:t>Interest on idle funds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643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571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investment income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29,056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20,518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571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Expenses:</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160"/>
              <w:jc w:val="left"/>
              <w:rPr/>
            </w:pPr>
            <w:r>
              <w:rPr/>
              <w:t> </w:t>
            </w:r>
          </w:p>
        </w:tc>
      </w:tr>
      <w:tr>
        <w:trPr/>
        <w:tc>
          <w:tcPr>
            <w:tcW w:w="5716" w:type="dxa"/>
            <w:tcBorders/>
            <w:shd w:fill="auto" w:val="clear"/>
            <w:vAlign w:val="center"/>
          </w:tcPr>
          <w:p>
            <w:pPr>
              <w:pStyle w:val="TableContents"/>
              <w:spacing w:before="0" w:after="0"/>
              <w:ind w:left="160" w:right="0" w:hanging="0"/>
              <w:jc w:val="left"/>
              <w:rPr>
                <w:rFonts w:ascii="Times New Roman;serif" w:hAnsi="Times New Roman;serif"/>
                <w:b w:val="false"/>
                <w:sz w:val="16"/>
              </w:rPr>
            </w:pPr>
            <w:r>
              <w:rPr>
                <w:rFonts w:ascii="Times New Roman;serif" w:hAnsi="Times New Roman;serif"/>
                <w:b w:val="false"/>
                <w:sz w:val="16"/>
              </w:rPr>
              <w:t>Interest and financing expenses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5,185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4,412</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160"/>
              <w:jc w:val="right"/>
              <w:rPr/>
            </w:pPr>
            <w:r>
              <w:rPr/>
              <w:t> </w:t>
            </w:r>
          </w:p>
        </w:tc>
      </w:tr>
      <w:tr>
        <w:trPr/>
        <w:tc>
          <w:tcPr>
            <w:tcW w:w="5716" w:type="dxa"/>
            <w:tcBorders/>
            <w:shd w:fill="auto" w:val="clear"/>
            <w:vAlign w:val="center"/>
          </w:tcPr>
          <w:p>
            <w:pPr>
              <w:pStyle w:val="TableContents"/>
              <w:spacing w:before="0" w:after="0"/>
              <w:ind w:left="160" w:right="0" w:hanging="0"/>
              <w:jc w:val="left"/>
              <w:rPr>
                <w:rFonts w:ascii="Times New Roman;serif" w:hAnsi="Times New Roman;serif"/>
                <w:b w:val="false"/>
                <w:sz w:val="16"/>
              </w:rPr>
            </w:pPr>
            <w:r>
              <w:rPr>
                <w:rFonts w:ascii="Times New Roman;serif" w:hAnsi="Times New Roman;serif"/>
                <w:b w:val="false"/>
                <w:sz w:val="16"/>
              </w:rPr>
              <w:t>Base management fee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3,854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3,343</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160"/>
              <w:jc w:val="right"/>
              <w:rPr/>
            </w:pPr>
            <w:r>
              <w:rPr/>
              <w:t> </w:t>
            </w:r>
          </w:p>
        </w:tc>
      </w:tr>
      <w:tr>
        <w:trPr/>
        <w:tc>
          <w:tcPr>
            <w:tcW w:w="5716" w:type="dxa"/>
            <w:tcBorders/>
            <w:shd w:fill="auto" w:val="clear"/>
            <w:vAlign w:val="center"/>
          </w:tcPr>
          <w:p>
            <w:pPr>
              <w:pStyle w:val="TableContents"/>
              <w:spacing w:before="0" w:after="0"/>
              <w:ind w:left="160" w:right="0" w:hanging="0"/>
              <w:jc w:val="left"/>
              <w:rPr>
                <w:rFonts w:ascii="Times New Roman;serif" w:hAnsi="Times New Roman;serif"/>
                <w:b w:val="false"/>
                <w:sz w:val="16"/>
              </w:rPr>
            </w:pPr>
            <w:r>
              <w:rPr>
                <w:rFonts w:ascii="Times New Roman;serif" w:hAnsi="Times New Roman;serif"/>
                <w:b w:val="false"/>
                <w:sz w:val="16"/>
              </w:rPr>
              <w:t>Incentive fee - income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1,053</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160"/>
              <w:jc w:val="right"/>
              <w:rPr/>
            </w:pPr>
            <w:r>
              <w:rPr/>
              <w:t> </w:t>
            </w:r>
          </w:p>
        </w:tc>
      </w:tr>
      <w:tr>
        <w:trPr/>
        <w:tc>
          <w:tcPr>
            <w:tcW w:w="5716" w:type="dxa"/>
            <w:tcBorders/>
            <w:shd w:fill="auto" w:val="clear"/>
            <w:vAlign w:val="center"/>
          </w:tcPr>
          <w:p>
            <w:pPr>
              <w:pStyle w:val="TableContents"/>
              <w:spacing w:before="0" w:after="0"/>
              <w:ind w:left="160" w:right="0" w:hanging="0"/>
              <w:jc w:val="left"/>
              <w:rPr>
                <w:rFonts w:ascii="Times New Roman;serif" w:hAnsi="Times New Roman;serif"/>
                <w:b w:val="false"/>
                <w:sz w:val="16"/>
              </w:rPr>
            </w:pPr>
            <w:r>
              <w:rPr>
                <w:rFonts w:ascii="Times New Roman;serif" w:hAnsi="Times New Roman;serif"/>
                <w:b w:val="false"/>
                <w:sz w:val="16"/>
              </w:rPr>
              <w:t>Incentive fee (reversal) - capital gains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270</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160"/>
              <w:jc w:val="right"/>
              <w:rPr/>
            </w:pPr>
            <w:r>
              <w:rPr/>
              <w:t> </w:t>
            </w:r>
          </w:p>
        </w:tc>
      </w:tr>
      <w:tr>
        <w:trPr/>
        <w:tc>
          <w:tcPr>
            <w:tcW w:w="5716" w:type="dxa"/>
            <w:tcBorders/>
            <w:shd w:fill="auto" w:val="clear"/>
            <w:vAlign w:val="center"/>
          </w:tcPr>
          <w:p>
            <w:pPr>
              <w:pStyle w:val="TableContents"/>
              <w:spacing w:before="0" w:after="0"/>
              <w:ind w:left="160" w:right="0" w:hanging="0"/>
              <w:jc w:val="left"/>
              <w:rPr>
                <w:rFonts w:ascii="Times New Roman;serif" w:hAnsi="Times New Roman;serif"/>
                <w:b w:val="false"/>
                <w:sz w:val="16"/>
              </w:rPr>
            </w:pPr>
            <w:r>
              <w:rPr>
                <w:rFonts w:ascii="Times New Roman;serif" w:hAnsi="Times New Roman;serif"/>
                <w:b w:val="false"/>
                <w:sz w:val="16"/>
              </w:rPr>
              <w:t>Administrative service expenses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473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422</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160"/>
              <w:jc w:val="right"/>
              <w:rPr/>
            </w:pPr>
            <w:r>
              <w:rPr/>
              <w:t> </w:t>
            </w:r>
          </w:p>
        </w:tc>
      </w:tr>
      <w:tr>
        <w:trPr/>
        <w:tc>
          <w:tcPr>
            <w:tcW w:w="5716" w:type="dxa"/>
            <w:tcBorders/>
            <w:shd w:fill="auto" w:val="clear"/>
            <w:vAlign w:val="center"/>
          </w:tcPr>
          <w:p>
            <w:pPr>
              <w:pStyle w:val="TableContents"/>
              <w:spacing w:before="0" w:after="0"/>
              <w:ind w:left="160" w:right="0" w:hanging="0"/>
              <w:jc w:val="left"/>
              <w:rPr>
                <w:rFonts w:ascii="Times New Roman;serif" w:hAnsi="Times New Roman;serif"/>
                <w:b w:val="false"/>
                <w:sz w:val="16"/>
              </w:rPr>
            </w:pPr>
            <w:r>
              <w:rPr>
                <w:rFonts w:ascii="Times New Roman;serif" w:hAnsi="Times New Roman;serif"/>
                <w:b w:val="false"/>
                <w:sz w:val="16"/>
              </w:rPr>
              <w:t>Professional fees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599</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160"/>
              <w:jc w:val="right"/>
              <w:rPr/>
            </w:pPr>
            <w:r>
              <w:rPr/>
              <w:t> </w:t>
            </w:r>
          </w:p>
        </w:tc>
      </w:tr>
      <w:tr>
        <w:trPr/>
        <w:tc>
          <w:tcPr>
            <w:tcW w:w="5716" w:type="dxa"/>
            <w:tcBorders/>
            <w:shd w:fill="auto" w:val="clear"/>
            <w:vAlign w:val="center"/>
          </w:tcPr>
          <w:p>
            <w:pPr>
              <w:pStyle w:val="TableContents"/>
              <w:spacing w:before="0" w:after="0"/>
              <w:ind w:left="160" w:right="0" w:hanging="0"/>
              <w:jc w:val="left"/>
              <w:rPr>
                <w:rFonts w:ascii="Times New Roman;serif" w:hAnsi="Times New Roman;serif"/>
                <w:b w:val="false"/>
                <w:sz w:val="16"/>
              </w:rPr>
            </w:pPr>
            <w:r>
              <w:rPr>
                <w:rFonts w:ascii="Times New Roman;serif" w:hAnsi="Times New Roman;serif"/>
                <w:b w:val="false"/>
                <w:sz w:val="16"/>
              </w:rPr>
              <w:t>Other general and administrative expenses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571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expenses before base management fee waiver</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14,368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10,302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60"/>
              <w:jc w:val="right"/>
              <w:rPr/>
            </w:pPr>
            <w:r>
              <w:rPr/>
              <w:t> </w:t>
            </w:r>
          </w:p>
        </w:tc>
      </w:tr>
      <w:tr>
        <w:trPr/>
        <w:tc>
          <w:tcPr>
            <w:tcW w:w="5716" w:type="dxa"/>
            <w:tcBorders/>
            <w:shd w:fill="auto" w:val="clear"/>
            <w:vAlign w:val="center"/>
          </w:tcPr>
          <w:p>
            <w:pPr>
              <w:pStyle w:val="TableContents"/>
              <w:spacing w:before="0" w:after="0"/>
              <w:ind w:left="160" w:right="0" w:hanging="0"/>
              <w:jc w:val="left"/>
              <w:rPr>
                <w:rFonts w:ascii="Times New Roman;serif" w:hAnsi="Times New Roman;serif"/>
                <w:b w:val="false"/>
                <w:sz w:val="16"/>
              </w:rPr>
            </w:pPr>
            <w:r>
              <w:rPr>
                <w:rFonts w:ascii="Times New Roman;serif" w:hAnsi="Times New Roman;serif"/>
                <w:b w:val="false"/>
                <w:sz w:val="16"/>
              </w:rPr>
              <w:t>Base management fee waiver</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571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expenses, net of base management fee waiver</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14,296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10,226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571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investment income before income taxes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14,760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10,292</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160"/>
              <w:jc w:val="right"/>
              <w:rPr/>
            </w:pPr>
            <w:r>
              <w:rPr/>
              <w:t> </w:t>
            </w:r>
          </w:p>
        </w:tc>
      </w:tr>
      <w:tr>
        <w:trPr/>
        <w:tc>
          <w:tcPr>
            <w:tcW w:w="5716" w:type="dxa"/>
            <w:tcBorders/>
            <w:shd w:fill="auto" w:val="clear"/>
            <w:vAlign w:val="center"/>
          </w:tcPr>
          <w:p>
            <w:pPr>
              <w:pStyle w:val="TableContents"/>
              <w:spacing w:before="0" w:after="0"/>
              <w:ind w:left="160" w:right="0" w:hanging="0"/>
              <w:jc w:val="left"/>
              <w:rPr>
                <w:rFonts w:ascii="Times New Roman;serif" w:hAnsi="Times New Roman;serif"/>
                <w:b w:val="false"/>
                <w:sz w:val="16"/>
              </w:rPr>
            </w:pPr>
            <w:r>
              <w:rPr>
                <w:rFonts w:ascii="Times New Roman;serif" w:hAnsi="Times New Roman;serif"/>
                <w:b w:val="false"/>
                <w:sz w:val="16"/>
              </w:rPr>
              <w:t>Income tax provision (benefit)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571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Net investment income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14,723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10,338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571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Net realized and unrealized gains (losses) on investments:</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160"/>
              <w:jc w:val="left"/>
              <w:rPr/>
            </w:pPr>
            <w:r>
              <w:rPr/>
              <w:t> </w:t>
            </w:r>
          </w:p>
        </w:tc>
      </w:tr>
      <w:tr>
        <w:trPr/>
        <w:tc>
          <w:tcPr>
            <w:tcW w:w="5716" w:type="dxa"/>
            <w:tcBorders/>
            <w:shd w:fill="auto" w:val="clear"/>
            <w:vAlign w:val="center"/>
          </w:tcPr>
          <w:p>
            <w:pPr>
              <w:pStyle w:val="TableContents"/>
              <w:spacing w:before="0" w:after="0"/>
              <w:ind w:left="160" w:right="0" w:hanging="0"/>
              <w:jc w:val="left"/>
              <w:rPr>
                <w:rFonts w:ascii="Times New Roman;serif" w:hAnsi="Times New Roman;serif"/>
                <w:b w:val="false"/>
                <w:sz w:val="16"/>
              </w:rPr>
            </w:pPr>
            <w:r>
              <w:rPr>
                <w:rFonts w:ascii="Times New Roman;serif" w:hAnsi="Times New Roman;serif"/>
                <w:b w:val="false"/>
                <w:sz w:val="16"/>
              </w:rPr>
              <w:t>Net realized gains (losses):</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320"/>
              <w:jc w:val="left"/>
              <w:rPr/>
            </w:pPr>
            <w:r>
              <w:rPr/>
              <w:t> </w:t>
            </w:r>
          </w:p>
        </w:tc>
      </w:tr>
      <w:tr>
        <w:trPr/>
        <w:tc>
          <w:tcPr>
            <w:tcW w:w="5716" w:type="dxa"/>
            <w:tcBorders/>
            <w:shd w:fill="auto" w:val="clear"/>
            <w:vAlign w:val="center"/>
          </w:tcPr>
          <w:p>
            <w:pPr>
              <w:pStyle w:val="TableContents"/>
              <w:spacing w:before="0" w:after="0"/>
              <w:ind w:left="320" w:right="0" w:hanging="0"/>
              <w:jc w:val="left"/>
              <w:rPr>
                <w:rFonts w:ascii="Times New Roman;serif" w:hAnsi="Times New Roman;serif"/>
                <w:b w:val="false"/>
                <w:sz w:val="16"/>
              </w:rPr>
            </w:pPr>
            <w:r>
              <w:rPr>
                <w:rFonts w:ascii="Times New Roman;serif" w:hAnsi="Times New Roman;serif"/>
                <w:b w:val="false"/>
                <w:sz w:val="16"/>
              </w:rPr>
              <w:t>Control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139</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320"/>
              <w:jc w:val="right"/>
              <w:rPr/>
            </w:pPr>
            <w:r>
              <w:rPr/>
              <w:t> </w:t>
            </w:r>
          </w:p>
        </w:tc>
      </w:tr>
      <w:tr>
        <w:trPr/>
        <w:tc>
          <w:tcPr>
            <w:tcW w:w="5716" w:type="dxa"/>
            <w:tcBorders/>
            <w:shd w:fill="auto" w:val="clear"/>
            <w:vAlign w:val="center"/>
          </w:tcPr>
          <w:p>
            <w:pPr>
              <w:pStyle w:val="TableContents"/>
              <w:spacing w:before="0" w:after="0"/>
              <w:ind w:left="320" w:right="0" w:hanging="0"/>
              <w:jc w:val="left"/>
              <w:rPr>
                <w:rFonts w:ascii="Times New Roman;serif" w:hAnsi="Times New Roman;serif"/>
                <w:b w:val="false"/>
                <w:sz w:val="16"/>
              </w:rPr>
            </w:pPr>
            <w:r>
              <w:rPr>
                <w:rFonts w:ascii="Times New Roman;serif" w:hAnsi="Times New Roman;serif"/>
                <w:b w:val="false"/>
                <w:sz w:val="16"/>
              </w:rPr>
              <w:t>Affiliate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324</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320"/>
              <w:jc w:val="right"/>
              <w:rPr/>
            </w:pPr>
            <w:r>
              <w:rPr/>
              <w:t> </w:t>
            </w:r>
          </w:p>
        </w:tc>
      </w:tr>
      <w:tr>
        <w:trPr/>
        <w:tc>
          <w:tcPr>
            <w:tcW w:w="5716" w:type="dxa"/>
            <w:tcBorders/>
            <w:shd w:fill="auto" w:val="clear"/>
            <w:vAlign w:val="center"/>
          </w:tcPr>
          <w:p>
            <w:pPr>
              <w:pStyle w:val="TableContents"/>
              <w:spacing w:before="0" w:after="0"/>
              <w:ind w:left="320" w:right="0" w:hanging="0"/>
              <w:jc w:val="left"/>
              <w:rPr>
                <w:rFonts w:ascii="Times New Roman;serif" w:hAnsi="Times New Roman;serif"/>
                <w:b w:val="false"/>
                <w:sz w:val="16"/>
              </w:rPr>
            </w:pPr>
            <w:r>
              <w:rPr>
                <w:rFonts w:ascii="Times New Roman;serif" w:hAnsi="Times New Roman;serif"/>
                <w:b w:val="false"/>
                <w:sz w:val="16"/>
              </w:rPr>
              <w:t>Non-control/non-affiliate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6,405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60"/>
              <w:jc w:val="right"/>
              <w:rPr/>
            </w:pPr>
            <w:r>
              <w:rPr/>
              <w:t> </w:t>
            </w:r>
          </w:p>
        </w:tc>
      </w:tr>
      <w:tr>
        <w:trPr/>
        <w:tc>
          <w:tcPr>
            <w:tcW w:w="5716" w:type="dxa"/>
            <w:tcBorders/>
            <w:shd w:fill="auto" w:val="clear"/>
            <w:vAlign w:val="center"/>
          </w:tcPr>
          <w:p>
            <w:pPr>
              <w:pStyle w:val="TableContents"/>
              <w:spacing w:before="0" w:after="0"/>
              <w:ind w:left="160" w:right="0" w:hanging="0"/>
              <w:jc w:val="left"/>
              <w:rPr>
                <w:rFonts w:ascii="Times New Roman;serif" w:hAnsi="Times New Roman;serif"/>
                <w:b w:val="false"/>
                <w:sz w:val="16"/>
              </w:rPr>
            </w:pPr>
            <w:r>
              <w:rPr>
                <w:rFonts w:ascii="Times New Roman;serif" w:hAnsi="Times New Roman;serif"/>
                <w:b w:val="false"/>
                <w:sz w:val="16"/>
              </w:rPr>
              <w:t>Total net realized gain (loss) on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6,868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60"/>
              <w:jc w:val="right"/>
              <w:rPr/>
            </w:pPr>
            <w:r>
              <w:rPr/>
              <w:t> </w:t>
            </w:r>
          </w:p>
        </w:tc>
      </w:tr>
      <w:tr>
        <w:trPr/>
        <w:tc>
          <w:tcPr>
            <w:tcW w:w="5716" w:type="dxa"/>
            <w:tcBorders/>
            <w:shd w:fill="auto" w:val="clear"/>
            <w:vAlign w:val="center"/>
          </w:tcPr>
          <w:p>
            <w:pPr>
              <w:pStyle w:val="TableContents"/>
              <w:spacing w:before="0" w:after="0"/>
              <w:ind w:left="160" w:right="0" w:hanging="0"/>
              <w:jc w:val="left"/>
              <w:rPr>
                <w:rFonts w:ascii="Times New Roman;serif" w:hAnsi="Times New Roman;serif"/>
                <w:b w:val="false"/>
                <w:sz w:val="16"/>
              </w:rPr>
            </w:pPr>
            <w:r>
              <w:rPr>
                <w:rFonts w:ascii="Times New Roman;serif" w:hAnsi="Times New Roman;serif"/>
                <w:b w:val="false"/>
                <w:sz w:val="16"/>
              </w:rPr>
              <w:t>Income tax (provision) benefit from realized gains on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firstLine="160"/>
              <w:jc w:val="right"/>
              <w:rPr/>
            </w:pPr>
            <w:r>
              <w:rPr/>
              <w:t> </w:t>
            </w:r>
          </w:p>
        </w:tc>
      </w:tr>
      <w:tr>
        <w:trPr/>
        <w:tc>
          <w:tcPr>
            <w:tcW w:w="5716" w:type="dxa"/>
            <w:tcBorders/>
            <w:shd w:fill="auto" w:val="clear"/>
            <w:vAlign w:val="center"/>
          </w:tcPr>
          <w:p>
            <w:pPr>
              <w:pStyle w:val="TableContents"/>
              <w:spacing w:before="0" w:after="0"/>
              <w:ind w:left="160" w:right="0" w:hanging="0"/>
              <w:jc w:val="left"/>
              <w:rPr>
                <w:rFonts w:ascii="Times New Roman;serif" w:hAnsi="Times New Roman;serif"/>
                <w:b w:val="false"/>
                <w:sz w:val="16"/>
              </w:rPr>
            </w:pPr>
            <w:r>
              <w:rPr>
                <w:rFonts w:ascii="Times New Roman;serif" w:hAnsi="Times New Roman;serif"/>
                <w:b w:val="false"/>
                <w:sz w:val="16"/>
              </w:rPr>
              <w:t>Net change in unrealized appreciation (depreciation):</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671" w:type="dxa"/>
            <w:tcBorders/>
            <w:shd w:fill="auto" w:val="clear"/>
            <w:vAlign w:val="center"/>
          </w:tcPr>
          <w:p>
            <w:pPr>
              <w:pStyle w:val="TableContents"/>
              <w:spacing w:before="0" w:after="0"/>
              <w:ind w:left="0" w:right="0" w:firstLine="320"/>
              <w:jc w:val="right"/>
              <w:rPr/>
            </w:pPr>
            <w:r>
              <w:rPr/>
              <w:t> </w:t>
            </w:r>
          </w:p>
        </w:tc>
      </w:tr>
      <w:tr>
        <w:trPr/>
        <w:tc>
          <w:tcPr>
            <w:tcW w:w="5716" w:type="dxa"/>
            <w:tcBorders/>
            <w:shd w:fill="auto" w:val="clear"/>
            <w:vAlign w:val="center"/>
          </w:tcPr>
          <w:p>
            <w:pPr>
              <w:pStyle w:val="TableContents"/>
              <w:spacing w:before="0" w:after="0"/>
              <w:ind w:left="320" w:right="0" w:hanging="0"/>
              <w:jc w:val="left"/>
              <w:rPr>
                <w:rFonts w:ascii="Times New Roman;serif" w:hAnsi="Times New Roman;serif"/>
                <w:b w:val="false"/>
                <w:sz w:val="16"/>
              </w:rPr>
            </w:pPr>
            <w:r>
              <w:rPr>
                <w:rFonts w:ascii="Times New Roman;serif" w:hAnsi="Times New Roman;serif"/>
                <w:b w:val="false"/>
                <w:sz w:val="16"/>
              </w:rPr>
              <w:t>Control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1" w:type="dxa"/>
            <w:tcBorders/>
            <w:shd w:fill="auto" w:val="clear"/>
            <w:vAlign w:val="center"/>
          </w:tcPr>
          <w:p>
            <w:pPr>
              <w:pStyle w:val="TableContents"/>
              <w:spacing w:before="0" w:after="0"/>
              <w:ind w:left="0" w:right="0" w:firstLine="320"/>
              <w:jc w:val="right"/>
              <w:rPr/>
            </w:pPr>
            <w:r>
              <w:rPr/>
              <w:t> </w:t>
            </w:r>
          </w:p>
        </w:tc>
      </w:tr>
      <w:tr>
        <w:trPr/>
        <w:tc>
          <w:tcPr>
            <w:tcW w:w="5716" w:type="dxa"/>
            <w:tcBorders/>
            <w:shd w:fill="auto" w:val="clear"/>
            <w:vAlign w:val="center"/>
          </w:tcPr>
          <w:p>
            <w:pPr>
              <w:pStyle w:val="TableContents"/>
              <w:spacing w:before="0" w:after="0"/>
              <w:ind w:left="320" w:right="0" w:hanging="0"/>
              <w:jc w:val="left"/>
              <w:rPr>
                <w:rFonts w:ascii="Times New Roman;serif" w:hAnsi="Times New Roman;serif"/>
                <w:b w:val="false"/>
                <w:sz w:val="16"/>
              </w:rPr>
            </w:pPr>
            <w:r>
              <w:rPr>
                <w:rFonts w:ascii="Times New Roman;serif" w:hAnsi="Times New Roman;serif"/>
                <w:b w:val="false"/>
                <w:sz w:val="16"/>
              </w:rPr>
              <w:t>Affiliate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(2,489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(5,879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1" w:type="dxa"/>
            <w:tcBorders/>
            <w:shd w:fill="auto" w:val="clear"/>
            <w:vAlign w:val="center"/>
          </w:tcPr>
          <w:p>
            <w:pPr>
              <w:pStyle w:val="TableContents"/>
              <w:spacing w:before="0" w:after="0"/>
              <w:ind w:left="0" w:right="0" w:firstLine="320"/>
              <w:jc w:val="right"/>
              <w:rPr/>
            </w:pPr>
            <w:r>
              <w:rPr/>
              <w:t> </w:t>
            </w:r>
          </w:p>
        </w:tc>
      </w:tr>
      <w:tr>
        <w:trPr/>
        <w:tc>
          <w:tcPr>
            <w:tcW w:w="5716" w:type="dxa"/>
            <w:tcBorders/>
            <w:shd w:fill="auto" w:val="clear"/>
            <w:vAlign w:val="center"/>
          </w:tcPr>
          <w:p>
            <w:pPr>
              <w:pStyle w:val="TableContents"/>
              <w:spacing w:before="0" w:after="0"/>
              <w:ind w:left="320" w:right="0" w:hanging="0"/>
              <w:jc w:val="left"/>
              <w:rPr>
                <w:rFonts w:ascii="Times New Roman;serif" w:hAnsi="Times New Roman;serif"/>
                <w:b w:val="false"/>
                <w:sz w:val="16"/>
              </w:rPr>
            </w:pPr>
            <w:r>
              <w:rPr>
                <w:rFonts w:ascii="Times New Roman;serif" w:hAnsi="Times New Roman;serif"/>
                <w:b w:val="false"/>
                <w:sz w:val="16"/>
              </w:rPr>
              <w:t>Non-control/non-affiliate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3,197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790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160"/>
              <w:jc w:val="right"/>
              <w:rPr/>
            </w:pPr>
            <w:r>
              <w:rPr/>
              <w:t> </w:t>
            </w:r>
          </w:p>
        </w:tc>
      </w:tr>
      <w:tr>
        <w:trPr/>
        <w:tc>
          <w:tcPr>
            <w:tcW w:w="5716" w:type="dxa"/>
            <w:tcBorders/>
            <w:shd w:fill="auto" w:val="clear"/>
            <w:vAlign w:val="center"/>
          </w:tcPr>
          <w:p>
            <w:pPr>
              <w:pStyle w:val="TableContents"/>
              <w:spacing w:before="0" w:after="0"/>
              <w:ind w:left="160" w:right="0" w:hanging="0"/>
              <w:jc w:val="left"/>
              <w:rPr>
                <w:rFonts w:ascii="Times New Roman;serif" w:hAnsi="Times New Roman;serif"/>
                <w:b w:val="false"/>
                <w:sz w:val="16"/>
              </w:rPr>
            </w:pPr>
            <w:r>
              <w:rPr>
                <w:rFonts w:ascii="Times New Roman;serif" w:hAnsi="Times New Roman;serif"/>
                <w:b w:val="false"/>
                <w:sz w:val="16"/>
              </w:rPr>
              <w:t>Total net change in unrealized appreciation (depreciation) on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708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(5,319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571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Net gain (loss) on investments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1,550</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right"/>
              <w:rPr/>
            </w:pPr>
            <w:r>
              <w:rPr/>
              <w:t> </w:t>
            </w:r>
          </w:p>
        </w:tc>
      </w:tr>
      <w:tr>
        <w:trPr/>
        <w:tc>
          <w:tcPr>
            <w:tcW w:w="571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Realized losses on extinguishment of debt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571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Net increase (decrease) in net assets resulting from operations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15,489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11,690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571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Per common share data:</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12"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671" w:type="dxa"/>
            <w:tcBorders/>
            <w:shd w:fill="auto" w:val="clear"/>
            <w:vAlign w:val="center"/>
          </w:tcPr>
          <w:p>
            <w:pPr>
              <w:pStyle w:val="TableContents"/>
              <w:spacing w:before="0" w:after="0"/>
              <w:ind w:left="0" w:right="0" w:hanging="0"/>
              <w:jc w:val="left"/>
              <w:rPr/>
            </w:pPr>
            <w:r>
              <w:rPr/>
              <w:t> </w:t>
            </w:r>
          </w:p>
        </w:tc>
      </w:tr>
      <w:tr>
        <w:trPr/>
        <w:tc>
          <w:tcPr>
            <w:tcW w:w="571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investment income per share-basic and diluted</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0.59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0.42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571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increase in net assets resulting from operations per share — basic and diluted</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0.62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0.48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571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Dividends declared per share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0.66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0.53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571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Weighted average number of shares outstanding — basic and diluted</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24,803,951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24,437,400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bl>
    <w:p>
      <w:pPr>
        <w:pStyle w:val="TextBody"/>
        <w:spacing w:before="0" w:after="0"/>
        <w:jc w:val="center"/>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See Notes to Consolidated Financial Statements (unaudited).</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180"/>
        <w:jc w:val="center"/>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bookmarkStart w:id="6" w:name="changes_net_assets"/>
      <w:bookmarkEnd w:id="6"/>
      <w:r>
        <w:rPr>
          <w:rFonts w:ascii="Times New Roman;serif" w:hAnsi="Times New Roman;serif"/>
          <w:b/>
          <w:sz w:val="20"/>
        </w:rPr>
        <w:t>Consolidated Statements of Changes in Net Assets (unaudited)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shares)</w:t>
      </w:r>
    </w:p>
    <w:p>
      <w:pPr>
        <w:pStyle w:val="TextBody"/>
        <w:spacing w:before="0" w:after="0"/>
        <w:jc w:val="left"/>
        <w:rPr/>
      </w:pPr>
      <w:r>
        <w:rPr/>
        <w:t> </w:t>
      </w:r>
    </w:p>
    <w:tbl>
      <w:tblPr>
        <w:tblW w:w="10120" w:type="dxa"/>
        <w:jc w:val="left"/>
        <w:tblInd w:w="0" w:type="dxa"/>
        <w:tblCellMar>
          <w:top w:w="28" w:type="dxa"/>
          <w:left w:w="28" w:type="dxa"/>
          <w:bottom w:w="28" w:type="dxa"/>
          <w:right w:w="28" w:type="dxa"/>
        </w:tblCellMar>
      </w:tblPr>
      <w:tblGrid>
        <w:gridCol w:w="4126"/>
        <w:gridCol w:w="146"/>
        <w:gridCol w:w="146"/>
        <w:gridCol w:w="916"/>
        <w:gridCol w:w="146"/>
        <w:gridCol w:w="146"/>
        <w:gridCol w:w="196"/>
        <w:gridCol w:w="346"/>
        <w:gridCol w:w="146"/>
        <w:gridCol w:w="196"/>
        <w:gridCol w:w="196"/>
        <w:gridCol w:w="691"/>
        <w:gridCol w:w="146"/>
        <w:gridCol w:w="146"/>
        <w:gridCol w:w="225"/>
        <w:gridCol w:w="796"/>
        <w:gridCol w:w="166"/>
        <w:gridCol w:w="146"/>
        <w:gridCol w:w="196"/>
        <w:gridCol w:w="691"/>
        <w:gridCol w:w="211"/>
      </w:tblGrid>
      <w:tr>
        <w:trPr/>
        <w:tc>
          <w:tcPr>
            <w:tcW w:w="41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1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96" w:type="dxa"/>
            <w:gridSpan w:val="6"/>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Common Stock</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Additional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41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2"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Par</w:t>
            </w:r>
          </w:p>
        </w:tc>
        <w:tc>
          <w:tcPr>
            <w:tcW w:w="146" w:type="dxa"/>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paid-in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1"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distributable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 net</w:t>
            </w:r>
          </w:p>
        </w:tc>
        <w:tc>
          <w:tcPr>
            <w:tcW w:w="211" w:type="dxa"/>
            <w:tcBorders/>
            <w:shd w:fill="auto" w:val="clear"/>
            <w:vAlign w:val="center"/>
          </w:tcPr>
          <w:p>
            <w:pPr>
              <w:pStyle w:val="TableContents"/>
              <w:spacing w:before="0" w:after="0"/>
              <w:ind w:left="0" w:right="0" w:hanging="0"/>
              <w:jc w:val="center"/>
              <w:rPr/>
            </w:pPr>
            <w:r>
              <w:rPr/>
              <w:t> </w:t>
            </w:r>
          </w:p>
        </w:tc>
      </w:tr>
      <w:tr>
        <w:trPr/>
        <w:tc>
          <w:tcPr>
            <w:tcW w:w="41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62" w:type="dxa"/>
            <w:gridSpan w:val="2"/>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42" w:type="dxa"/>
            <w:gridSpan w:val="2"/>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value</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7" w:type="dxa"/>
            <w:gridSpan w:val="2"/>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capital</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21" w:type="dxa"/>
            <w:gridSpan w:val="2"/>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earnings</w:t>
            </w:r>
          </w:p>
        </w:tc>
        <w:tc>
          <w:tcPr>
            <w:tcW w:w="16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87" w:type="dxa"/>
            <w:gridSpan w:val="2"/>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assets</w:t>
            </w:r>
          </w:p>
        </w:tc>
        <w:tc>
          <w:tcPr>
            <w:tcW w:w="211"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Balances at December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24,437,400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361,807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125,933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487,764</w:t>
            </w:r>
          </w:p>
        </w:tc>
        <w:tc>
          <w:tcPr>
            <w:tcW w:w="211" w:type="dxa"/>
            <w:tcBorders/>
            <w:shd w:fill="auto" w:val="clear"/>
            <w:vAlign w:val="center"/>
          </w:tcPr>
          <w:p>
            <w:pPr>
              <w:pStyle w:val="TableContents"/>
              <w:spacing w:before="0" w:after="0"/>
              <w:ind w:left="0" w:right="0" w:hanging="0"/>
              <w:jc w:val="left"/>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investment income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10,338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10,338</w:t>
            </w:r>
          </w:p>
        </w:tc>
        <w:tc>
          <w:tcPr>
            <w:tcW w:w="211" w:type="dxa"/>
            <w:tcBorders/>
            <w:shd w:fill="auto" w:val="clear"/>
            <w:vAlign w:val="center"/>
          </w:tcPr>
          <w:p>
            <w:pPr>
              <w:pStyle w:val="TableContents"/>
              <w:spacing w:before="0" w:after="0"/>
              <w:ind w:left="0" w:right="0" w:hanging="0"/>
              <w:jc w:val="left"/>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realized gain (loss) on investments, net of taxes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6,869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6,869</w:t>
            </w:r>
          </w:p>
        </w:tc>
        <w:tc>
          <w:tcPr>
            <w:tcW w:w="211" w:type="dxa"/>
            <w:tcBorders/>
            <w:shd w:fill="auto" w:val="clear"/>
            <w:vAlign w:val="center"/>
          </w:tcPr>
          <w:p>
            <w:pPr>
              <w:pStyle w:val="TableContents"/>
              <w:spacing w:before="0" w:after="0"/>
              <w:ind w:left="0" w:right="0" w:hanging="0"/>
              <w:jc w:val="left"/>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unrealized appreciation (depreciation) on investments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(5,319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(5,319</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Realized losses on extinguishment of debt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(198</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Dividends declared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(12,952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(12,952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Balances at March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24,437,400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361,807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124,671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486,502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Balances at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24,727,788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395,672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84,646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480,343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Public offering of common stock, net of expenses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260,610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5,306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5,306</w:t>
            </w:r>
          </w:p>
        </w:tc>
        <w:tc>
          <w:tcPr>
            <w:tcW w:w="211" w:type="dxa"/>
            <w:tcBorders/>
            <w:shd w:fill="auto" w:val="clear"/>
            <w:vAlign w:val="center"/>
          </w:tcPr>
          <w:p>
            <w:pPr>
              <w:pStyle w:val="TableContents"/>
              <w:spacing w:before="0" w:after="0"/>
              <w:ind w:left="0" w:right="0" w:hanging="0"/>
              <w:jc w:val="left"/>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investment income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14,723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14,723</w:t>
            </w:r>
          </w:p>
        </w:tc>
        <w:tc>
          <w:tcPr>
            <w:tcW w:w="211" w:type="dxa"/>
            <w:tcBorders/>
            <w:shd w:fill="auto" w:val="clear"/>
            <w:vAlign w:val="center"/>
          </w:tcPr>
          <w:p>
            <w:pPr>
              <w:pStyle w:val="TableContents"/>
              <w:spacing w:before="0" w:after="0"/>
              <w:ind w:left="0" w:right="0" w:hanging="0"/>
              <w:jc w:val="left"/>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realized gain (loss) on investments, net of taxes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58</w:t>
            </w:r>
          </w:p>
        </w:tc>
        <w:tc>
          <w:tcPr>
            <w:tcW w:w="211" w:type="dxa"/>
            <w:tcBorders/>
            <w:shd w:fill="auto" w:val="clear"/>
            <w:vAlign w:val="center"/>
          </w:tcPr>
          <w:p>
            <w:pPr>
              <w:pStyle w:val="TableContents"/>
              <w:spacing w:before="0" w:after="0"/>
              <w:ind w:left="0" w:right="0" w:hanging="0"/>
              <w:jc w:val="left"/>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unrealized appreciation (depreciation) on investments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708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708</w:t>
            </w:r>
          </w:p>
        </w:tc>
        <w:tc>
          <w:tcPr>
            <w:tcW w:w="211" w:type="dxa"/>
            <w:tcBorders/>
            <w:shd w:fill="auto" w:val="clear"/>
            <w:vAlign w:val="center"/>
          </w:tcPr>
          <w:p>
            <w:pPr>
              <w:pStyle w:val="TableContents"/>
              <w:spacing w:before="0" w:after="0"/>
              <w:ind w:left="0" w:right="0" w:hanging="0"/>
              <w:jc w:val="left"/>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Realized losses on extinguishment of debt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1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5"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pPr>
            <w:r>
              <w:rPr/>
              <w:t>—</w:t>
            </w:r>
          </w:p>
        </w:tc>
        <w:tc>
          <w:tcPr>
            <w:tcW w:w="211" w:type="dxa"/>
            <w:tcBorders/>
            <w:shd w:fill="auto" w:val="clear"/>
            <w:vAlign w:val="center"/>
          </w:tcPr>
          <w:p>
            <w:pPr>
              <w:pStyle w:val="TableContents"/>
              <w:spacing w:before="0" w:after="0"/>
              <w:ind w:left="0" w:right="0" w:hanging="0"/>
              <w:jc w:val="left"/>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Dividends declared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(16,492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(16,492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Balances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24,988,398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400,978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83,643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484,646</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*amount is greater than zero but less than one</w:t>
            </w:r>
          </w:p>
        </w:tc>
        <w:tc>
          <w:tcPr>
            <w:tcW w:w="146" w:type="dxa"/>
            <w:tcBorders/>
            <w:shd w:fill="auto" w:val="clear"/>
            <w:vAlign w:val="center"/>
          </w:tcPr>
          <w:p>
            <w:pPr>
              <w:pStyle w:val="TableContents"/>
              <w:spacing w:before="0" w:after="0"/>
              <w:ind w:left="0" w:right="0" w:hanging="0"/>
              <w:jc w:val="left"/>
              <w:rPr/>
            </w:pPr>
            <w:r>
              <w:rPr/>
              <w:t> </w:t>
            </w:r>
          </w:p>
        </w:tc>
        <w:tc>
          <w:tcPr>
            <w:tcW w:w="10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See Notes to Consolidated Financial Statements (unaudited).</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180"/>
        <w:jc w:val="center"/>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bookmarkStart w:id="7" w:name="statements_cash_flows"/>
      <w:bookmarkEnd w:id="7"/>
      <w:r>
        <w:rPr>
          <w:rFonts w:ascii="Times New Roman;serif" w:hAnsi="Times New Roman;serif"/>
          <w:b/>
          <w:sz w:val="20"/>
        </w:rPr>
        <w:t>Consolidated Statements of Cash Flows (unaudited)</w:t>
      </w:r>
    </w:p>
    <w:p>
      <w:pPr>
        <w:pStyle w:val="TextBody"/>
        <w:spacing w:before="0" w:after="0"/>
        <w:jc w:val="center"/>
        <w:rPr>
          <w:rFonts w:ascii="Times New Roman" w:hAnsi="Times New Roman"/>
          <w:sz w:val="20"/>
        </w:rPr>
      </w:pPr>
      <w:r>
        <w:rPr>
          <w:rFonts w:ascii="Times New Roman;serif" w:hAnsi="Times New Roman;serif"/>
          <w:b/>
          <w:sz w:val="20"/>
        </w:rPr>
        <w:t>(in thousands)</w:t>
      </w:r>
      <w:r>
        <w:rPr>
          <w:rFonts w:ascii="Times New Roman" w:hAnsi="Times New Roman"/>
          <w:sz w:val="20"/>
        </w:rPr>
        <w:t xml:space="preserve"> </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6352"/>
        <w:gridCol w:w="346"/>
        <w:gridCol w:w="196"/>
        <w:gridCol w:w="661"/>
        <w:gridCol w:w="346"/>
        <w:gridCol w:w="346"/>
        <w:gridCol w:w="196"/>
        <w:gridCol w:w="751"/>
        <w:gridCol w:w="1011"/>
      </w:tblGrid>
      <w:tr>
        <w:trPr/>
        <w:tc>
          <w:tcPr>
            <w:tcW w:w="6352"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r>
      <w:tr>
        <w:trPr/>
        <w:tc>
          <w:tcPr>
            <w:tcW w:w="6352"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24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352"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352"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Cash Flows from Operating Activities:</w:t>
            </w:r>
          </w:p>
        </w:tc>
        <w:tc>
          <w:tcPr>
            <w:tcW w:w="346" w:type="dxa"/>
            <w:tcBorders/>
            <w:shd w:fill="auto" w:val="clear"/>
            <w:vAlign w:val="center"/>
          </w:tcPr>
          <w:p>
            <w:pPr>
              <w:pStyle w:val="TableContents"/>
              <w:spacing w:before="0" w:after="0"/>
              <w:ind w:left="0" w:right="0" w:hanging="0"/>
              <w:jc w:val="left"/>
              <w:rPr/>
            </w:pPr>
            <w:r>
              <w:rPr/>
              <w:t> </w:t>
            </w:r>
          </w:p>
        </w:tc>
        <w:tc>
          <w:tcPr>
            <w:tcW w:w="857" w:type="dxa"/>
            <w:gridSpan w:val="2"/>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011" w:type="dxa"/>
            <w:tcBorders/>
            <w:shd w:fill="auto" w:val="clear"/>
            <w:vAlign w:val="center"/>
          </w:tcPr>
          <w:p>
            <w:pPr>
              <w:pStyle w:val="TableContents"/>
              <w:spacing w:before="0" w:after="0"/>
              <w:ind w:left="0" w:right="0" w:firstLine="200"/>
              <w:jc w:val="left"/>
              <w:rPr/>
            </w:pPr>
            <w:r>
              <w:rPr/>
              <w:t> </w:t>
            </w:r>
          </w:p>
        </w:tc>
      </w:tr>
      <w:tr>
        <w:trPr/>
        <w:tc>
          <w:tcPr>
            <w:tcW w:w="6352" w:type="dxa"/>
            <w:tcBorders/>
            <w:shd w:fill="auto" w:val="clear"/>
            <w:vAlign w:val="center"/>
          </w:tcPr>
          <w:p>
            <w:pPr>
              <w:pStyle w:val="TableContents"/>
              <w:spacing w:before="0" w:after="0"/>
              <w:ind w:left="200" w:right="0" w:hanging="0"/>
              <w:jc w:val="left"/>
              <w:rPr>
                <w:rFonts w:ascii="Times New Roman;serif" w:hAnsi="Times New Roman;serif"/>
                <w:b w:val="false"/>
                <w:sz w:val="16"/>
              </w:rPr>
            </w:pPr>
            <w:r>
              <w:rPr>
                <w:rFonts w:ascii="Times New Roman;serif" w:hAnsi="Times New Roman;serif"/>
                <w:b w:val="false"/>
                <w:sz w:val="16"/>
              </w:rPr>
              <w:t>Net increase (decrease) in net assets resulting from operations</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15,489</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11,690</w:t>
            </w:r>
          </w:p>
        </w:tc>
        <w:tc>
          <w:tcPr>
            <w:tcW w:w="1011" w:type="dxa"/>
            <w:tcBorders/>
            <w:shd w:fill="auto" w:val="clear"/>
            <w:vAlign w:val="center"/>
          </w:tcPr>
          <w:p>
            <w:pPr>
              <w:pStyle w:val="TableContents"/>
              <w:spacing w:before="0" w:after="0"/>
              <w:ind w:left="0" w:right="0" w:hanging="0"/>
              <w:jc w:val="left"/>
              <w:rPr/>
            </w:pPr>
            <w:r>
              <w:rPr/>
              <w:t> </w:t>
            </w:r>
          </w:p>
        </w:tc>
      </w:tr>
      <w:tr>
        <w:trPr/>
        <w:tc>
          <w:tcPr>
            <w:tcW w:w="6352" w:type="dxa"/>
            <w:tcBorders/>
            <w:shd w:fill="auto" w:val="clear"/>
            <w:vAlign w:val="center"/>
          </w:tcPr>
          <w:p>
            <w:pPr>
              <w:pStyle w:val="TableContents"/>
              <w:spacing w:before="0" w:after="0"/>
              <w:ind w:left="0" w:right="0" w:firstLine="200"/>
              <w:jc w:val="left"/>
              <w:rPr>
                <w:rFonts w:ascii="Times New Roman;serif" w:hAnsi="Times New Roman;serif"/>
                <w:b w:val="false"/>
                <w:sz w:val="16"/>
              </w:rPr>
            </w:pPr>
            <w:r>
              <w:rPr>
                <w:rFonts w:ascii="Times New Roman;serif" w:hAnsi="Times New Roman;serif"/>
                <w:b w:val="false"/>
                <w:sz w:val="16"/>
              </w:rPr>
              <w:t>Adjustments to reconcile net increase (decrease) in net assets resulting from operations to net cash provided by (used for) operating activities:</w:t>
            </w:r>
          </w:p>
        </w:tc>
        <w:tc>
          <w:tcPr>
            <w:tcW w:w="346" w:type="dxa"/>
            <w:tcBorders/>
            <w:shd w:fill="auto" w:val="clear"/>
            <w:vAlign w:val="center"/>
          </w:tcPr>
          <w:p>
            <w:pPr>
              <w:pStyle w:val="TableContents"/>
              <w:spacing w:before="0" w:after="0"/>
              <w:ind w:left="0" w:right="0" w:firstLine="200"/>
              <w:jc w:val="left"/>
              <w:rPr/>
            </w:pPr>
            <w:r>
              <w:rPr/>
              <w:t> </w:t>
            </w:r>
          </w:p>
        </w:tc>
        <w:tc>
          <w:tcPr>
            <w:tcW w:w="857" w:type="dxa"/>
            <w:gridSpan w:val="2"/>
            <w:tcBorders/>
            <w:shd w:fill="auto" w:val="clear"/>
            <w:vAlign w:val="center"/>
          </w:tcPr>
          <w:p>
            <w:pPr>
              <w:pStyle w:val="TableContents"/>
              <w:spacing w:before="0" w:after="0"/>
              <w:ind w:left="200" w:right="0" w:hanging="0"/>
              <w:jc w:val="left"/>
              <w:rPr/>
            </w:pPr>
            <w:r>
              <w:rPr/>
              <w:t> </w:t>
            </w:r>
          </w:p>
        </w:tc>
        <w:tc>
          <w:tcPr>
            <w:tcW w:w="346" w:type="dxa"/>
            <w:tcBorders/>
            <w:shd w:fill="auto" w:val="clear"/>
            <w:vAlign w:val="center"/>
          </w:tcPr>
          <w:p>
            <w:pPr>
              <w:pStyle w:val="TableContents"/>
              <w:spacing w:before="0" w:after="0"/>
              <w:ind w:left="0" w:right="0" w:firstLine="200"/>
              <w:jc w:val="left"/>
              <w:rPr/>
            </w:pPr>
            <w:r>
              <w:rPr/>
              <w:t> </w:t>
            </w:r>
          </w:p>
        </w:tc>
        <w:tc>
          <w:tcPr>
            <w:tcW w:w="346" w:type="dxa"/>
            <w:tcBorders/>
            <w:shd w:fill="auto" w:val="clear"/>
            <w:vAlign w:val="center"/>
          </w:tcPr>
          <w:p>
            <w:pPr>
              <w:pStyle w:val="TableContents"/>
              <w:spacing w:before="0" w:after="0"/>
              <w:ind w:left="0" w:right="0" w:firstLine="200"/>
              <w:jc w:val="left"/>
              <w:rPr/>
            </w:pPr>
            <w:r>
              <w:rPr/>
              <w:t> </w:t>
            </w:r>
          </w:p>
        </w:tc>
        <w:tc>
          <w:tcPr>
            <w:tcW w:w="947" w:type="dxa"/>
            <w:gridSpan w:val="2"/>
            <w:tcBorders/>
            <w:shd w:fill="auto" w:val="clear"/>
            <w:vAlign w:val="center"/>
          </w:tcPr>
          <w:p>
            <w:pPr>
              <w:pStyle w:val="TableContents"/>
              <w:spacing w:before="0" w:after="0"/>
              <w:ind w:left="200" w:right="0" w:hanging="0"/>
              <w:jc w:val="left"/>
              <w:rPr/>
            </w:pPr>
            <w:r>
              <w:rPr/>
              <w:t> </w:t>
            </w:r>
          </w:p>
        </w:tc>
        <w:tc>
          <w:tcPr>
            <w:tcW w:w="1011" w:type="dxa"/>
            <w:tcBorders/>
            <w:shd w:fill="auto" w:val="clear"/>
            <w:vAlign w:val="center"/>
          </w:tcPr>
          <w:p>
            <w:pPr>
              <w:pStyle w:val="TableContents"/>
              <w:spacing w:before="0" w:after="0"/>
              <w:ind w:left="0" w:right="0" w:firstLine="400"/>
              <w:jc w:val="left"/>
              <w:rPr/>
            </w:pPr>
            <w:r>
              <w:rPr/>
              <w:t> </w:t>
            </w:r>
          </w:p>
        </w:tc>
      </w:tr>
      <w:tr>
        <w:trPr/>
        <w:tc>
          <w:tcPr>
            <w:tcW w:w="6352"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Net change in unrealized (appreciation) depreciation on investments</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(708</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5,319</w:t>
            </w:r>
          </w:p>
        </w:tc>
        <w:tc>
          <w:tcPr>
            <w:tcW w:w="1011" w:type="dxa"/>
            <w:tcBorders/>
            <w:shd w:fill="auto" w:val="clear"/>
            <w:vAlign w:val="center"/>
          </w:tcPr>
          <w:p>
            <w:pPr>
              <w:pStyle w:val="TableContents"/>
              <w:spacing w:before="0" w:after="0"/>
              <w:ind w:left="0" w:right="0" w:firstLine="400"/>
              <w:jc w:val="left"/>
              <w:rPr/>
            </w:pPr>
            <w:r>
              <w:rPr/>
              <w:t> </w:t>
            </w:r>
          </w:p>
        </w:tc>
      </w:tr>
      <w:tr>
        <w:trPr/>
        <w:tc>
          <w:tcPr>
            <w:tcW w:w="6352"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Net realized (gain) loss on investments</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(58</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(6,868</w:t>
            </w:r>
          </w:p>
        </w:tc>
        <w:tc>
          <w:tcPr>
            <w:tcW w:w="1011" w:type="dxa"/>
            <w:tcBorders/>
            <w:shd w:fill="auto" w:val="clear"/>
            <w:vAlign w:val="center"/>
          </w:tcPr>
          <w:p>
            <w:pPr>
              <w:pStyle w:val="TableContents"/>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352"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Interest and dividend income paid-in-kind</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(637</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(547</w:t>
            </w:r>
          </w:p>
        </w:tc>
        <w:tc>
          <w:tcPr>
            <w:tcW w:w="1011" w:type="dxa"/>
            <w:tcBorders/>
            <w:shd w:fill="auto" w:val="clear"/>
            <w:vAlign w:val="center"/>
          </w:tcPr>
          <w:p>
            <w:pPr>
              <w:pStyle w:val="TableContents"/>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352"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Accretion of original issue discount</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(113</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w:t>
            </w:r>
          </w:p>
        </w:tc>
        <w:tc>
          <w:tcPr>
            <w:tcW w:w="1011" w:type="dxa"/>
            <w:tcBorders/>
            <w:shd w:fill="auto" w:val="clear"/>
            <w:vAlign w:val="center"/>
          </w:tcPr>
          <w:p>
            <w:pPr>
              <w:pStyle w:val="TableContents"/>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352"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Accretion of loan origination fees</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(413</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(280</w:t>
            </w:r>
          </w:p>
        </w:tc>
        <w:tc>
          <w:tcPr>
            <w:tcW w:w="1011" w:type="dxa"/>
            <w:tcBorders/>
            <w:shd w:fill="auto" w:val="clear"/>
            <w:vAlign w:val="center"/>
          </w:tcPr>
          <w:p>
            <w:pPr>
              <w:pStyle w:val="TableContents"/>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352"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Purchase of investments</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(51,521</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(114,428</w:t>
            </w:r>
          </w:p>
        </w:tc>
        <w:tc>
          <w:tcPr>
            <w:tcW w:w="1011" w:type="dxa"/>
            <w:tcBorders/>
            <w:shd w:fill="auto" w:val="clear"/>
            <w:vAlign w:val="center"/>
          </w:tcPr>
          <w:p>
            <w:pPr>
              <w:pStyle w:val="TableContents"/>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352"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Proceeds from sales and repayments of investments</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15,918</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23,185</w:t>
            </w:r>
          </w:p>
        </w:tc>
        <w:tc>
          <w:tcPr>
            <w:tcW w:w="1011" w:type="dxa"/>
            <w:tcBorders/>
            <w:shd w:fill="auto" w:val="clear"/>
            <w:vAlign w:val="center"/>
          </w:tcPr>
          <w:p>
            <w:pPr>
              <w:pStyle w:val="TableContents"/>
              <w:spacing w:before="0" w:after="0"/>
              <w:ind w:left="0" w:right="0" w:firstLine="400"/>
              <w:jc w:val="left"/>
              <w:rPr/>
            </w:pPr>
            <w:r>
              <w:rPr/>
              <w:t> </w:t>
            </w:r>
          </w:p>
        </w:tc>
      </w:tr>
      <w:tr>
        <w:trPr/>
        <w:tc>
          <w:tcPr>
            <w:tcW w:w="6352"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Proceeds from loan origination fees</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537</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771</w:t>
            </w:r>
          </w:p>
        </w:tc>
        <w:tc>
          <w:tcPr>
            <w:tcW w:w="1011" w:type="dxa"/>
            <w:tcBorders/>
            <w:shd w:fill="auto" w:val="clear"/>
            <w:vAlign w:val="center"/>
          </w:tcPr>
          <w:p>
            <w:pPr>
              <w:pStyle w:val="TableContents"/>
              <w:spacing w:before="0" w:after="0"/>
              <w:ind w:left="0" w:right="0" w:firstLine="400"/>
              <w:jc w:val="left"/>
              <w:rPr/>
            </w:pPr>
            <w:r>
              <w:rPr/>
              <w:t> </w:t>
            </w:r>
          </w:p>
        </w:tc>
      </w:tr>
      <w:tr>
        <w:trPr/>
        <w:tc>
          <w:tcPr>
            <w:tcW w:w="6352"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Realized losses on extinguishment of debt</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198</w:t>
            </w:r>
          </w:p>
        </w:tc>
        <w:tc>
          <w:tcPr>
            <w:tcW w:w="1011" w:type="dxa"/>
            <w:tcBorders/>
            <w:shd w:fill="auto" w:val="clear"/>
            <w:vAlign w:val="center"/>
          </w:tcPr>
          <w:p>
            <w:pPr>
              <w:pStyle w:val="TableContents"/>
              <w:spacing w:before="0" w:after="0"/>
              <w:ind w:left="0" w:right="0" w:firstLine="400"/>
              <w:jc w:val="left"/>
              <w:rPr/>
            </w:pPr>
            <w:r>
              <w:rPr/>
              <w:t> </w:t>
            </w:r>
          </w:p>
        </w:tc>
      </w:tr>
      <w:tr>
        <w:trPr/>
        <w:tc>
          <w:tcPr>
            <w:tcW w:w="6352"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Amortization of deferred financing costs</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516</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524</w:t>
            </w:r>
          </w:p>
        </w:tc>
        <w:tc>
          <w:tcPr>
            <w:tcW w:w="1011" w:type="dxa"/>
            <w:tcBorders/>
            <w:shd w:fill="auto" w:val="clear"/>
            <w:vAlign w:val="center"/>
          </w:tcPr>
          <w:p>
            <w:pPr>
              <w:pStyle w:val="TableContents"/>
              <w:spacing w:before="0" w:after="0"/>
              <w:ind w:left="0" w:right="0" w:firstLine="400"/>
              <w:jc w:val="left"/>
              <w:rPr/>
            </w:pPr>
            <w:r>
              <w:rPr/>
              <w:t> </w:t>
            </w:r>
          </w:p>
        </w:tc>
      </w:tr>
      <w:tr>
        <w:trPr/>
        <w:tc>
          <w:tcPr>
            <w:tcW w:w="6352"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Amortization of deferred equity financing costs</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011" w:type="dxa"/>
            <w:tcBorders/>
            <w:shd w:fill="auto" w:val="clear"/>
            <w:vAlign w:val="center"/>
          </w:tcPr>
          <w:p>
            <w:pPr>
              <w:pStyle w:val="TableContents"/>
              <w:spacing w:before="0" w:after="0"/>
              <w:ind w:left="0" w:right="0" w:firstLine="400"/>
              <w:jc w:val="left"/>
              <w:rPr/>
            </w:pPr>
            <w:r>
              <w:rPr/>
              <w:t> </w:t>
            </w:r>
          </w:p>
        </w:tc>
      </w:tr>
      <w:tr>
        <w:trPr/>
        <w:tc>
          <w:tcPr>
            <w:tcW w:w="6352"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Changes in operating assets and liabilities:</w:t>
            </w:r>
          </w:p>
        </w:tc>
        <w:tc>
          <w:tcPr>
            <w:tcW w:w="346" w:type="dxa"/>
            <w:tcBorders/>
            <w:shd w:fill="auto" w:val="clear"/>
            <w:vAlign w:val="center"/>
          </w:tcPr>
          <w:p>
            <w:pPr>
              <w:pStyle w:val="TableContents"/>
              <w:spacing w:before="0" w:after="0"/>
              <w:ind w:left="0" w:right="0" w:hanging="0"/>
              <w:jc w:val="left"/>
              <w:rPr/>
            </w:pPr>
            <w:r>
              <w:rPr/>
              <w:t> </w:t>
            </w:r>
          </w:p>
        </w:tc>
        <w:tc>
          <w:tcPr>
            <w:tcW w:w="857" w:type="dxa"/>
            <w:gridSpan w:val="2"/>
            <w:tcBorders/>
            <w:shd w:fill="auto" w:val="clear"/>
            <w:vAlign w:val="center"/>
          </w:tcPr>
          <w:p>
            <w:pPr>
              <w:pStyle w:val="TableContents"/>
              <w:spacing w:before="0" w:after="0"/>
              <w:ind w:left="0" w:right="0" w:hanging="0"/>
              <w:jc w:val="right"/>
              <w:rPr/>
            </w:pPr>
            <w:r>
              <w:rPr/>
              <w:t> </w:t>
            </w:r>
          </w:p>
        </w:tc>
        <w:tc>
          <w:tcPr>
            <w:tcW w:w="346" w:type="dxa"/>
            <w:tcBorders/>
            <w:shd w:fill="auto" w:val="clear"/>
            <w:vAlign w:val="center"/>
          </w:tcPr>
          <w:p>
            <w:pPr>
              <w:pStyle w:val="TableContents"/>
              <w:spacing w:before="0" w:after="0"/>
              <w:ind w:left="0" w:right="0" w:hanging="0"/>
              <w:jc w:val="righ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011" w:type="dxa"/>
            <w:tcBorders/>
            <w:shd w:fill="auto" w:val="clear"/>
            <w:vAlign w:val="center"/>
          </w:tcPr>
          <w:p>
            <w:pPr>
              <w:pStyle w:val="TableContents"/>
              <w:spacing w:before="0" w:after="0"/>
              <w:ind w:left="0" w:right="0" w:firstLine="600"/>
              <w:jc w:val="right"/>
              <w:rPr/>
            </w:pPr>
            <w:r>
              <w:rPr/>
              <w:t> </w:t>
            </w:r>
          </w:p>
        </w:tc>
      </w:tr>
      <w:tr>
        <w:trPr/>
        <w:tc>
          <w:tcPr>
            <w:tcW w:w="6352" w:type="dxa"/>
            <w:tcBorders/>
            <w:shd w:fill="auto" w:val="clear"/>
            <w:vAlign w:val="center"/>
          </w:tcPr>
          <w:p>
            <w:pPr>
              <w:pStyle w:val="TableContents"/>
              <w:spacing w:before="0" w:after="0"/>
              <w:ind w:left="600" w:right="0" w:hanging="0"/>
              <w:jc w:val="left"/>
              <w:rPr>
                <w:rFonts w:ascii="Times New Roman;serif" w:hAnsi="Times New Roman;serif"/>
                <w:b w:val="false"/>
                <w:sz w:val="16"/>
              </w:rPr>
            </w:pPr>
            <w:r>
              <w:rPr>
                <w:rFonts w:ascii="Times New Roman;serif" w:hAnsi="Times New Roman;serif"/>
                <w:b w:val="false"/>
                <w:sz w:val="16"/>
              </w:rPr>
              <w:t>Interest receivable</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(1,879</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(2,087</w:t>
            </w:r>
          </w:p>
        </w:tc>
        <w:tc>
          <w:tcPr>
            <w:tcW w:w="1011" w:type="dxa"/>
            <w:tcBorders/>
            <w:shd w:fill="auto" w:val="clear"/>
            <w:vAlign w:val="center"/>
          </w:tcPr>
          <w:p>
            <w:pPr>
              <w:pStyle w:val="TableContents"/>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6352" w:type="dxa"/>
            <w:tcBorders/>
            <w:shd w:fill="auto" w:val="clear"/>
            <w:vAlign w:val="center"/>
          </w:tcPr>
          <w:p>
            <w:pPr>
              <w:pStyle w:val="TableContents"/>
              <w:spacing w:before="0" w:after="0"/>
              <w:ind w:left="600" w:right="0" w:hanging="0"/>
              <w:jc w:val="left"/>
              <w:rPr>
                <w:rFonts w:ascii="Times New Roman;serif" w:hAnsi="Times New Roman;serif"/>
                <w:b w:val="false"/>
                <w:sz w:val="16"/>
              </w:rPr>
            </w:pPr>
            <w:r>
              <w:rPr>
                <w:rFonts w:ascii="Times New Roman;serif" w:hAnsi="Times New Roman;serif"/>
                <w:b w:val="false"/>
                <w:sz w:val="16"/>
              </w:rPr>
              <w:t>Prepaid expenses and other assets</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(125</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(167</w:t>
            </w:r>
          </w:p>
        </w:tc>
        <w:tc>
          <w:tcPr>
            <w:tcW w:w="1011" w:type="dxa"/>
            <w:tcBorders/>
            <w:shd w:fill="auto" w:val="clear"/>
            <w:vAlign w:val="center"/>
          </w:tcPr>
          <w:p>
            <w:pPr>
              <w:pStyle w:val="TableContents"/>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6352" w:type="dxa"/>
            <w:tcBorders/>
            <w:shd w:fill="auto" w:val="clear"/>
            <w:vAlign w:val="center"/>
          </w:tcPr>
          <w:p>
            <w:pPr>
              <w:pStyle w:val="TableContents"/>
              <w:spacing w:before="0" w:after="0"/>
              <w:ind w:left="600" w:right="0" w:hanging="0"/>
              <w:jc w:val="left"/>
              <w:rPr>
                <w:rFonts w:ascii="Times New Roman;serif" w:hAnsi="Times New Roman;serif"/>
                <w:b w:val="false"/>
                <w:sz w:val="16"/>
              </w:rPr>
            </w:pPr>
            <w:r>
              <w:rPr>
                <w:rFonts w:ascii="Times New Roman;serif" w:hAnsi="Times New Roman;serif"/>
                <w:b w:val="false"/>
                <w:sz w:val="16"/>
              </w:rPr>
              <w:t>Accrued interest and fees payable</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(1,421</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(1,053</w:t>
            </w:r>
          </w:p>
        </w:tc>
        <w:tc>
          <w:tcPr>
            <w:tcW w:w="1011" w:type="dxa"/>
            <w:tcBorders/>
            <w:shd w:fill="auto" w:val="clear"/>
            <w:vAlign w:val="center"/>
          </w:tcPr>
          <w:p>
            <w:pPr>
              <w:pStyle w:val="TableContents"/>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6352" w:type="dxa"/>
            <w:tcBorders/>
            <w:shd w:fill="auto" w:val="clear"/>
            <w:vAlign w:val="center"/>
          </w:tcPr>
          <w:p>
            <w:pPr>
              <w:pStyle w:val="TableContents"/>
              <w:spacing w:before="0" w:after="0"/>
              <w:ind w:left="600" w:right="0" w:hanging="0"/>
              <w:jc w:val="left"/>
              <w:rPr>
                <w:rFonts w:ascii="Times New Roman;serif" w:hAnsi="Times New Roman;serif"/>
                <w:b w:val="false"/>
                <w:sz w:val="16"/>
              </w:rPr>
            </w:pPr>
            <w:r>
              <w:rPr>
                <w:rFonts w:ascii="Times New Roman;serif" w:hAnsi="Times New Roman;serif"/>
                <w:b w:val="false"/>
                <w:sz w:val="16"/>
              </w:rPr>
              <w:t>Base management fee payable, net of base management fee waiver – due to affiliate</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133</w:t>
            </w:r>
          </w:p>
        </w:tc>
        <w:tc>
          <w:tcPr>
            <w:tcW w:w="1011" w:type="dxa"/>
            <w:tcBorders/>
            <w:shd w:fill="auto" w:val="clear"/>
            <w:vAlign w:val="center"/>
          </w:tcPr>
          <w:p>
            <w:pPr>
              <w:pStyle w:val="TableContents"/>
              <w:spacing w:before="0" w:after="0"/>
              <w:ind w:left="0" w:right="0" w:firstLine="600"/>
              <w:jc w:val="left"/>
              <w:rPr/>
            </w:pPr>
            <w:r>
              <w:rPr/>
              <w:t> </w:t>
            </w:r>
          </w:p>
        </w:tc>
      </w:tr>
      <w:tr>
        <w:trPr/>
        <w:tc>
          <w:tcPr>
            <w:tcW w:w="6352" w:type="dxa"/>
            <w:tcBorders/>
            <w:shd w:fill="auto" w:val="clear"/>
            <w:vAlign w:val="center"/>
          </w:tcPr>
          <w:p>
            <w:pPr>
              <w:pStyle w:val="TableContents"/>
              <w:spacing w:before="0" w:after="0"/>
              <w:ind w:left="600" w:right="0" w:hanging="0"/>
              <w:jc w:val="left"/>
              <w:rPr>
                <w:rFonts w:ascii="Times New Roman;serif" w:hAnsi="Times New Roman;serif"/>
                <w:b w:val="false"/>
                <w:sz w:val="16"/>
              </w:rPr>
            </w:pPr>
            <w:r>
              <w:rPr>
                <w:rFonts w:ascii="Times New Roman;serif" w:hAnsi="Times New Roman;serif"/>
                <w:b w:val="false"/>
                <w:sz w:val="16"/>
              </w:rPr>
              <w:t>Income incentive fee payable – due to affiliate</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612</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(1,569</w:t>
            </w:r>
          </w:p>
        </w:tc>
        <w:tc>
          <w:tcPr>
            <w:tcW w:w="1011" w:type="dxa"/>
            <w:tcBorders/>
            <w:shd w:fill="auto" w:val="clear"/>
            <w:vAlign w:val="center"/>
          </w:tcPr>
          <w:p>
            <w:pPr>
              <w:pStyle w:val="TableContents"/>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6352" w:type="dxa"/>
            <w:tcBorders/>
            <w:shd w:fill="auto" w:val="clear"/>
            <w:vAlign w:val="center"/>
          </w:tcPr>
          <w:p>
            <w:pPr>
              <w:pStyle w:val="TableContents"/>
              <w:spacing w:before="0" w:after="0"/>
              <w:ind w:left="600" w:right="0" w:hanging="0"/>
              <w:jc w:val="left"/>
              <w:rPr>
                <w:rFonts w:ascii="Times New Roman;serif" w:hAnsi="Times New Roman;serif"/>
                <w:b w:val="false"/>
                <w:sz w:val="16"/>
              </w:rPr>
            </w:pPr>
            <w:r>
              <w:rPr>
                <w:rFonts w:ascii="Times New Roman;serif" w:hAnsi="Times New Roman;serif"/>
                <w:b w:val="false"/>
                <w:sz w:val="16"/>
              </w:rPr>
              <w:t>Capital gains incentive fee (reversal) – due to (from) affiliate</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(7,402</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(5,866</w:t>
            </w:r>
          </w:p>
        </w:tc>
        <w:tc>
          <w:tcPr>
            <w:tcW w:w="1011" w:type="dxa"/>
            <w:tcBorders/>
            <w:shd w:fill="auto" w:val="clear"/>
            <w:vAlign w:val="center"/>
          </w:tcPr>
          <w:p>
            <w:pPr>
              <w:pStyle w:val="TableContents"/>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6352" w:type="dxa"/>
            <w:tcBorders/>
            <w:shd w:fill="auto" w:val="clear"/>
            <w:vAlign w:val="center"/>
          </w:tcPr>
          <w:p>
            <w:pPr>
              <w:pStyle w:val="TableContents"/>
              <w:spacing w:before="0" w:after="0"/>
              <w:ind w:left="600" w:right="0" w:hanging="0"/>
              <w:jc w:val="left"/>
              <w:rPr>
                <w:rFonts w:ascii="Times New Roman;serif" w:hAnsi="Times New Roman;serif"/>
                <w:b w:val="false"/>
                <w:sz w:val="16"/>
              </w:rPr>
            </w:pPr>
            <w:r>
              <w:rPr>
                <w:rFonts w:ascii="Times New Roman;serif" w:hAnsi="Times New Roman;serif"/>
                <w:b w:val="false"/>
                <w:sz w:val="16"/>
              </w:rPr>
              <w:t>Administration fee payable and other – due to affiliate</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(114</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(248</w:t>
            </w:r>
          </w:p>
        </w:tc>
        <w:tc>
          <w:tcPr>
            <w:tcW w:w="1011" w:type="dxa"/>
            <w:tcBorders/>
            <w:shd w:fill="auto" w:val="clear"/>
            <w:vAlign w:val="center"/>
          </w:tcPr>
          <w:p>
            <w:pPr>
              <w:pStyle w:val="TableContents"/>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6352" w:type="dxa"/>
            <w:tcBorders/>
            <w:shd w:fill="auto" w:val="clear"/>
            <w:vAlign w:val="center"/>
          </w:tcPr>
          <w:p>
            <w:pPr>
              <w:pStyle w:val="TableContents"/>
              <w:spacing w:before="0" w:after="0"/>
              <w:ind w:left="600" w:right="0" w:hanging="0"/>
              <w:jc w:val="left"/>
              <w:rPr>
                <w:rFonts w:ascii="Times New Roman;serif" w:hAnsi="Times New Roman;serif"/>
                <w:b w:val="false"/>
                <w:sz w:val="16"/>
              </w:rPr>
            </w:pPr>
            <w:r>
              <w:rPr>
                <w:rFonts w:ascii="Times New Roman;serif" w:hAnsi="Times New Roman;serif"/>
                <w:b w:val="false"/>
                <w:sz w:val="16"/>
              </w:rPr>
              <w:t>Taxes payable</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(9,850</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(367</w:t>
            </w:r>
          </w:p>
        </w:tc>
        <w:tc>
          <w:tcPr>
            <w:tcW w:w="1011" w:type="dxa"/>
            <w:tcBorders/>
            <w:shd w:fill="auto" w:val="clear"/>
            <w:vAlign w:val="center"/>
          </w:tcPr>
          <w:p>
            <w:pPr>
              <w:pStyle w:val="TableContents"/>
              <w:spacing w:before="0" w:after="0"/>
              <w:ind w:left="0" w:right="0" w:firstLine="600"/>
              <w:jc w:val="left"/>
              <w:rPr>
                <w:rFonts w:ascii="Times New Roman;serif" w:hAnsi="Times New Roman;serif"/>
                <w:b w:val="false"/>
                <w:sz w:val="16"/>
              </w:rPr>
            </w:pPr>
            <w:r>
              <w:rPr>
                <w:rFonts w:ascii="Times New Roman;serif" w:hAnsi="Times New Roman;serif"/>
                <w:b w:val="false"/>
                <w:sz w:val="16"/>
              </w:rPr>
              <w:t>)</w:t>
            </w:r>
          </w:p>
        </w:tc>
      </w:tr>
      <w:tr>
        <w:trPr/>
        <w:tc>
          <w:tcPr>
            <w:tcW w:w="6352" w:type="dxa"/>
            <w:tcBorders/>
            <w:shd w:fill="auto" w:val="clear"/>
            <w:vAlign w:val="center"/>
          </w:tcPr>
          <w:p>
            <w:pPr>
              <w:pStyle w:val="TableContents"/>
              <w:spacing w:before="0" w:after="0"/>
              <w:ind w:left="600" w:right="0" w:hanging="0"/>
              <w:jc w:val="left"/>
              <w:rPr>
                <w:rFonts w:ascii="Times New Roman;serif" w:hAnsi="Times New Roman;serif"/>
                <w:b w:val="false"/>
                <w:sz w:val="16"/>
              </w:rPr>
            </w:pPr>
            <w:r>
              <w:rPr>
                <w:rFonts w:ascii="Times New Roman;serif" w:hAnsi="Times New Roman;serif"/>
                <w:b w:val="false"/>
                <w:sz w:val="16"/>
              </w:rPr>
              <w:t>Accounts payable and other liabilities</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(55</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1,036</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800"/>
              <w:jc w:val="left"/>
              <w:rPr/>
            </w:pPr>
            <w:r>
              <w:rPr/>
              <w:t> </w:t>
            </w:r>
          </w:p>
        </w:tc>
      </w:tr>
      <w:tr>
        <w:trPr/>
        <w:tc>
          <w:tcPr>
            <w:tcW w:w="6352" w:type="dxa"/>
            <w:tcBorders/>
            <w:shd w:fill="auto" w:val="clear"/>
            <w:vAlign w:val="center"/>
          </w:tcPr>
          <w:p>
            <w:pPr>
              <w:pStyle w:val="TableContents"/>
              <w:spacing w:before="0" w:after="0"/>
              <w:ind w:left="800" w:right="0" w:hanging="0"/>
              <w:jc w:val="left"/>
              <w:rPr>
                <w:rFonts w:ascii="Times New Roman;serif" w:hAnsi="Times New Roman;serif"/>
                <w:b/>
                <w:sz w:val="16"/>
              </w:rPr>
            </w:pPr>
            <w:r>
              <w:rPr>
                <w:rFonts w:ascii="Times New Roman;serif" w:hAnsi="Times New Roman;serif"/>
                <w:b/>
                <w:sz w:val="16"/>
              </w:rPr>
              <w:t>Net cash provided by (used for) operating activities</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(41,208</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(90,647</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352"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Cash Flows from Financing Activities:</w:t>
            </w:r>
          </w:p>
        </w:tc>
        <w:tc>
          <w:tcPr>
            <w:tcW w:w="346" w:type="dxa"/>
            <w:tcBorders/>
            <w:shd w:fill="auto" w:val="clear"/>
            <w:vAlign w:val="center"/>
          </w:tcPr>
          <w:p>
            <w:pPr>
              <w:pStyle w:val="TableContents"/>
              <w:spacing w:before="0" w:after="0"/>
              <w:ind w:left="0" w:right="0" w:hanging="0"/>
              <w:jc w:val="left"/>
              <w:rPr/>
            </w:pPr>
            <w:r>
              <w:rPr/>
              <w:t> </w:t>
            </w:r>
          </w:p>
        </w:tc>
        <w:tc>
          <w:tcPr>
            <w:tcW w:w="857" w:type="dxa"/>
            <w:gridSpan w:val="2"/>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011" w:type="dxa"/>
            <w:tcBorders/>
            <w:shd w:fill="auto" w:val="clear"/>
            <w:vAlign w:val="center"/>
          </w:tcPr>
          <w:p>
            <w:pPr>
              <w:pStyle w:val="TableContents"/>
              <w:spacing w:before="0" w:after="0"/>
              <w:ind w:left="0" w:right="0" w:firstLine="400"/>
              <w:jc w:val="left"/>
              <w:rPr/>
            </w:pPr>
            <w:r>
              <w:rPr/>
              <w:t> </w:t>
            </w:r>
          </w:p>
        </w:tc>
      </w:tr>
      <w:tr>
        <w:trPr/>
        <w:tc>
          <w:tcPr>
            <w:tcW w:w="6352"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Proceeds from stock offerings, net of expenses (Note 8)</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5,306</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011" w:type="dxa"/>
            <w:tcBorders/>
            <w:shd w:fill="auto" w:val="clear"/>
            <w:vAlign w:val="center"/>
          </w:tcPr>
          <w:p>
            <w:pPr>
              <w:pStyle w:val="TableContents"/>
              <w:spacing w:before="0" w:after="0"/>
              <w:ind w:left="0" w:right="0" w:firstLine="400"/>
              <w:jc w:val="left"/>
              <w:rPr/>
            </w:pPr>
            <w:r>
              <w:rPr/>
              <w:t> </w:t>
            </w:r>
          </w:p>
        </w:tc>
      </w:tr>
      <w:tr>
        <w:trPr/>
        <w:tc>
          <w:tcPr>
            <w:tcW w:w="6352"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Proceeds received from SBA debentures</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12,000</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41,500</w:t>
            </w:r>
          </w:p>
        </w:tc>
        <w:tc>
          <w:tcPr>
            <w:tcW w:w="1011" w:type="dxa"/>
            <w:tcBorders/>
            <w:shd w:fill="auto" w:val="clear"/>
            <w:vAlign w:val="center"/>
          </w:tcPr>
          <w:p>
            <w:pPr>
              <w:pStyle w:val="TableContents"/>
              <w:spacing w:before="0" w:after="0"/>
              <w:ind w:left="0" w:right="0" w:firstLine="400"/>
              <w:jc w:val="left"/>
              <w:rPr/>
            </w:pPr>
            <w:r>
              <w:rPr/>
              <w:t> </w:t>
            </w:r>
          </w:p>
        </w:tc>
      </w:tr>
      <w:tr>
        <w:trPr/>
        <w:tc>
          <w:tcPr>
            <w:tcW w:w="6352"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Repayments of SBA debentures</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pPr>
            <w:r>
              <w:rPr/>
              <w:t>—</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(20,000</w:t>
            </w:r>
          </w:p>
        </w:tc>
        <w:tc>
          <w:tcPr>
            <w:tcW w:w="1011" w:type="dxa"/>
            <w:tcBorders/>
            <w:shd w:fill="auto" w:val="clear"/>
            <w:vAlign w:val="center"/>
          </w:tcPr>
          <w:p>
            <w:pPr>
              <w:pStyle w:val="TableContents"/>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352"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Proceeds received from (repayments of) Secured Borrowings, net</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(246</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(194</w:t>
            </w:r>
          </w:p>
        </w:tc>
        <w:tc>
          <w:tcPr>
            <w:tcW w:w="1011" w:type="dxa"/>
            <w:tcBorders/>
            <w:shd w:fill="auto" w:val="clear"/>
            <w:vAlign w:val="center"/>
          </w:tcPr>
          <w:p>
            <w:pPr>
              <w:pStyle w:val="TableContents"/>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352"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Payment of deferred financing costs</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(292</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(1,011</w:t>
            </w:r>
          </w:p>
        </w:tc>
        <w:tc>
          <w:tcPr>
            <w:tcW w:w="1011" w:type="dxa"/>
            <w:tcBorders/>
            <w:shd w:fill="auto" w:val="clear"/>
            <w:vAlign w:val="center"/>
          </w:tcPr>
          <w:p>
            <w:pPr>
              <w:pStyle w:val="TableContents"/>
              <w:spacing w:before="0" w:after="0"/>
              <w:ind w:left="0" w:right="0" w:firstLine="400"/>
              <w:jc w:val="left"/>
              <w:rPr>
                <w:rFonts w:ascii="Times New Roman;serif" w:hAnsi="Times New Roman;serif"/>
                <w:b w:val="false"/>
                <w:sz w:val="16"/>
              </w:rPr>
            </w:pPr>
            <w:r>
              <w:rPr>
                <w:rFonts w:ascii="Times New Roman;serif" w:hAnsi="Times New Roman;serif"/>
                <w:b w:val="false"/>
                <w:sz w:val="16"/>
              </w:rPr>
              <w:t>)</w:t>
            </w:r>
          </w:p>
        </w:tc>
      </w:tr>
      <w:tr>
        <w:trPr/>
        <w:tc>
          <w:tcPr>
            <w:tcW w:w="6352"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Dividends paid to stockholders, including expenses</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(16,492</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(12,952</w:t>
            </w:r>
          </w:p>
        </w:tc>
        <w:tc>
          <w:tcPr>
            <w:tcW w:w="1011" w:type="dxa"/>
            <w:tcBorders/>
            <w:shd w:fill="auto" w:val="clear"/>
            <w:vAlign w:val="center"/>
          </w:tcPr>
          <w:p>
            <w:pPr>
              <w:pStyle w:val="TableContents"/>
              <w:spacing w:before="0" w:after="0"/>
              <w:ind w:left="0" w:right="0" w:firstLine="800"/>
              <w:jc w:val="left"/>
              <w:rPr>
                <w:rFonts w:ascii="Times New Roman;serif" w:hAnsi="Times New Roman;serif"/>
                <w:b w:val="false"/>
                <w:sz w:val="16"/>
              </w:rPr>
            </w:pPr>
            <w:r>
              <w:rPr>
                <w:rFonts w:ascii="Times New Roman;serif" w:hAnsi="Times New Roman;serif"/>
                <w:b w:val="false"/>
                <w:sz w:val="16"/>
              </w:rPr>
              <w:t>)</w:t>
            </w:r>
          </w:p>
        </w:tc>
      </w:tr>
      <w:tr>
        <w:trPr/>
        <w:tc>
          <w:tcPr>
            <w:tcW w:w="6352" w:type="dxa"/>
            <w:tcBorders/>
            <w:shd w:fill="auto" w:val="clear"/>
            <w:vAlign w:val="center"/>
          </w:tcPr>
          <w:p>
            <w:pPr>
              <w:pStyle w:val="TableContents"/>
              <w:spacing w:before="0" w:after="0"/>
              <w:ind w:left="800" w:right="0" w:hanging="0"/>
              <w:jc w:val="left"/>
              <w:rPr>
                <w:rFonts w:ascii="Times New Roman;serif" w:hAnsi="Times New Roman;serif"/>
                <w:b/>
                <w:sz w:val="16"/>
              </w:rPr>
            </w:pPr>
            <w:r>
              <w:rPr>
                <w:rFonts w:ascii="Times New Roman;serif" w:hAnsi="Times New Roman;serif"/>
                <w:b/>
                <w:sz w:val="16"/>
              </w:rPr>
              <w:t>Net cash provided by (used for) financing activities</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66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15,276</w:t>
            </w:r>
          </w:p>
        </w:tc>
        <w:tc>
          <w:tcPr>
            <w:tcW w:w="34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75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7,343</w:t>
            </w:r>
          </w:p>
        </w:tc>
        <w:tc>
          <w:tcPr>
            <w:tcW w:w="1011" w:type="dxa"/>
            <w:tcBorders>
              <w:top w:val="single" w:sz="4" w:space="0" w:color="000000"/>
              <w:bottom w:val="single" w:sz="4" w:space="0" w:color="000000"/>
            </w:tcBorders>
            <w:shd w:fill="auto" w:val="clear"/>
            <w:tcMar>
              <w:left w:w="0" w:type="dxa"/>
              <w:right w:w="0" w:type="dxa"/>
            </w:tcMar>
            <w:vAlign w:val="center"/>
          </w:tcPr>
          <w:p>
            <w:pPr>
              <w:pStyle w:val="TableContents"/>
              <w:spacing w:before="0" w:after="0"/>
              <w:ind w:left="0" w:right="0" w:firstLine="800"/>
              <w:jc w:val="left"/>
              <w:rPr/>
            </w:pPr>
            <w:r>
              <w:rPr/>
              <w:t> </w:t>
            </w:r>
          </w:p>
        </w:tc>
      </w:tr>
      <w:tr>
        <w:trPr/>
        <w:tc>
          <w:tcPr>
            <w:tcW w:w="6352" w:type="dxa"/>
            <w:tcBorders/>
            <w:shd w:fill="auto" w:val="clear"/>
            <w:vAlign w:val="center"/>
          </w:tcPr>
          <w:p>
            <w:pPr>
              <w:pStyle w:val="TableContents"/>
              <w:spacing w:before="0" w:after="0"/>
              <w:ind w:left="800" w:right="0" w:hanging="0"/>
              <w:jc w:val="left"/>
              <w:rPr>
                <w:rFonts w:ascii="Times New Roman;serif" w:hAnsi="Times New Roman;serif"/>
                <w:b/>
                <w:sz w:val="16"/>
              </w:rPr>
            </w:pPr>
            <w:r>
              <w:rPr>
                <w:rFonts w:ascii="Times New Roman;serif" w:hAnsi="Times New Roman;serif"/>
                <w:b/>
                <w:sz w:val="16"/>
              </w:rPr>
              <w:t>Net increase (decrease) in cash and cash equivalents</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(25,932</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(83,304</w:t>
            </w:r>
          </w:p>
        </w:tc>
        <w:tc>
          <w:tcPr>
            <w:tcW w:w="10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352"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Cash and cash equivalents:</w:t>
            </w:r>
          </w:p>
        </w:tc>
        <w:tc>
          <w:tcPr>
            <w:tcW w:w="346" w:type="dxa"/>
            <w:tcBorders/>
            <w:shd w:fill="auto" w:val="clear"/>
            <w:vAlign w:val="center"/>
          </w:tcPr>
          <w:p>
            <w:pPr>
              <w:pStyle w:val="TableContents"/>
              <w:spacing w:before="0" w:after="0"/>
              <w:ind w:left="0" w:right="0" w:hanging="0"/>
              <w:jc w:val="left"/>
              <w:rPr/>
            </w:pPr>
            <w:r>
              <w:rPr/>
              <w:t> </w:t>
            </w:r>
          </w:p>
        </w:tc>
        <w:tc>
          <w:tcPr>
            <w:tcW w:w="857" w:type="dxa"/>
            <w:gridSpan w:val="2"/>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011" w:type="dxa"/>
            <w:tcBorders/>
            <w:shd w:fill="auto" w:val="clear"/>
            <w:vAlign w:val="center"/>
          </w:tcPr>
          <w:p>
            <w:pPr>
              <w:pStyle w:val="TableContents"/>
              <w:spacing w:before="0" w:after="0"/>
              <w:ind w:left="0" w:right="0" w:firstLine="400"/>
              <w:jc w:val="left"/>
              <w:rPr/>
            </w:pPr>
            <w:r>
              <w:rPr/>
              <w:t> </w:t>
            </w:r>
          </w:p>
        </w:tc>
      </w:tr>
      <w:tr>
        <w:trPr/>
        <w:tc>
          <w:tcPr>
            <w:tcW w:w="6352"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Beginning of period</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62,350</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169,417</w:t>
            </w:r>
          </w:p>
        </w:tc>
        <w:tc>
          <w:tcPr>
            <w:tcW w:w="10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352"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End of period</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36,418</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86,113</w:t>
            </w:r>
          </w:p>
        </w:tc>
        <w:tc>
          <w:tcPr>
            <w:tcW w:w="10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352"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sz w:val="16"/>
              </w:rPr>
              <w:t>Supplemental information and non-cash activities</w:t>
            </w:r>
            <w:r>
              <w:rPr>
                <w:rFonts w:ascii="Times New Roman;serif" w:hAnsi="Times New Roman;serif"/>
                <w:b w:val="false"/>
                <w:sz w:val="16"/>
              </w:rPr>
              <w:t>:</w:t>
            </w:r>
          </w:p>
        </w:tc>
        <w:tc>
          <w:tcPr>
            <w:tcW w:w="346" w:type="dxa"/>
            <w:tcBorders/>
            <w:shd w:fill="auto" w:val="clear"/>
            <w:vAlign w:val="center"/>
          </w:tcPr>
          <w:p>
            <w:pPr>
              <w:pStyle w:val="TableContents"/>
              <w:spacing w:before="0" w:after="0"/>
              <w:ind w:left="0" w:right="0" w:hanging="0"/>
              <w:jc w:val="left"/>
              <w:rPr/>
            </w:pPr>
            <w:r>
              <w:rPr/>
              <w:t> </w:t>
            </w:r>
          </w:p>
        </w:tc>
        <w:tc>
          <w:tcPr>
            <w:tcW w:w="857" w:type="dxa"/>
            <w:gridSpan w:val="2"/>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011" w:type="dxa"/>
            <w:tcBorders/>
            <w:shd w:fill="auto" w:val="clear"/>
            <w:vAlign w:val="center"/>
          </w:tcPr>
          <w:p>
            <w:pPr>
              <w:pStyle w:val="TableContents"/>
              <w:spacing w:before="0" w:after="0"/>
              <w:ind w:left="0" w:right="0" w:firstLine="400"/>
              <w:jc w:val="left"/>
              <w:rPr/>
            </w:pPr>
            <w:r>
              <w:rPr/>
              <w:t> </w:t>
            </w:r>
          </w:p>
        </w:tc>
      </w:tr>
      <w:tr>
        <w:trPr/>
        <w:tc>
          <w:tcPr>
            <w:tcW w:w="6352"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Cash payments for interest</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6,090</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4,941</w:t>
            </w:r>
          </w:p>
        </w:tc>
        <w:tc>
          <w:tcPr>
            <w:tcW w:w="1011" w:type="dxa"/>
            <w:tcBorders/>
            <w:shd w:fill="auto" w:val="clear"/>
            <w:vAlign w:val="center"/>
          </w:tcPr>
          <w:p>
            <w:pPr>
              <w:pStyle w:val="TableContents"/>
              <w:spacing w:before="0" w:after="0"/>
              <w:ind w:left="0" w:right="0" w:firstLine="400"/>
              <w:jc w:val="left"/>
              <w:rPr/>
            </w:pPr>
            <w:r>
              <w:rPr/>
              <w:t> </w:t>
            </w:r>
          </w:p>
        </w:tc>
      </w:tr>
      <w:tr>
        <w:trPr/>
        <w:tc>
          <w:tcPr>
            <w:tcW w:w="6352" w:type="dxa"/>
            <w:tcBorders/>
            <w:shd w:fill="auto" w:val="clear"/>
            <w:vAlign w:val="center"/>
          </w:tcPr>
          <w:p>
            <w:pPr>
              <w:pStyle w:val="TableContents"/>
              <w:spacing w:before="0" w:after="0"/>
              <w:ind w:left="400" w:right="0" w:hanging="0"/>
              <w:jc w:val="left"/>
              <w:rPr>
                <w:rFonts w:ascii="Times New Roman;serif" w:hAnsi="Times New Roman;serif"/>
                <w:b w:val="false"/>
                <w:sz w:val="16"/>
              </w:rPr>
            </w:pPr>
            <w:r>
              <w:rPr>
                <w:rFonts w:ascii="Times New Roman;serif" w:hAnsi="Times New Roman;serif"/>
                <w:b w:val="false"/>
                <w:sz w:val="16"/>
              </w:rPr>
              <w:t>Cash payments for taxes, net of tax refunds received</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9,887</w:t>
            </w:r>
          </w:p>
        </w:tc>
        <w:tc>
          <w:tcPr>
            <w:tcW w:w="3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320</w:t>
            </w:r>
          </w:p>
        </w:tc>
        <w:tc>
          <w:tcPr>
            <w:tcW w:w="10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pPr>
      <w:r>
        <w:rPr/>
        <w:t> </w:t>
      </w:r>
    </w:p>
    <w:p>
      <w:pPr>
        <w:pStyle w:val="TextBody"/>
        <w:spacing w:before="0" w:after="0"/>
        <w:jc w:val="center"/>
        <w:rPr>
          <w:rFonts w:ascii="Times New Roman;serif" w:hAnsi="Times New Roman;serif"/>
          <w:b w:val="false"/>
          <w:i/>
          <w:sz w:val="20"/>
        </w:rPr>
      </w:pPr>
      <w:r>
        <w:rPr>
          <w:rFonts w:ascii="Times New Roman;serif" w:hAnsi="Times New Roman;serif"/>
          <w:b w:val="false"/>
          <w:i/>
          <w:sz w:val="20"/>
        </w:rPr>
        <w:t>See Notes to Consolidated Financial Statements (unaudited).</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180"/>
        <w:jc w:val="center"/>
        <w:rPr/>
      </w:pPr>
      <w:r>
        <w:rPr/>
        <w:t> </w:t>
      </w:r>
    </w:p>
    <w:p>
      <w:pPr>
        <w:pStyle w:val="TextBody"/>
        <w:spacing w:before="0" w:after="0"/>
        <w:jc w:val="center"/>
        <w:rPr>
          <w:rFonts w:ascii="Times New Roman;serif" w:hAnsi="Times New Roman;serif"/>
          <w:b/>
          <w:sz w:val="20"/>
        </w:rPr>
      </w:pPr>
      <w:bookmarkStart w:id="8" w:name="consolidated_schedule_of_investments"/>
      <w:bookmarkEnd w:id="8"/>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r>
        <w:rPr>
          <w:rFonts w:ascii="Times New Roman;serif" w:hAnsi="Times New Roman;serif"/>
          <w:b/>
          <w:sz w:val="20"/>
        </w:rPr>
        <w:t>Consolidated Schedule of Investments (unaudited)</w:t>
      </w:r>
    </w:p>
    <w:p>
      <w:pPr>
        <w:pStyle w:val="TextBody"/>
        <w:spacing w:before="0" w:after="0"/>
        <w:jc w:val="center"/>
        <w:rPr>
          <w:rFonts w:ascii="Times New Roman;serif" w:hAnsi="Times New Roman;serif"/>
          <w:b/>
          <w:sz w:val="20"/>
        </w:rPr>
      </w:pPr>
      <w:r>
        <w:rPr>
          <w:rFonts w:ascii="Times New Roman;serif" w:hAnsi="Times New Roman;serif"/>
          <w:b/>
          <w:sz w:val="20"/>
        </w:rPr>
        <w:t>March 31, 2023</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shares)</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2599"/>
        <w:gridCol w:w="1378"/>
        <w:gridCol w:w="893"/>
        <w:gridCol w:w="681"/>
        <w:gridCol w:w="635"/>
        <w:gridCol w:w="604"/>
        <w:gridCol w:w="166"/>
        <w:gridCol w:w="436"/>
        <w:gridCol w:w="146"/>
        <w:gridCol w:w="146"/>
        <w:gridCol w:w="166"/>
        <w:gridCol w:w="436"/>
        <w:gridCol w:w="146"/>
        <w:gridCol w:w="146"/>
        <w:gridCol w:w="166"/>
        <w:gridCol w:w="436"/>
        <w:gridCol w:w="146"/>
        <w:gridCol w:w="205"/>
        <w:gridCol w:w="317"/>
        <w:gridCol w:w="357"/>
      </w:tblGrid>
      <w:tr>
        <w:trPr/>
        <w:tc>
          <w:tcPr>
            <w:tcW w:w="2599" w:type="dxa"/>
            <w:tcBorders/>
            <w:shd w:fill="auto" w:val="clear"/>
            <w:vAlign w:val="center"/>
          </w:tcPr>
          <w:p>
            <w:pPr>
              <w:pStyle w:val="TableContents"/>
              <w:spacing w:before="0" w:after="283"/>
              <w:rPr>
                <w:sz w:val="4"/>
                <w:szCs w:val="4"/>
              </w:rPr>
            </w:pPr>
            <w:r>
              <w:rPr>
                <w:sz w:val="4"/>
                <w:szCs w:val="4"/>
              </w:rPr>
            </w:r>
          </w:p>
        </w:tc>
        <w:tc>
          <w:tcPr>
            <w:tcW w:w="1378"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r>
      <w:tr>
        <w:trPr/>
        <w:tc>
          <w:tcPr>
            <w:tcW w:w="2599" w:type="dxa"/>
            <w:tcBorders/>
            <w:shd w:fill="auto" w:val="clear"/>
            <w:vAlign w:val="center"/>
          </w:tcPr>
          <w:p>
            <w:pPr>
              <w:pStyle w:val="TableContents"/>
              <w:spacing w:before="0" w:after="0"/>
              <w:ind w:left="0" w:right="0" w:hanging="0"/>
              <w:jc w:val="left"/>
              <w:rPr>
                <w:rFonts w:ascii="Times New Roman;serif" w:hAnsi="Times New Roman;serif"/>
                <w:b/>
                <w:sz w:val="10"/>
              </w:rPr>
            </w:pPr>
            <w:r>
              <w:rPr>
                <w:rFonts w:ascii="Times New Roman;serif" w:hAnsi="Times New Roman;serif"/>
                <w:b/>
                <w:sz w:val="10"/>
              </w:rPr>
              <w:t>Portfolio Company (a)(b)</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rFonts w:ascii="Times New Roman;serif" w:hAnsi="Times New Roman;serif"/>
                <w:b/>
                <w:sz w:val="10"/>
              </w:rPr>
            </w:pPr>
            <w:r>
              <w:rPr>
                <w:rFonts w:ascii="Times New Roman;serif" w:hAnsi="Times New Roman;serif"/>
                <w:b/>
                <w:sz w:val="10"/>
              </w:rPr>
              <w:t>Variable Index</w:t>
            </w:r>
          </w:p>
        </w:tc>
        <w:tc>
          <w:tcPr>
            <w:tcW w:w="681" w:type="dxa"/>
            <w:tcBorders/>
            <w:shd w:fill="auto" w:val="clear"/>
            <w:vAlign w:val="center"/>
          </w:tcPr>
          <w:p>
            <w:pPr>
              <w:pStyle w:val="TableContents"/>
              <w:spacing w:before="0" w:after="0"/>
              <w:ind w:left="0" w:right="0" w:hanging="0"/>
              <w:jc w:val="left"/>
              <w:rPr>
                <w:rFonts w:ascii="Times New Roman;serif" w:hAnsi="Times New Roman;serif"/>
                <w:b/>
                <w:sz w:val="10"/>
              </w:rPr>
            </w:pPr>
            <w:r>
              <w:rPr>
                <w:rFonts w:ascii="Times New Roman;serif" w:hAnsi="Times New Roman;serif"/>
                <w:b/>
                <w:sz w:val="10"/>
              </w:rPr>
              <w:t>Rate (e)</w:t>
            </w:r>
          </w:p>
        </w:tc>
        <w:tc>
          <w:tcPr>
            <w:tcW w:w="635" w:type="dxa"/>
            <w:tcBorders/>
            <w:shd w:fill="auto" w:val="clear"/>
            <w:vAlign w:val="center"/>
          </w:tcPr>
          <w:p>
            <w:pPr>
              <w:pStyle w:val="TableContents"/>
              <w:spacing w:before="0" w:after="0"/>
              <w:ind w:left="0" w:right="0" w:hanging="0"/>
              <w:jc w:val="left"/>
              <w:rPr>
                <w:rFonts w:ascii="Times New Roman;serif" w:hAnsi="Times New Roman;serif"/>
                <w:b/>
                <w:sz w:val="10"/>
              </w:rPr>
            </w:pPr>
            <w:r>
              <w:rPr>
                <w:rFonts w:ascii="Times New Roman;serif" w:hAnsi="Times New Roman;serif"/>
                <w:b/>
                <w:sz w:val="10"/>
              </w:rPr>
              <w:t>Investment</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rFonts w:ascii="Times New Roman;serif" w:hAnsi="Times New Roman;serif"/>
                <w:b/>
                <w:sz w:val="10"/>
              </w:rPr>
            </w:pPr>
            <w:r>
              <w:rPr>
                <w:rFonts w:ascii="Times New Roman;serif" w:hAnsi="Times New Roman;serif"/>
                <w:b/>
                <w:sz w:val="10"/>
              </w:rPr>
              <w:t>Principal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rFonts w:ascii="Times New Roman;serif" w:hAnsi="Times New Roman;serif"/>
                <w:b/>
                <w:sz w:val="10"/>
              </w:rPr>
            </w:pPr>
            <w:r>
              <w:rPr>
                <w:rFonts w:ascii="Times New Roman;serif" w:hAnsi="Times New Roman;serif"/>
                <w:b/>
                <w:sz w:val="10"/>
              </w:rPr>
              <w:t>Fair</w:t>
            </w:r>
          </w:p>
        </w:tc>
        <w:tc>
          <w:tcPr>
            <w:tcW w:w="146" w:type="dxa"/>
            <w:tcBorders/>
            <w:shd w:fill="auto" w:val="clear"/>
            <w:vAlign w:val="center"/>
          </w:tcPr>
          <w:p>
            <w:pPr>
              <w:pStyle w:val="TableContents"/>
              <w:spacing w:before="0" w:after="0"/>
              <w:ind w:left="0" w:right="0" w:hanging="0"/>
              <w:jc w:val="center"/>
              <w:rPr/>
            </w:pPr>
            <w:r>
              <w:rPr/>
              <w:t> </w:t>
            </w:r>
          </w:p>
        </w:tc>
        <w:tc>
          <w:tcPr>
            <w:tcW w:w="522" w:type="dxa"/>
            <w:gridSpan w:val="2"/>
            <w:tcBorders/>
            <w:shd w:fill="auto" w:val="clear"/>
            <w:vAlign w:val="center"/>
          </w:tcPr>
          <w:p>
            <w:pPr>
              <w:pStyle w:val="TableContents"/>
              <w:spacing w:before="0" w:after="0"/>
              <w:ind w:left="0" w:right="0" w:hanging="0"/>
              <w:jc w:val="center"/>
              <w:rPr>
                <w:rFonts w:ascii="Times New Roman;serif" w:hAnsi="Times New Roman;serif"/>
                <w:b/>
                <w:sz w:val="10"/>
              </w:rPr>
            </w:pPr>
            <w:r>
              <w:rPr>
                <w:rFonts w:ascii="Times New Roman;serif" w:hAnsi="Times New Roman;serif"/>
                <w:b/>
                <w:sz w:val="10"/>
              </w:rPr>
              <w:t>Percent of</w:t>
            </w:r>
          </w:p>
        </w:tc>
        <w:tc>
          <w:tcPr>
            <w:tcW w:w="357" w:type="dxa"/>
            <w:tcBorders/>
            <w:shd w:fill="auto" w:val="clear"/>
            <w:vAlign w:val="center"/>
          </w:tcPr>
          <w:p>
            <w:pPr>
              <w:pStyle w:val="TableContents"/>
              <w:spacing w:before="0" w:after="0"/>
              <w:ind w:left="0" w:right="0" w:hanging="0"/>
              <w:jc w:val="center"/>
              <w:rPr/>
            </w:pPr>
            <w:r>
              <w:rPr/>
              <w:t> </w:t>
            </w:r>
          </w:p>
        </w:tc>
      </w:tr>
      <w:tr>
        <w:trPr/>
        <w:tc>
          <w:tcPr>
            <w:tcW w:w="25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0"/>
              </w:rPr>
            </w:pPr>
            <w:r>
              <w:rPr>
                <w:rFonts w:ascii="Times New Roman;serif" w:hAnsi="Times New Roman;serif"/>
                <w:b/>
                <w:sz w:val="10"/>
              </w:rPr>
              <w:t>Investment Type (c)</w:t>
            </w:r>
          </w:p>
        </w:tc>
        <w:tc>
          <w:tcPr>
            <w:tcW w:w="13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0"/>
              </w:rPr>
            </w:pPr>
            <w:r>
              <w:rPr>
                <w:rFonts w:ascii="Times New Roman;serif" w:hAnsi="Times New Roman;serif"/>
                <w:b/>
                <w:sz w:val="10"/>
              </w:rPr>
              <w:t>Industry</w:t>
            </w:r>
          </w:p>
        </w:tc>
        <w:tc>
          <w:tcPr>
            <w:tcW w:w="89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0"/>
              </w:rPr>
            </w:pPr>
            <w:r>
              <w:rPr>
                <w:rFonts w:ascii="Times New Roman;serif" w:hAnsi="Times New Roman;serif"/>
                <w:b/>
                <w:sz w:val="10"/>
              </w:rPr>
              <w:t>Spread / Floor (d)</w:t>
            </w:r>
          </w:p>
        </w:tc>
        <w:tc>
          <w:tcPr>
            <w:tcW w:w="6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0"/>
              </w:rPr>
            </w:pPr>
            <w:r>
              <w:rPr>
                <w:rFonts w:ascii="Times New Roman;serif" w:hAnsi="Times New Roman;serif"/>
                <w:b/>
                <w:sz w:val="10"/>
              </w:rPr>
              <w:t>Cash/PIK</w:t>
            </w:r>
          </w:p>
        </w:tc>
        <w:tc>
          <w:tcPr>
            <w:tcW w:w="6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0"/>
              </w:rPr>
            </w:pPr>
            <w:r>
              <w:rPr>
                <w:rFonts w:ascii="Times New Roman;serif" w:hAnsi="Times New Roman;serif"/>
                <w:b/>
                <w:sz w:val="10"/>
              </w:rPr>
              <w:t>Date (f)</w:t>
            </w:r>
          </w:p>
        </w:tc>
        <w:tc>
          <w:tcPr>
            <w:tcW w:w="6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0"/>
              </w:rPr>
            </w:pPr>
            <w:r>
              <w:rPr>
                <w:rFonts w:ascii="Times New Roman;serif" w:hAnsi="Times New Roman;serif"/>
                <w:b/>
                <w:sz w:val="10"/>
              </w:rPr>
              <w:t>Maturity</w:t>
            </w:r>
          </w:p>
        </w:tc>
        <w:tc>
          <w:tcPr>
            <w:tcW w:w="6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0"/>
              </w:rPr>
            </w:pPr>
            <w:r>
              <w:rPr>
                <w:rFonts w:ascii="Times New Roman;serif" w:hAnsi="Times New Roman;serif"/>
                <w:b/>
                <w:sz w:val="10"/>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0"/>
              </w:rPr>
            </w:pPr>
            <w:r>
              <w:rPr>
                <w:rFonts w:ascii="Times New Roman;serif" w:hAnsi="Times New Roman;serif"/>
                <w:b/>
                <w:sz w:val="10"/>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0"/>
              </w:rPr>
            </w:pPr>
            <w:r>
              <w:rPr>
                <w:rFonts w:ascii="Times New Roman;serif" w:hAnsi="Times New Roman;serif"/>
                <w:b/>
                <w:sz w:val="10"/>
              </w:rPr>
              <w:t>Value (g)</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0"/>
              </w:rPr>
            </w:pPr>
            <w:r>
              <w:rPr>
                <w:rFonts w:ascii="Times New Roman;serif" w:hAnsi="Times New Roman;serif"/>
                <w:b/>
                <w:sz w:val="10"/>
              </w:rPr>
              <w:t>Net Assets</w:t>
            </w:r>
          </w:p>
        </w:tc>
        <w:tc>
          <w:tcPr>
            <w:tcW w:w="3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599" w:type="dxa"/>
            <w:tcBorders/>
            <w:shd w:fill="auto" w:val="clear"/>
            <w:vAlign w:val="center"/>
          </w:tcPr>
          <w:p>
            <w:pPr>
              <w:pStyle w:val="TableContents"/>
              <w:spacing w:before="0" w:after="0"/>
              <w:ind w:left="0" w:right="0" w:hanging="0"/>
              <w:jc w:val="left"/>
              <w:rPr/>
            </w:pPr>
            <w:r>
              <w:rPr/>
              <w:t> </w:t>
            </w:r>
          </w:p>
        </w:tc>
        <w:tc>
          <w:tcPr>
            <w:tcW w:w="1378" w:type="dxa"/>
            <w:tcBorders/>
            <w:shd w:fill="auto" w:val="clear"/>
            <w:vAlign w:val="center"/>
          </w:tcPr>
          <w:p>
            <w:pPr>
              <w:pStyle w:val="TableContents"/>
              <w:spacing w:before="0" w:after="0"/>
              <w:ind w:left="0" w:right="0" w:hanging="0"/>
              <w:jc w:val="center"/>
              <w:rPr/>
            </w:pPr>
            <w:r>
              <w:rPr/>
              <w:t> </w:t>
            </w:r>
          </w:p>
        </w:tc>
        <w:tc>
          <w:tcPr>
            <w:tcW w:w="893" w:type="dxa"/>
            <w:tcBorders/>
            <w:shd w:fill="auto" w:val="clear"/>
            <w:vAlign w:val="center"/>
          </w:tcPr>
          <w:p>
            <w:pPr>
              <w:pStyle w:val="TableContents"/>
              <w:spacing w:before="0" w:after="0"/>
              <w:ind w:left="0" w:right="0" w:hanging="0"/>
              <w:jc w:val="center"/>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2" w:type="dxa"/>
            <w:gridSpan w:val="2"/>
            <w:tcBorders/>
            <w:shd w:fill="auto" w:val="clear"/>
            <w:vAlign w:val="center"/>
          </w:tcPr>
          <w:p>
            <w:pPr>
              <w:pStyle w:val="TableContents"/>
              <w:spacing w:before="0" w:after="0"/>
              <w:ind w:left="0" w:right="0" w:hanging="0"/>
              <w:jc w:val="center"/>
              <w:rPr/>
            </w:pPr>
            <w:r>
              <w:rPr/>
              <w:t> </w:t>
            </w:r>
          </w:p>
        </w:tc>
        <w:tc>
          <w:tcPr>
            <w:tcW w:w="357" w:type="dxa"/>
            <w:tcBorders/>
            <w:shd w:fill="auto" w:val="clear"/>
            <w:vAlign w:val="center"/>
          </w:tcPr>
          <w:p>
            <w:pPr>
              <w:pStyle w:val="TableContents"/>
              <w:spacing w:before="0" w:after="0"/>
              <w:ind w:left="0" w:right="0" w:hanging="0"/>
              <w:jc w:val="center"/>
              <w:rPr/>
            </w:pPr>
            <w:r>
              <w:rPr/>
              <w:t> </w:t>
            </w:r>
          </w:p>
        </w:tc>
      </w:tr>
      <w:tr>
        <w:trPr/>
        <w:tc>
          <w:tcPr>
            <w:tcW w:w="2599" w:type="dxa"/>
            <w:tcBorders/>
            <w:shd w:fill="auto" w:val="clear"/>
            <w:vAlign w:val="center"/>
          </w:tcPr>
          <w:p>
            <w:pPr>
              <w:pStyle w:val="TableContents"/>
              <w:spacing w:before="0" w:after="0"/>
              <w:ind w:left="0" w:right="0" w:hanging="0"/>
              <w:jc w:val="left"/>
              <w:rPr>
                <w:rFonts w:ascii="Times New Roman;serif" w:hAnsi="Times New Roman;serif"/>
                <w:b/>
                <w:sz w:val="10"/>
                <w:u w:val="single"/>
              </w:rPr>
            </w:pPr>
            <w:r>
              <w:rPr>
                <w:rFonts w:ascii="Times New Roman;serif" w:hAnsi="Times New Roman;serif"/>
                <w:b/>
                <w:sz w:val="10"/>
                <w:u w:val="single"/>
              </w:rPr>
              <w:t>Control Investments (t)</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r>
      <w:tr>
        <w:trPr/>
        <w:tc>
          <w:tcPr>
            <w:tcW w:w="2599"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EBL, LLC (EbLens)</w:t>
            </w:r>
          </w:p>
        </w:tc>
        <w:tc>
          <w:tcPr>
            <w:tcW w:w="1378"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Retail</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 (j)(y)</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0.00%/13.00%</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10/3/2022</w:t>
            </w:r>
          </w:p>
        </w:tc>
        <w:tc>
          <w:tcPr>
            <w:tcW w:w="6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10/3/2025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9,350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9,332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(75,000</w:t>
            </w:r>
            <w:r>
              <w:rPr>
                <w:rFonts w:ascii="Times New Roman" w:hAnsi="Times New Roman"/>
                <w:sz w:val="20"/>
              </w:rPr>
              <w:t> </w:t>
            </w:r>
            <w:r>
              <w:rPr>
                <w:rFonts w:ascii="Times New Roman;serif" w:hAnsi="Times New Roman;serif"/>
                <w:b w:val="false"/>
                <w:sz w:val="10"/>
              </w:rPr>
              <w:t>units) (j)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7/13/2017</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(375</w:t>
            </w:r>
            <w:r>
              <w:rPr>
                <w:rFonts w:ascii="Times New Roman" w:hAnsi="Times New Roman"/>
                <w:sz w:val="20"/>
              </w:rPr>
              <w:t> </w:t>
            </w:r>
            <w:r>
              <w:rPr>
                <w:rFonts w:ascii="Times New Roman;serif" w:hAnsi="Times New Roman;serif"/>
                <w:b w:val="false"/>
                <w:sz w:val="10"/>
              </w:rPr>
              <w:t>units) ($375</w:t>
            </w:r>
            <w:r>
              <w:rPr>
                <w:rFonts w:ascii="Times New Roman" w:hAnsi="Times New Roman"/>
                <w:sz w:val="20"/>
              </w:rPr>
              <w:t> </w:t>
            </w:r>
            <w:r>
              <w:rPr>
                <w:rFonts w:ascii="Times New Roman;serif" w:hAnsi="Times New Roman;serif"/>
                <w:b w:val="false"/>
                <w:sz w:val="10"/>
              </w:rPr>
              <w:t>unfunded commitment) (j)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10/3/2022</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r>
      <w:tr>
        <w:trPr/>
        <w:tc>
          <w:tcPr>
            <w:tcW w:w="2599" w:type="dxa"/>
            <w:tcBorders/>
            <w:shd w:fill="auto" w:val="clear"/>
            <w:vAlign w:val="center"/>
          </w:tcPr>
          <w:p>
            <w:pPr>
              <w:pStyle w:val="TableContents"/>
              <w:spacing w:before="0" w:after="283"/>
              <w:ind w:left="0" w:right="0" w:hanging="0"/>
              <w:rPr>
                <w:sz w:val="4"/>
                <w:szCs w:val="4"/>
              </w:rPr>
            </w:pPr>
            <w:r>
              <w:rPr>
                <w:sz w:val="4"/>
                <w:szCs w:val="4"/>
              </w:rPr>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11,082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US GreenFiber, LLC (n)</w:t>
            </w:r>
          </w:p>
        </w:tc>
        <w:tc>
          <w:tcPr>
            <w:tcW w:w="1378"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Building Products Manufacturing</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 (j)(y)</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10.00%/3.00%</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7/3/2014</w:t>
            </w:r>
          </w:p>
        </w:tc>
        <w:tc>
          <w:tcPr>
            <w:tcW w:w="6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8/30/2024</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5,226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5,223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(2,522</w:t>
            </w:r>
            <w:r>
              <w:rPr>
                <w:rFonts w:ascii="Times New Roman" w:hAnsi="Times New Roman"/>
                <w:sz w:val="20"/>
              </w:rPr>
              <w:t> </w:t>
            </w:r>
            <w:r>
              <w:rPr>
                <w:rFonts w:ascii="Times New Roman;serif" w:hAnsi="Times New Roman;serif"/>
                <w:b w:val="false"/>
                <w:sz w:val="10"/>
              </w:rPr>
              <w:t>units) (h)(j)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7/3/2014</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(425,508</w:t>
            </w:r>
            <w:r>
              <w:rPr>
                <w:rFonts w:ascii="Times New Roman" w:hAnsi="Times New Roman"/>
                <w:sz w:val="20"/>
              </w:rPr>
              <w:t> </w:t>
            </w:r>
            <w:r>
              <w:rPr>
                <w:rFonts w:ascii="Times New Roman;serif" w:hAnsi="Times New Roman;serif"/>
                <w:b w:val="false"/>
                <w:sz w:val="10"/>
              </w:rPr>
              <w:t>units) (j)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8/30/2019</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(1,022,813</w:t>
            </w:r>
            <w:r>
              <w:rPr>
                <w:rFonts w:ascii="Times New Roman" w:hAnsi="Times New Roman"/>
                <w:sz w:val="20"/>
              </w:rPr>
              <w:t> </w:t>
            </w:r>
            <w:r>
              <w:rPr>
                <w:rFonts w:ascii="Times New Roman;serif" w:hAnsi="Times New Roman;serif"/>
                <w:b w:val="false"/>
                <w:sz w:val="10"/>
              </w:rPr>
              <w:t>units) (h)(j)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7/1/2020</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r>
      <w:tr>
        <w:trPr/>
        <w:tc>
          <w:tcPr>
            <w:tcW w:w="2599" w:type="dxa"/>
            <w:tcBorders/>
            <w:shd w:fill="auto" w:val="clear"/>
            <w:vAlign w:val="center"/>
          </w:tcPr>
          <w:p>
            <w:pPr>
              <w:pStyle w:val="TableContents"/>
              <w:spacing w:before="0" w:after="283"/>
              <w:ind w:left="0" w:right="0" w:hanging="0"/>
              <w:rPr>
                <w:sz w:val="4"/>
                <w:szCs w:val="4"/>
              </w:rPr>
            </w:pPr>
            <w:r>
              <w:rPr>
                <w:sz w:val="4"/>
                <w:szCs w:val="4"/>
              </w:rPr>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6,833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shd w:fill="auto" w:val="clear"/>
            <w:vAlign w:val="center"/>
          </w:tcPr>
          <w:p>
            <w:pPr>
              <w:pStyle w:val="TableContents"/>
              <w:spacing w:before="0" w:after="283"/>
              <w:ind w:left="0" w:right="0" w:hanging="0"/>
              <w:rPr>
                <w:sz w:val="4"/>
                <w:szCs w:val="4"/>
              </w:rPr>
            </w:pPr>
            <w:r>
              <w:rPr>
                <w:sz w:val="4"/>
                <w:szCs w:val="4"/>
              </w:rPr>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r>
      <w:tr>
        <w:trPr/>
        <w:tc>
          <w:tcPr>
            <w:tcW w:w="2599" w:type="dxa"/>
            <w:tcBorders/>
            <w:shd w:fill="auto" w:val="clear"/>
            <w:vAlign w:val="center"/>
          </w:tcPr>
          <w:p>
            <w:pPr>
              <w:pStyle w:val="TableContents"/>
              <w:spacing w:before="0" w:after="0"/>
              <w:ind w:left="0" w:right="0" w:hanging="0"/>
              <w:jc w:val="left"/>
              <w:rPr>
                <w:rFonts w:ascii="Times New Roman;serif" w:hAnsi="Times New Roman;serif"/>
                <w:b/>
                <w:sz w:val="10"/>
              </w:rPr>
            </w:pPr>
            <w:r>
              <w:rPr>
                <w:rFonts w:ascii="Times New Roman;serif" w:hAnsi="Times New Roman;serif"/>
                <w:b/>
                <w:sz w:val="10"/>
              </w:rPr>
              <w:t>Total Control Investments</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17,915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shd w:fill="auto" w:val="clear"/>
            <w:vAlign w:val="center"/>
          </w:tcPr>
          <w:p>
            <w:pPr>
              <w:pStyle w:val="TableContents"/>
              <w:spacing w:before="0" w:after="283"/>
              <w:ind w:left="0" w:right="0" w:hanging="0"/>
              <w:rPr>
                <w:sz w:val="4"/>
                <w:szCs w:val="4"/>
              </w:rPr>
            </w:pPr>
            <w:r>
              <w:rPr>
                <w:sz w:val="4"/>
                <w:szCs w:val="4"/>
              </w:rPr>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r>
      <w:tr>
        <w:trPr/>
        <w:tc>
          <w:tcPr>
            <w:tcW w:w="2599" w:type="dxa"/>
            <w:tcBorders/>
            <w:shd w:fill="auto" w:val="clear"/>
            <w:vAlign w:val="center"/>
          </w:tcPr>
          <w:p>
            <w:pPr>
              <w:pStyle w:val="TableContents"/>
              <w:spacing w:before="0" w:after="0"/>
              <w:ind w:left="0" w:right="0" w:hanging="0"/>
              <w:jc w:val="left"/>
              <w:rPr>
                <w:rFonts w:ascii="Times New Roman;serif" w:hAnsi="Times New Roman;serif"/>
                <w:b/>
                <w:sz w:val="10"/>
                <w:u w:val="single"/>
              </w:rPr>
            </w:pPr>
            <w:r>
              <w:rPr>
                <w:rFonts w:ascii="Times New Roman;serif" w:hAnsi="Times New Roman;serif"/>
                <w:b/>
                <w:sz w:val="10"/>
                <w:u w:val="single"/>
              </w:rPr>
              <w:t>Affiliate Investments (l)</w:t>
            </w:r>
          </w:p>
        </w:tc>
        <w:tc>
          <w:tcPr>
            <w:tcW w:w="1378" w:type="dxa"/>
            <w:tcBorders/>
            <w:shd w:fill="auto" w:val="clear"/>
            <w:vAlign w:val="center"/>
          </w:tcPr>
          <w:p>
            <w:pPr>
              <w:pStyle w:val="TableContents"/>
              <w:spacing w:before="0" w:after="0"/>
              <w:ind w:left="0" w:right="0" w:hanging="0"/>
              <w:jc w:val="center"/>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2" w:type="dxa"/>
            <w:gridSpan w:val="2"/>
            <w:tcBorders/>
            <w:shd w:fill="auto" w:val="clear"/>
            <w:vAlign w:val="center"/>
          </w:tcPr>
          <w:p>
            <w:pPr>
              <w:pStyle w:val="TableContents"/>
              <w:spacing w:before="0" w:after="0"/>
              <w:ind w:left="0" w:right="0" w:hanging="0"/>
              <w:jc w:val="center"/>
              <w:rPr/>
            </w:pPr>
            <w:r>
              <w:rPr/>
              <w:t> </w:t>
            </w:r>
          </w:p>
        </w:tc>
        <w:tc>
          <w:tcPr>
            <w:tcW w:w="357" w:type="dxa"/>
            <w:tcBorders/>
            <w:shd w:fill="auto" w:val="clear"/>
            <w:vAlign w:val="center"/>
          </w:tcPr>
          <w:p>
            <w:pPr>
              <w:pStyle w:val="TableContents"/>
              <w:spacing w:before="0" w:after="0"/>
              <w:ind w:left="0" w:right="0" w:hanging="0"/>
              <w:jc w:val="center"/>
              <w:rPr/>
            </w:pPr>
            <w:r>
              <w:rPr/>
              <w:t> </w:t>
            </w:r>
          </w:p>
        </w:tc>
      </w:tr>
      <w:tr>
        <w:trPr/>
        <w:tc>
          <w:tcPr>
            <w:tcW w:w="2599"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Applegate Greenfiber Intermediate Inc. (fka US GreenFiber, LLC)</w:t>
            </w:r>
          </w:p>
        </w:tc>
        <w:tc>
          <w:tcPr>
            <w:tcW w:w="1378"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Building Products Manufacturing</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Subordinated Debt (j)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10.00%/0.00%</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12/31/2021</w:t>
            </w:r>
          </w:p>
        </w:tc>
        <w:tc>
          <w:tcPr>
            <w:tcW w:w="6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12/31/2027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9,602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9,602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9,602</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(5,690</w:t>
            </w:r>
            <w:r>
              <w:rPr>
                <w:rFonts w:ascii="Times New Roman" w:hAnsi="Times New Roman"/>
                <w:sz w:val="20"/>
              </w:rPr>
              <w:t> </w:t>
            </w:r>
            <w:r>
              <w:rPr>
                <w:rFonts w:ascii="Times New Roman;serif" w:hAnsi="Times New Roman;serif"/>
                <w:b w:val="false"/>
                <w:sz w:val="10"/>
              </w:rPr>
              <w:t>units) (h) (j)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12/31/2021</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5,690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6,129</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(7,113</w:t>
            </w:r>
            <w:r>
              <w:rPr>
                <w:rFonts w:ascii="Times New Roman" w:hAnsi="Times New Roman"/>
                <w:sz w:val="20"/>
              </w:rPr>
              <w:t> </w:t>
            </w:r>
            <w:r>
              <w:rPr>
                <w:rFonts w:ascii="Times New Roman;serif" w:hAnsi="Times New Roman;serif"/>
                <w:b w:val="false"/>
                <w:sz w:val="10"/>
              </w:rPr>
              <w:t>units) (h) (j)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12/31/2021</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7,113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7,814</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(2,012</w:t>
            </w:r>
            <w:r>
              <w:rPr>
                <w:rFonts w:ascii="Times New Roman" w:hAnsi="Times New Roman"/>
                <w:sz w:val="20"/>
              </w:rPr>
              <w:t> </w:t>
            </w:r>
            <w:r>
              <w:rPr>
                <w:rFonts w:ascii="Times New Roman;serif" w:hAnsi="Times New Roman;serif"/>
                <w:b w:val="false"/>
                <w:sz w:val="10"/>
              </w:rPr>
              <w:t>units) (h) (j)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12/31/2021</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r>
      <w:tr>
        <w:trPr/>
        <w:tc>
          <w:tcPr>
            <w:tcW w:w="2599" w:type="dxa"/>
            <w:tcBorders/>
            <w:shd w:fill="auto" w:val="clear"/>
            <w:vAlign w:val="center"/>
          </w:tcPr>
          <w:p>
            <w:pPr>
              <w:pStyle w:val="TableContents"/>
              <w:spacing w:before="0" w:after="283"/>
              <w:ind w:left="0" w:right="0" w:hanging="0"/>
              <w:rPr>
                <w:sz w:val="4"/>
                <w:szCs w:val="4"/>
              </w:rPr>
            </w:pPr>
            <w:r>
              <w:rPr>
                <w:sz w:val="4"/>
                <w:szCs w:val="4"/>
              </w:rPr>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22,405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23,545</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Medsurant Holdings, LLC</w:t>
            </w:r>
          </w:p>
        </w:tc>
        <w:tc>
          <w:tcPr>
            <w:tcW w:w="1378"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Healthcare Services</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Preferred Equity (84,997</w:t>
            </w:r>
            <w:r>
              <w:rPr>
                <w:rFonts w:ascii="Times New Roman" w:hAnsi="Times New Roman"/>
                <w:sz w:val="20"/>
              </w:rPr>
              <w:t> </w:t>
            </w:r>
            <w:r>
              <w:rPr>
                <w:rFonts w:ascii="Times New Roman;serif" w:hAnsi="Times New Roman;serif"/>
                <w:b w:val="false"/>
                <w:sz w:val="10"/>
              </w:rPr>
              <w:t>units) (h)(j)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4/12/2011</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649</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Warrant (252,588</w:t>
            </w:r>
            <w:r>
              <w:rPr>
                <w:rFonts w:ascii="Times New Roman" w:hAnsi="Times New Roman"/>
                <w:sz w:val="20"/>
              </w:rPr>
              <w:t> </w:t>
            </w:r>
            <w:r>
              <w:rPr>
                <w:rFonts w:ascii="Times New Roman;serif" w:hAnsi="Times New Roman;serif"/>
                <w:b w:val="false"/>
                <w:sz w:val="10"/>
              </w:rPr>
              <w:t>units) (h)(j)(m)</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4/12/2011</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2,257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2,225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r>
      <w:tr>
        <w:trPr/>
        <w:tc>
          <w:tcPr>
            <w:tcW w:w="2599" w:type="dxa"/>
            <w:tcBorders/>
            <w:shd w:fill="auto" w:val="clear"/>
            <w:vAlign w:val="center"/>
          </w:tcPr>
          <w:p>
            <w:pPr>
              <w:pStyle w:val="TableContents"/>
              <w:spacing w:before="0" w:after="283"/>
              <w:ind w:left="0" w:right="0" w:hanging="0"/>
              <w:rPr>
                <w:sz w:val="4"/>
                <w:szCs w:val="4"/>
              </w:rPr>
            </w:pPr>
            <w:r>
              <w:rPr>
                <w:sz w:val="4"/>
                <w:szCs w:val="4"/>
              </w:rPr>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2,901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2,874</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Pfanstiehl, Inc.</w:t>
            </w:r>
          </w:p>
        </w:tc>
        <w:tc>
          <w:tcPr>
            <w:tcW w:w="1378"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Healthcare Products</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Subordinated Debt (j)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10.00%/0.00%</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8/2/2022</w:t>
            </w:r>
          </w:p>
        </w:tc>
        <w:tc>
          <w:tcPr>
            <w:tcW w:w="6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8/2/2027</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9,958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10,000</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(2,550</w:t>
            </w:r>
            <w:r>
              <w:rPr>
                <w:rFonts w:ascii="Times New Roman" w:hAnsi="Times New Roman"/>
                <w:sz w:val="20"/>
              </w:rPr>
              <w:t> </w:t>
            </w:r>
            <w:r>
              <w:rPr>
                <w:rFonts w:ascii="Times New Roman;serif" w:hAnsi="Times New Roman;serif"/>
                <w:b w:val="false"/>
                <w:sz w:val="10"/>
              </w:rPr>
              <w:t>units) (j)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3/29/2013</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255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40,975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r>
      <w:tr>
        <w:trPr/>
        <w:tc>
          <w:tcPr>
            <w:tcW w:w="2599" w:type="dxa"/>
            <w:tcBorders/>
            <w:shd w:fill="auto" w:val="clear"/>
            <w:vAlign w:val="center"/>
          </w:tcPr>
          <w:p>
            <w:pPr>
              <w:pStyle w:val="TableContents"/>
              <w:spacing w:before="0" w:after="283"/>
              <w:ind w:left="0" w:right="0" w:hanging="0"/>
              <w:rPr>
                <w:sz w:val="4"/>
                <w:szCs w:val="4"/>
              </w:rPr>
            </w:pPr>
            <w:r>
              <w:rPr>
                <w:sz w:val="4"/>
                <w:szCs w:val="4"/>
              </w:rPr>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10,213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50,975</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shd w:fill="auto" w:val="clear"/>
            <w:vAlign w:val="center"/>
          </w:tcPr>
          <w:p>
            <w:pPr>
              <w:pStyle w:val="TableContents"/>
              <w:spacing w:before="0" w:after="283"/>
              <w:ind w:left="0" w:right="0" w:hanging="0"/>
              <w:rPr>
                <w:sz w:val="4"/>
                <w:szCs w:val="4"/>
              </w:rPr>
            </w:pPr>
            <w:r>
              <w:rPr>
                <w:sz w:val="4"/>
                <w:szCs w:val="4"/>
              </w:rPr>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r>
      <w:tr>
        <w:trPr/>
        <w:tc>
          <w:tcPr>
            <w:tcW w:w="2599"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Spectra A&amp;D Acquisition, Inc. (fka FDS Avionics Corp.)</w:t>
            </w:r>
          </w:p>
        </w:tc>
        <w:tc>
          <w:tcPr>
            <w:tcW w:w="1378"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Aerospace &amp; Defense Manufacturing</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(k)(ag)</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(L + 5.50%) / (1.00%)</w:t>
            </w:r>
          </w:p>
        </w:tc>
        <w:tc>
          <w:tcPr>
            <w:tcW w:w="68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10.66%/0.00%</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2/12/2021</w:t>
            </w:r>
          </w:p>
        </w:tc>
        <w:tc>
          <w:tcPr>
            <w:tcW w:w="6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2/11/2026</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14,937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14,577</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(12,035</w:t>
            </w:r>
            <w:r>
              <w:rPr>
                <w:rFonts w:ascii="Times New Roman" w:hAnsi="Times New Roman"/>
                <w:sz w:val="20"/>
              </w:rPr>
              <w:t> </w:t>
            </w:r>
            <w:r>
              <w:rPr>
                <w:rFonts w:ascii="Times New Roman;serif" w:hAnsi="Times New Roman;serif"/>
                <w:b w:val="false"/>
                <w:sz w:val="10"/>
              </w:rPr>
              <w:t>units) (j)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8/25/2021</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1,204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1,076</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(41,290</w:t>
            </w:r>
            <w:r>
              <w:rPr>
                <w:rFonts w:ascii="Times New Roman" w:hAnsi="Times New Roman"/>
                <w:sz w:val="20"/>
              </w:rPr>
              <w:t> </w:t>
            </w:r>
            <w:r>
              <w:rPr>
                <w:rFonts w:ascii="Times New Roman;serif" w:hAnsi="Times New Roman;serif"/>
                <w:b w:val="false"/>
                <w:sz w:val="10"/>
              </w:rPr>
              <w:t>units) (j)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12/16/2022</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2,608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(4,921</w:t>
            </w:r>
            <w:r>
              <w:rPr>
                <w:rFonts w:ascii="Times New Roman" w:hAnsi="Times New Roman"/>
                <w:sz w:val="20"/>
              </w:rPr>
              <w:t> </w:t>
            </w:r>
            <w:r>
              <w:rPr>
                <w:rFonts w:ascii="Times New Roman;serif" w:hAnsi="Times New Roman;serif"/>
                <w:b w:val="false"/>
                <w:sz w:val="10"/>
              </w:rPr>
              <w:t>units) (j)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9/16/2022</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472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493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r>
      <w:tr>
        <w:trPr/>
        <w:tc>
          <w:tcPr>
            <w:tcW w:w="2599" w:type="dxa"/>
            <w:tcBorders/>
            <w:shd w:fill="auto" w:val="clear"/>
            <w:vAlign w:val="center"/>
          </w:tcPr>
          <w:p>
            <w:pPr>
              <w:pStyle w:val="TableContents"/>
              <w:spacing w:before="0" w:after="283"/>
              <w:ind w:left="0" w:right="0" w:hanging="0"/>
              <w:rPr>
                <w:sz w:val="4"/>
                <w:szCs w:val="4"/>
              </w:rPr>
            </w:pPr>
            <w:r>
              <w:rPr>
                <w:sz w:val="4"/>
                <w:szCs w:val="4"/>
              </w:rPr>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19,221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16,146</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Steward Holding LLC (dba Steward Advanced Materials)</w:t>
            </w:r>
          </w:p>
        </w:tc>
        <w:tc>
          <w:tcPr>
            <w:tcW w:w="1378"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Aerospace &amp; Defense Manufacturing</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(1,000,000</w:t>
            </w:r>
            <w:r>
              <w:rPr>
                <w:rFonts w:ascii="Times New Roman" w:hAnsi="Times New Roman"/>
                <w:sz w:val="20"/>
              </w:rPr>
              <w:t> </w:t>
            </w:r>
            <w:r>
              <w:rPr>
                <w:rFonts w:ascii="Times New Roman;serif" w:hAnsi="Times New Roman;serif"/>
                <w:b w:val="false"/>
                <w:sz w:val="10"/>
              </w:rPr>
              <w:t>units)</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11/12/2015</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5,497</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shd w:fill="auto" w:val="clear"/>
            <w:vAlign w:val="center"/>
          </w:tcPr>
          <w:p>
            <w:pPr>
              <w:pStyle w:val="TableContents"/>
              <w:spacing w:before="0" w:after="283"/>
              <w:ind w:left="0" w:right="0" w:hanging="0"/>
              <w:rPr>
                <w:sz w:val="4"/>
                <w:szCs w:val="4"/>
              </w:rPr>
            </w:pPr>
            <w:r>
              <w:rPr>
                <w:sz w:val="4"/>
                <w:szCs w:val="4"/>
              </w:rPr>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r>
      <w:tr>
        <w:trPr/>
        <w:tc>
          <w:tcPr>
            <w:tcW w:w="2599" w:type="dxa"/>
            <w:tcBorders/>
            <w:shd w:fill="auto" w:val="clear"/>
            <w:vAlign w:val="center"/>
          </w:tcPr>
          <w:p>
            <w:pPr>
              <w:pStyle w:val="TableContents"/>
              <w:spacing w:before="0" w:after="0"/>
              <w:ind w:left="0" w:right="0" w:hanging="0"/>
              <w:jc w:val="left"/>
              <w:rPr>
                <w:rFonts w:ascii="Times New Roman;serif" w:hAnsi="Times New Roman;serif"/>
                <w:b/>
                <w:sz w:val="10"/>
              </w:rPr>
            </w:pPr>
            <w:r>
              <w:rPr>
                <w:rFonts w:ascii="Times New Roman;serif" w:hAnsi="Times New Roman;serif"/>
                <w:b/>
                <w:sz w:val="10"/>
              </w:rPr>
              <w:t>Total Affiliate Investments</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55,740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99,037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0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20</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shd w:fill="auto" w:val="clear"/>
            <w:vAlign w:val="center"/>
          </w:tcPr>
          <w:p>
            <w:pPr>
              <w:pStyle w:val="TableContents"/>
              <w:spacing w:before="0" w:after="283"/>
              <w:ind w:left="0" w:right="0" w:hanging="0"/>
              <w:rPr>
                <w:sz w:val="4"/>
                <w:szCs w:val="4"/>
              </w:rPr>
            </w:pPr>
            <w:r>
              <w:rPr>
                <w:sz w:val="4"/>
                <w:szCs w:val="4"/>
              </w:rPr>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r>
      <w:tr>
        <w:trPr/>
        <w:tc>
          <w:tcPr>
            <w:tcW w:w="2599" w:type="dxa"/>
            <w:tcBorders/>
            <w:shd w:fill="auto" w:val="clear"/>
            <w:vAlign w:val="center"/>
          </w:tcPr>
          <w:p>
            <w:pPr>
              <w:pStyle w:val="TableContents"/>
              <w:spacing w:before="0" w:after="0"/>
              <w:ind w:left="0" w:right="0" w:hanging="0"/>
              <w:jc w:val="left"/>
              <w:rPr>
                <w:rFonts w:ascii="Times New Roman;serif" w:hAnsi="Times New Roman;serif"/>
                <w:b/>
                <w:sz w:val="10"/>
                <w:u w:val="single"/>
              </w:rPr>
            </w:pPr>
            <w:r>
              <w:rPr>
                <w:rFonts w:ascii="Times New Roman;serif" w:hAnsi="Times New Roman;serif"/>
                <w:b/>
                <w:sz w:val="10"/>
                <w:u w:val="single"/>
              </w:rPr>
              <w:t>Non-control/Non-affiliate Investments</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r>
      <w:tr>
        <w:trPr/>
        <w:tc>
          <w:tcPr>
            <w:tcW w:w="2599"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2KDirect, Inc. (dba iPromote)</w:t>
            </w:r>
          </w:p>
        </w:tc>
        <w:tc>
          <w:tcPr>
            <w:tcW w:w="1378"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(k)(at)</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(L + 6.75%) / (0.50%)</w:t>
            </w:r>
          </w:p>
        </w:tc>
        <w:tc>
          <w:tcPr>
            <w:tcW w:w="68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11.77%/0.00%</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6/25/2021</w:t>
            </w:r>
          </w:p>
        </w:tc>
        <w:tc>
          <w:tcPr>
            <w:tcW w:w="6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6/25/2026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11,460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11,403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11,460</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(j)(aa)</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(L + 6.75%) / (0.50%)</w:t>
            </w:r>
          </w:p>
        </w:tc>
        <w:tc>
          <w:tcPr>
            <w:tcW w:w="68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11.77%/0.00%</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7/30/2021</w:t>
            </w:r>
          </w:p>
        </w:tc>
        <w:tc>
          <w:tcPr>
            <w:tcW w:w="6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6/25/2026</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3,526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3,526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3,526</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(1,000,000</w:t>
            </w:r>
            <w:r>
              <w:rPr>
                <w:rFonts w:ascii="Times New Roman" w:hAnsi="Times New Roman"/>
                <w:sz w:val="20"/>
              </w:rPr>
              <w:t> </w:t>
            </w:r>
            <w:r>
              <w:rPr>
                <w:rFonts w:ascii="Times New Roman;serif" w:hAnsi="Times New Roman;serif"/>
                <w:b w:val="false"/>
                <w:sz w:val="10"/>
              </w:rPr>
              <w:t>units)</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6/25/2021</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389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r>
      <w:tr>
        <w:trPr/>
        <w:tc>
          <w:tcPr>
            <w:tcW w:w="2599" w:type="dxa"/>
            <w:tcBorders/>
            <w:shd w:fill="auto" w:val="clear"/>
            <w:vAlign w:val="center"/>
          </w:tcPr>
          <w:p>
            <w:pPr>
              <w:pStyle w:val="TableContents"/>
              <w:spacing w:before="0" w:after="283"/>
              <w:ind w:left="0" w:right="0" w:hanging="0"/>
              <w:rPr>
                <w:sz w:val="4"/>
                <w:szCs w:val="4"/>
              </w:rPr>
            </w:pPr>
            <w:r>
              <w:rPr>
                <w:sz w:val="4"/>
                <w:szCs w:val="4"/>
              </w:rPr>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15,929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15,375</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Acendre Midco, Inc.</w:t>
            </w:r>
          </w:p>
        </w:tc>
        <w:tc>
          <w:tcPr>
            <w:tcW w:w="1378"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 + 7.75%) / (0.50%)</w:t>
            </w:r>
          </w:p>
        </w:tc>
        <w:tc>
          <w:tcPr>
            <w:tcW w:w="68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12.60%/0.00%</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10/6/2021</w:t>
            </w:r>
          </w:p>
        </w:tc>
        <w:tc>
          <w:tcPr>
            <w:tcW w:w="6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10/6/2026</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5,486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5,475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5,486</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 + 7.75%) / (0.50%)</w:t>
            </w:r>
          </w:p>
        </w:tc>
        <w:tc>
          <w:tcPr>
            <w:tcW w:w="68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12.60%/0.00%</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10/6/2021</w:t>
            </w:r>
          </w:p>
        </w:tc>
        <w:tc>
          <w:tcPr>
            <w:tcW w:w="6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10/6/2026</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12,469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12,422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12,469</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Revolving Loan ($1,000</w:t>
            </w:r>
            <w:r>
              <w:rPr>
                <w:rFonts w:ascii="Times New Roman" w:hAnsi="Times New Roman"/>
                <w:sz w:val="20"/>
              </w:rPr>
              <w:t> </w:t>
            </w:r>
            <w:r>
              <w:rPr>
                <w:rFonts w:ascii="Times New Roman;serif" w:hAnsi="Times New Roman;serif"/>
                <w:b w:val="false"/>
                <w:sz w:val="10"/>
              </w:rPr>
              <w:t>unfunded commitment) (j)(i)</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 + 7.50%) / (0.50%)</w:t>
            </w:r>
          </w:p>
        </w:tc>
        <w:tc>
          <w:tcPr>
            <w:tcW w:w="68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12.60%/0.00%</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10/6/2021</w:t>
            </w:r>
          </w:p>
        </w:tc>
        <w:tc>
          <w:tcPr>
            <w:tcW w:w="6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10/6/2026</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(500,000</w:t>
            </w:r>
            <w:r>
              <w:rPr>
                <w:rFonts w:ascii="Times New Roman" w:hAnsi="Times New Roman"/>
                <w:sz w:val="20"/>
              </w:rPr>
              <w:t> </w:t>
            </w:r>
            <w:r>
              <w:rPr>
                <w:rFonts w:ascii="Times New Roman;serif" w:hAnsi="Times New Roman;serif"/>
                <w:b w:val="false"/>
                <w:sz w:val="10"/>
              </w:rPr>
              <w:t>shares) (j)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10/6/2021</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441</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Warrant (150,000</w:t>
            </w:r>
            <w:r>
              <w:rPr>
                <w:rFonts w:ascii="Times New Roman" w:hAnsi="Times New Roman"/>
                <w:sz w:val="20"/>
              </w:rPr>
              <w:t> </w:t>
            </w:r>
            <w:r>
              <w:rPr>
                <w:rFonts w:ascii="Times New Roman;serif" w:hAnsi="Times New Roman;serif"/>
                <w:b w:val="false"/>
                <w:sz w:val="10"/>
              </w:rPr>
              <w:t>shares) (j)(m)</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10/6/2021</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132</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Preferred Equity (77,016</w:t>
            </w:r>
            <w:r>
              <w:rPr>
                <w:rFonts w:ascii="Times New Roman" w:hAnsi="Times New Roman"/>
                <w:sz w:val="20"/>
              </w:rPr>
              <w:t> </w:t>
            </w:r>
            <w:r>
              <w:rPr>
                <w:rFonts w:ascii="Times New Roman;serif" w:hAnsi="Times New Roman;serif"/>
                <w:b w:val="false"/>
                <w:sz w:val="10"/>
              </w:rPr>
              <w:t>shares) (j)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9/26/2022</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88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143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r>
      <w:tr>
        <w:trPr/>
        <w:tc>
          <w:tcPr>
            <w:tcW w:w="2599" w:type="dxa"/>
            <w:tcBorders/>
            <w:shd w:fill="auto" w:val="clear"/>
            <w:vAlign w:val="center"/>
          </w:tcPr>
          <w:p>
            <w:pPr>
              <w:pStyle w:val="TableContents"/>
              <w:spacing w:before="0" w:after="283"/>
              <w:ind w:left="0" w:right="0" w:hanging="0"/>
              <w:rPr>
                <w:sz w:val="4"/>
                <w:szCs w:val="4"/>
              </w:rPr>
            </w:pPr>
            <w:r>
              <w:rPr>
                <w:sz w:val="4"/>
                <w:szCs w:val="4"/>
              </w:rPr>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18,485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18,671</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Aeronix Inc.</w:t>
            </w:r>
          </w:p>
        </w:tc>
        <w:tc>
          <w:tcPr>
            <w:tcW w:w="1378"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Aerospace &amp; Defense Manufacturing</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(ai)</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 + 5.88%) / (1.50%)</w:t>
            </w:r>
          </w:p>
        </w:tc>
        <w:tc>
          <w:tcPr>
            <w:tcW w:w="68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11.03%/0.00%</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6/11/2021</w:t>
            </w:r>
          </w:p>
        </w:tc>
        <w:tc>
          <w:tcPr>
            <w:tcW w:w="6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6/11/2026</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17,250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17,170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17,250</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(549</w:t>
            </w:r>
            <w:r>
              <w:rPr>
                <w:rFonts w:ascii="Times New Roman" w:hAnsi="Times New Roman"/>
                <w:sz w:val="20"/>
              </w:rPr>
              <w:t> </w:t>
            </w:r>
            <w:r>
              <w:rPr>
                <w:rFonts w:ascii="Times New Roman;serif" w:hAnsi="Times New Roman;serif"/>
                <w:b w:val="false"/>
                <w:sz w:val="10"/>
              </w:rPr>
              <w:t>units)</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6/11/2021</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593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766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r>
      <w:tr>
        <w:trPr/>
        <w:tc>
          <w:tcPr>
            <w:tcW w:w="2599" w:type="dxa"/>
            <w:tcBorders/>
            <w:shd w:fill="auto" w:val="clear"/>
            <w:vAlign w:val="center"/>
          </w:tcPr>
          <w:p>
            <w:pPr>
              <w:pStyle w:val="TableContents"/>
              <w:spacing w:before="0" w:after="283"/>
              <w:ind w:left="0" w:right="0" w:hanging="0"/>
              <w:rPr>
                <w:sz w:val="4"/>
                <w:szCs w:val="4"/>
              </w:rPr>
            </w:pPr>
            <w:r>
              <w:rPr>
                <w:sz w:val="4"/>
                <w:szCs w:val="4"/>
              </w:rPr>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17,763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18,016</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Allredi, LLC (fka Marco Group International OpCo, LLC)</w:t>
            </w:r>
          </w:p>
        </w:tc>
        <w:tc>
          <w:tcPr>
            <w:tcW w:w="1378"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Industrial Cleaning &amp; Coatings</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 (y)</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12.50%/2.25%</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3/2/2020</w:t>
            </w:r>
          </w:p>
        </w:tc>
        <w:tc>
          <w:tcPr>
            <w:tcW w:w="6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9/2/2026</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10,345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10,281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8,742</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(570,636</w:t>
            </w:r>
            <w:r>
              <w:rPr>
                <w:rFonts w:ascii="Times New Roman" w:hAnsi="Times New Roman"/>
                <w:sz w:val="20"/>
              </w:rPr>
              <w:t> </w:t>
            </w:r>
            <w:r>
              <w:rPr>
                <w:rFonts w:ascii="Times New Roman;serif" w:hAnsi="Times New Roman;serif"/>
                <w:b w:val="false"/>
                <w:sz w:val="10"/>
              </w:rPr>
              <w:t>units) (h)(j)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7/21/2017</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152</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(39,443</w:t>
            </w:r>
            <w:r>
              <w:rPr>
                <w:rFonts w:ascii="Times New Roman" w:hAnsi="Times New Roman"/>
                <w:sz w:val="20"/>
              </w:rPr>
              <w:t> </w:t>
            </w:r>
            <w:r>
              <w:rPr>
                <w:rFonts w:ascii="Times New Roman;serif" w:hAnsi="Times New Roman;serif"/>
                <w:b w:val="false"/>
                <w:sz w:val="10"/>
              </w:rPr>
              <w:t>units) (h)(j)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11/24/2021</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r>
      <w:tr>
        <w:trPr/>
        <w:tc>
          <w:tcPr>
            <w:tcW w:w="2599" w:type="dxa"/>
            <w:tcBorders/>
            <w:shd w:fill="auto" w:val="clear"/>
            <w:vAlign w:val="center"/>
          </w:tcPr>
          <w:p>
            <w:pPr>
              <w:pStyle w:val="TableContents"/>
              <w:spacing w:before="0" w:after="283"/>
              <w:ind w:left="0" w:right="0" w:hanging="0"/>
              <w:rPr>
                <w:sz w:val="4"/>
                <w:szCs w:val="4"/>
              </w:rPr>
            </w:pPr>
            <w:r>
              <w:rPr>
                <w:sz w:val="4"/>
                <w:szCs w:val="4"/>
              </w:rPr>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10,940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8,949</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American AllWaste LLC (dba WasteWater Transport Services)</w:t>
            </w:r>
          </w:p>
        </w:tc>
        <w:tc>
          <w:tcPr>
            <w:tcW w:w="1378"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Environmental Industries</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First Lien Debt ($2,500</w:t>
            </w:r>
            <w:r>
              <w:rPr>
                <w:rFonts w:ascii="Times New Roman" w:hAnsi="Times New Roman"/>
                <w:sz w:val="20"/>
              </w:rPr>
              <w:t> </w:t>
            </w:r>
            <w:r>
              <w:rPr>
                <w:rFonts w:ascii="Times New Roman;serif" w:hAnsi="Times New Roman;serif"/>
                <w:b w:val="false"/>
                <w:sz w:val="10"/>
              </w:rPr>
              <w:t>unfunded commitment) (j)(p)(ax)</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 + 6.50%) / (1.00%)</w:t>
            </w:r>
          </w:p>
        </w:tc>
        <w:tc>
          <w:tcPr>
            <w:tcW w:w="68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10.90%/0.00%</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6/28/2021</w:t>
            </w:r>
          </w:p>
        </w:tc>
        <w:tc>
          <w:tcPr>
            <w:tcW w:w="6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6/28/2026</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20,908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20,680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20,908</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(j)(o)</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 + 4.00%) / (1.00%)</w:t>
            </w:r>
          </w:p>
        </w:tc>
        <w:tc>
          <w:tcPr>
            <w:tcW w:w="68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8.73%/0.00%</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6/28/2021</w:t>
            </w:r>
          </w:p>
        </w:tc>
        <w:tc>
          <w:tcPr>
            <w:tcW w:w="6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6/28/2026</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326</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Preferred Equity (500</w:t>
            </w:r>
            <w:r>
              <w:rPr>
                <w:rFonts w:ascii="Times New Roman" w:hAnsi="Times New Roman"/>
                <w:sz w:val="20"/>
              </w:rPr>
              <w:t> </w:t>
            </w:r>
            <w:r>
              <w:rPr>
                <w:rFonts w:ascii="Times New Roman;serif" w:hAnsi="Times New Roman;serif"/>
                <w:b w:val="false"/>
                <w:sz w:val="10"/>
              </w:rPr>
              <w:t>units) (h)(j)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5/31/2018</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546</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Preferred Equity (207</w:t>
            </w:r>
            <w:r>
              <w:rPr>
                <w:rFonts w:ascii="Times New Roman" w:hAnsi="Times New Roman"/>
                <w:sz w:val="20"/>
              </w:rPr>
              <w:t> </w:t>
            </w:r>
            <w:r>
              <w:rPr>
                <w:rFonts w:ascii="Times New Roman;serif" w:hAnsi="Times New Roman;serif"/>
                <w:b w:val="false"/>
                <w:sz w:val="10"/>
              </w:rPr>
              <w:t>units) (h)(j)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8/6/2019</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263</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Preferred Equity (141</w:t>
            </w:r>
            <w:r>
              <w:rPr>
                <w:rFonts w:ascii="Times New Roman" w:hAnsi="Times New Roman"/>
                <w:sz w:val="20"/>
              </w:rPr>
              <w:t> </w:t>
            </w:r>
            <w:r>
              <w:rPr>
                <w:rFonts w:ascii="Times New Roman;serif" w:hAnsi="Times New Roman;serif"/>
                <w:b w:val="false"/>
                <w:sz w:val="10"/>
              </w:rPr>
              <w:t>units) (h)(j)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11/2/2020</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180</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Preferred Equity (74</w:t>
            </w:r>
            <w:r>
              <w:rPr>
                <w:rFonts w:ascii="Times New Roman" w:hAnsi="Times New Roman"/>
                <w:sz w:val="20"/>
              </w:rPr>
              <w:t> </w:t>
            </w:r>
            <w:r>
              <w:rPr>
                <w:rFonts w:ascii="Times New Roman;serif" w:hAnsi="Times New Roman;serif"/>
                <w:b w:val="false"/>
                <w:sz w:val="10"/>
              </w:rPr>
              <w:t>units) (h)(j)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12/29/2021</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97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r>
      <w:tr>
        <w:trPr/>
        <w:tc>
          <w:tcPr>
            <w:tcW w:w="2599" w:type="dxa"/>
            <w:tcBorders/>
            <w:shd w:fill="auto" w:val="clear"/>
            <w:vAlign w:val="center"/>
          </w:tcPr>
          <w:p>
            <w:pPr>
              <w:pStyle w:val="TableContents"/>
              <w:spacing w:before="0" w:after="283"/>
              <w:ind w:left="0" w:right="0" w:hanging="0"/>
              <w:rPr>
                <w:sz w:val="4"/>
                <w:szCs w:val="4"/>
              </w:rPr>
            </w:pPr>
            <w:r>
              <w:rPr>
                <w:sz w:val="4"/>
                <w:szCs w:val="4"/>
              </w:rPr>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22,028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22,324</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AmeriWater, LLC</w:t>
            </w:r>
          </w:p>
        </w:tc>
        <w:tc>
          <w:tcPr>
            <w:tcW w:w="1378"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Component Manufacturing</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(af)</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 + 6.25%) / (1.00%)</w:t>
            </w:r>
          </w:p>
        </w:tc>
        <w:tc>
          <w:tcPr>
            <w:tcW w:w="68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10.84%/0.00%</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7/8/2022</w:t>
            </w:r>
          </w:p>
        </w:tc>
        <w:tc>
          <w:tcPr>
            <w:tcW w:w="6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7/8/2027</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7,704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7,664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7,704</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Subordinated Debt (j)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7.00%/7.00%</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7/8/2022</w:t>
            </w:r>
          </w:p>
        </w:tc>
        <w:tc>
          <w:tcPr>
            <w:tcW w:w="6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1/8/2028</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2,106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2,097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2,106</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(1,000</w:t>
            </w:r>
            <w:r>
              <w:rPr>
                <w:rFonts w:ascii="Times New Roman" w:hAnsi="Times New Roman"/>
                <w:sz w:val="20"/>
              </w:rPr>
              <w:t> </w:t>
            </w:r>
            <w:r>
              <w:rPr>
                <w:rFonts w:ascii="Times New Roman;serif" w:hAnsi="Times New Roman;serif"/>
                <w:b w:val="false"/>
                <w:sz w:val="10"/>
              </w:rPr>
              <w:t>units) (h)(j)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7/8/2022</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808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r>
      <w:tr>
        <w:trPr/>
        <w:tc>
          <w:tcPr>
            <w:tcW w:w="2599" w:type="dxa"/>
            <w:tcBorders/>
            <w:shd w:fill="auto" w:val="clear"/>
            <w:vAlign w:val="center"/>
          </w:tcPr>
          <w:p>
            <w:pPr>
              <w:pStyle w:val="TableContents"/>
              <w:spacing w:before="0" w:after="283"/>
              <w:ind w:left="0" w:right="0" w:hanging="0"/>
              <w:rPr>
                <w:sz w:val="4"/>
                <w:szCs w:val="4"/>
              </w:rPr>
            </w:pPr>
            <w:r>
              <w:rPr>
                <w:sz w:val="4"/>
                <w:szCs w:val="4"/>
              </w:rPr>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10,761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10,618</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AOM Intermediate Holdco, LLC (dba AllOver Media)</w:t>
            </w:r>
          </w:p>
        </w:tc>
        <w:tc>
          <w:tcPr>
            <w:tcW w:w="1378"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(aq)</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 + 6.50%) / (0.75%)</w:t>
            </w:r>
          </w:p>
        </w:tc>
        <w:tc>
          <w:tcPr>
            <w:tcW w:w="68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11.34%/0.00%</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2/1/2022</w:t>
            </w:r>
          </w:p>
        </w:tc>
        <w:tc>
          <w:tcPr>
            <w:tcW w:w="6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2/1/2027</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9,942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10,000</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(750</w:t>
            </w:r>
            <w:r>
              <w:rPr>
                <w:rFonts w:ascii="Times New Roman" w:hAnsi="Times New Roman"/>
                <w:sz w:val="20"/>
              </w:rPr>
              <w:t> </w:t>
            </w:r>
            <w:r>
              <w:rPr>
                <w:rFonts w:ascii="Times New Roman;serif" w:hAnsi="Times New Roman;serif"/>
                <w:b w:val="false"/>
                <w:sz w:val="10"/>
              </w:rPr>
              <w:t>units) (h)(j)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2/1/2022</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750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r>
      <w:tr>
        <w:trPr/>
        <w:tc>
          <w:tcPr>
            <w:tcW w:w="2599" w:type="dxa"/>
            <w:tcBorders/>
            <w:shd w:fill="auto" w:val="clear"/>
            <w:vAlign w:val="center"/>
          </w:tcPr>
          <w:p>
            <w:pPr>
              <w:pStyle w:val="TableContents"/>
              <w:spacing w:before="0" w:after="283"/>
              <w:ind w:left="0" w:right="0" w:hanging="0"/>
              <w:rPr>
                <w:sz w:val="4"/>
                <w:szCs w:val="4"/>
              </w:rPr>
            </w:pPr>
            <w:r>
              <w:rPr>
                <w:sz w:val="4"/>
                <w:szCs w:val="4"/>
              </w:rPr>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10,692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10,700</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APM Intermediate Holdings, LLC (dba Artistic Paver Manufacturing, Inc.)</w:t>
            </w:r>
          </w:p>
        </w:tc>
        <w:tc>
          <w:tcPr>
            <w:tcW w:w="1378"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Building Products Manufacturing</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(av)</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 + 7.00%) / (2.00%)</w:t>
            </w:r>
          </w:p>
        </w:tc>
        <w:tc>
          <w:tcPr>
            <w:tcW w:w="68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11.59%/0.00%</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11/8/2022</w:t>
            </w:r>
          </w:p>
        </w:tc>
        <w:tc>
          <w:tcPr>
            <w:tcW w:w="6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11/8/2027</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14,896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14,896</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(1,200</w:t>
            </w:r>
            <w:r>
              <w:rPr>
                <w:rFonts w:ascii="Times New Roman" w:hAnsi="Times New Roman"/>
                <w:sz w:val="20"/>
              </w:rPr>
              <w:t> </w:t>
            </w:r>
            <w:r>
              <w:rPr>
                <w:rFonts w:ascii="Times New Roman;serif" w:hAnsi="Times New Roman;serif"/>
                <w:b w:val="false"/>
                <w:sz w:val="10"/>
              </w:rPr>
              <w:t>units) (h)(j)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11/8/2022</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1,200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1,200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r>
      <w:tr>
        <w:trPr/>
        <w:tc>
          <w:tcPr>
            <w:tcW w:w="2599" w:type="dxa"/>
            <w:tcBorders/>
            <w:shd w:fill="auto" w:val="clear"/>
            <w:vAlign w:val="center"/>
          </w:tcPr>
          <w:p>
            <w:pPr>
              <w:pStyle w:val="TableContents"/>
              <w:spacing w:before="0" w:after="0"/>
              <w:ind w:left="0" w:right="0" w:hanging="0"/>
              <w:jc w:val="left"/>
              <w:rPr/>
            </w:pPr>
            <w:r>
              <w:rPr/>
              <w:t> </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16,096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16,096</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Applied Data Corporation</w:t>
            </w:r>
          </w:p>
        </w:tc>
        <w:tc>
          <w:tcPr>
            <w:tcW w:w="1378"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(k)(v)</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 + 6.25%) / (1.50%)</w:t>
            </w:r>
          </w:p>
        </w:tc>
        <w:tc>
          <w:tcPr>
            <w:tcW w:w="68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11.10%/0.00%</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11/6/2020</w:t>
            </w:r>
          </w:p>
        </w:tc>
        <w:tc>
          <w:tcPr>
            <w:tcW w:w="6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11/6/2025</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19,005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18,924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19,005</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Common Equity (24 units)</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11/6/2020</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496</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Preferred Equity (1,184,711</w:t>
            </w:r>
            <w:r>
              <w:rPr>
                <w:rFonts w:ascii="Times New Roman" w:hAnsi="Times New Roman"/>
                <w:sz w:val="20"/>
              </w:rPr>
              <w:t> </w:t>
            </w:r>
            <w:r>
              <w:rPr>
                <w:rFonts w:ascii="Times New Roman;serif" w:hAnsi="Times New Roman;serif"/>
                <w:b w:val="false"/>
                <w:sz w:val="10"/>
              </w:rPr>
              <w:t>units)</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11/6/2020</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1,185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1,388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r>
      <w:tr>
        <w:trPr/>
        <w:tc>
          <w:tcPr>
            <w:tcW w:w="2599" w:type="dxa"/>
            <w:tcBorders/>
            <w:shd w:fill="auto" w:val="clear"/>
            <w:vAlign w:val="center"/>
          </w:tcPr>
          <w:p>
            <w:pPr>
              <w:pStyle w:val="TableContents"/>
              <w:spacing w:before="0" w:after="283"/>
              <w:ind w:left="0" w:right="0" w:hanging="0"/>
              <w:rPr>
                <w:sz w:val="4"/>
                <w:szCs w:val="4"/>
              </w:rPr>
            </w:pPr>
            <w:r>
              <w:rPr>
                <w:sz w:val="4"/>
                <w:szCs w:val="4"/>
              </w:rPr>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20,175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20,889</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599"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Auto CRM LLC (dba Dealer Holdings)</w:t>
            </w:r>
          </w:p>
        </w:tc>
        <w:tc>
          <w:tcPr>
            <w:tcW w:w="1378"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(au)</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(P + 5.50%) / (3.25%)</w:t>
            </w:r>
          </w:p>
        </w:tc>
        <w:tc>
          <w:tcPr>
            <w:tcW w:w="68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13.50%/0.85%</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10/1/2021</w:t>
            </w:r>
          </w:p>
        </w:tc>
        <w:tc>
          <w:tcPr>
            <w:tcW w:w="6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10/1/2026</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7,597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7,545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7,597</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Subordinated Debt</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0.00%/14.50%</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10/1/2021</w:t>
            </w:r>
          </w:p>
        </w:tc>
        <w:tc>
          <w:tcPr>
            <w:tcW w:w="6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12/31/2026</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606</w:t>
            </w:r>
          </w:p>
        </w:tc>
        <w:tc>
          <w:tcPr>
            <w:tcW w:w="146"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firstLine="160"/>
              <w:jc w:val="left"/>
              <w:rPr/>
            </w:pPr>
            <w:r>
              <w:rPr/>
              <w:t> </w:t>
            </w:r>
          </w:p>
        </w:tc>
      </w:tr>
      <w:tr>
        <w:trPr/>
        <w:tc>
          <w:tcPr>
            <w:tcW w:w="259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(500</w:t>
            </w:r>
            <w:r>
              <w:rPr>
                <w:rFonts w:ascii="Times New Roman" w:hAnsi="Times New Roman"/>
                <w:sz w:val="20"/>
              </w:rPr>
              <w:t> </w:t>
            </w:r>
            <w:r>
              <w:rPr>
                <w:rFonts w:ascii="Times New Roman;serif" w:hAnsi="Times New Roman;serif"/>
                <w:b w:val="false"/>
                <w:sz w:val="10"/>
              </w:rPr>
              <w:t>units) (j)</w:t>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10/1/2021</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466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7" w:type="dxa"/>
            <w:tcBorders/>
            <w:shd w:fill="auto" w:val="clear"/>
            <w:vAlign w:val="center"/>
          </w:tcPr>
          <w:p>
            <w:pPr>
              <w:pStyle w:val="TableContents"/>
              <w:spacing w:before="0" w:after="0"/>
              <w:ind w:left="0" w:right="0" w:hanging="0"/>
              <w:jc w:val="left"/>
              <w:rPr/>
            </w:pPr>
            <w:r>
              <w:rPr/>
              <w:t> </w:t>
            </w:r>
          </w:p>
        </w:tc>
      </w:tr>
      <w:tr>
        <w:trPr/>
        <w:tc>
          <w:tcPr>
            <w:tcW w:w="2599" w:type="dxa"/>
            <w:tcBorders/>
            <w:shd w:fill="auto" w:val="clear"/>
            <w:vAlign w:val="center"/>
          </w:tcPr>
          <w:p>
            <w:pPr>
              <w:pStyle w:val="TableContents"/>
              <w:spacing w:before="0" w:after="283"/>
              <w:ind w:left="0" w:right="0" w:hanging="0"/>
              <w:rPr>
                <w:sz w:val="4"/>
                <w:szCs w:val="4"/>
              </w:rPr>
            </w:pPr>
            <w:r>
              <w:rPr>
                <w:sz w:val="4"/>
                <w:szCs w:val="4"/>
              </w:rPr>
            </w:r>
          </w:p>
        </w:tc>
        <w:tc>
          <w:tcPr>
            <w:tcW w:w="1378" w:type="dxa"/>
            <w:tcBorders/>
            <w:shd w:fill="auto" w:val="clear"/>
            <w:vAlign w:val="center"/>
          </w:tcPr>
          <w:p>
            <w:pPr>
              <w:pStyle w:val="TableContents"/>
              <w:spacing w:before="0" w:after="0"/>
              <w:ind w:left="0" w:right="0" w:hanging="0"/>
              <w:jc w:val="left"/>
              <w:rPr/>
            </w:pPr>
            <w:r>
              <w:rPr/>
              <w:t> </w:t>
            </w:r>
          </w:p>
        </w:tc>
        <w:tc>
          <w:tcPr>
            <w:tcW w:w="893"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left"/>
              <w:rPr/>
            </w:pPr>
            <w:r>
              <w:rPr/>
              <w:t> </w:t>
            </w:r>
          </w:p>
        </w:tc>
        <w:tc>
          <w:tcPr>
            <w:tcW w:w="635" w:type="dxa"/>
            <w:tcBorders/>
            <w:shd w:fill="auto" w:val="clear"/>
            <w:vAlign w:val="center"/>
          </w:tcPr>
          <w:p>
            <w:pPr>
              <w:pStyle w:val="TableContents"/>
              <w:spacing w:before="0" w:after="0"/>
              <w:ind w:left="0" w:right="0" w:hanging="0"/>
              <w:jc w:val="left"/>
              <w:rPr/>
            </w:pPr>
            <w:r>
              <w:rPr/>
              <w:t> </w:t>
            </w:r>
          </w:p>
        </w:tc>
        <w:tc>
          <w:tcPr>
            <w:tcW w:w="604"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8,648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8,669</w:t>
            </w:r>
          </w:p>
        </w:tc>
        <w:tc>
          <w:tcPr>
            <w:tcW w:w="146" w:type="dxa"/>
            <w:tcBorders/>
            <w:shd w:fill="auto" w:val="clear"/>
            <w:vAlign w:val="center"/>
          </w:tcPr>
          <w:p>
            <w:pPr>
              <w:pStyle w:val="TableContents"/>
              <w:spacing w:before="0" w:after="0"/>
              <w:ind w:left="0" w:right="0" w:hanging="0"/>
              <w:jc w:val="left"/>
              <w:rPr/>
            </w:pPr>
            <w:r>
              <w:rPr/>
              <w:t> </w:t>
            </w:r>
          </w:p>
        </w:tc>
        <w:tc>
          <w:tcPr>
            <w:tcW w:w="205" w:type="dxa"/>
            <w:tcBorders/>
            <w:shd w:fill="auto" w:val="clear"/>
            <w:vAlign w:val="center"/>
          </w:tcPr>
          <w:p>
            <w:pPr>
              <w:pStyle w:val="TableContents"/>
              <w:spacing w:before="0" w:after="0"/>
              <w:ind w:left="0" w:right="0" w:hanging="0"/>
              <w:jc w:val="left"/>
              <w:rPr/>
            </w:pPr>
            <w:r>
              <w:rPr/>
              <w:t> </w:t>
            </w:r>
          </w:p>
        </w:tc>
        <w:tc>
          <w:tcPr>
            <w:tcW w:w="317"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357"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bl>
    <w:p>
      <w:pPr>
        <w:pStyle w:val="TextBody"/>
        <w:spacing w:before="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180"/>
        <w:jc w:val="center"/>
        <w:rPr/>
      </w:pPr>
      <w:r>
        <w:rPr/>
        <w:t> </w:t>
      </w:r>
    </w:p>
    <w:tbl>
      <w:tblPr>
        <w:tblW w:w="10205" w:type="dxa"/>
        <w:jc w:val="left"/>
        <w:tblInd w:w="0" w:type="dxa"/>
        <w:tblCellMar>
          <w:top w:w="28" w:type="dxa"/>
          <w:left w:w="28" w:type="dxa"/>
          <w:bottom w:w="28" w:type="dxa"/>
          <w:right w:w="28" w:type="dxa"/>
        </w:tblCellMar>
      </w:tblPr>
      <w:tblGrid>
        <w:gridCol w:w="2802"/>
        <w:gridCol w:w="1444"/>
        <w:gridCol w:w="989"/>
        <w:gridCol w:w="704"/>
        <w:gridCol w:w="562"/>
        <w:gridCol w:w="562"/>
        <w:gridCol w:w="146"/>
        <w:gridCol w:w="436"/>
        <w:gridCol w:w="146"/>
        <w:gridCol w:w="146"/>
        <w:gridCol w:w="146"/>
        <w:gridCol w:w="436"/>
        <w:gridCol w:w="146"/>
        <w:gridCol w:w="146"/>
        <w:gridCol w:w="146"/>
        <w:gridCol w:w="436"/>
        <w:gridCol w:w="146"/>
        <w:gridCol w:w="146"/>
        <w:gridCol w:w="166"/>
        <w:gridCol w:w="354"/>
      </w:tblGrid>
      <w:tr>
        <w:trPr/>
        <w:tc>
          <w:tcPr>
            <w:tcW w:w="2802" w:type="dxa"/>
            <w:tcBorders/>
            <w:shd w:fill="auto" w:val="clear"/>
            <w:vAlign w:val="center"/>
          </w:tcPr>
          <w:p>
            <w:pPr>
              <w:pStyle w:val="TableContents"/>
              <w:spacing w:before="0" w:after="283"/>
              <w:rPr>
                <w:sz w:val="4"/>
                <w:szCs w:val="4"/>
              </w:rPr>
            </w:pPr>
            <w:r>
              <w:rPr>
                <w:sz w:val="4"/>
                <w:szCs w:val="4"/>
              </w:rPr>
            </w:r>
          </w:p>
        </w:tc>
        <w:tc>
          <w:tcPr>
            <w:tcW w:w="1444"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BCM One Group Holdings, Inc.</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Subordinated Debt (j)</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10.25%/0.00%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11/17/2021</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11/17/2028</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11,333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11,281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11,333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Bedford Precision Parts LLC</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Specialty Distribution</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(500,000</w:t>
            </w:r>
            <w:r>
              <w:rPr>
                <w:rFonts w:ascii="Times New Roman" w:hAnsi="Times New Roman"/>
                <w:sz w:val="20"/>
              </w:rPr>
              <w:t> </w:t>
            </w:r>
            <w:r>
              <w:rPr>
                <w:rFonts w:ascii="Times New Roman;serif" w:hAnsi="Times New Roman;serif"/>
                <w:b w:val="false"/>
                <w:sz w:val="10"/>
              </w:rPr>
              <w:t>units) (h)(j)</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3/12/2019</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BP Thrift Buyer, LLC (dba myUnique and Ecothrift)</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Retail</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(j)(al)</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 + 5.75%) / (1.50%)</w:t>
            </w:r>
          </w:p>
        </w:tc>
        <w:tc>
          <w:tcPr>
            <w:tcW w:w="7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10.34%/0.00%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9/13/2022</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9/13/2027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19,588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20,000</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(1,000</w:t>
            </w:r>
            <w:r>
              <w:rPr>
                <w:rFonts w:ascii="Times New Roman" w:hAnsi="Times New Roman"/>
                <w:sz w:val="20"/>
              </w:rPr>
              <w:t> </w:t>
            </w:r>
            <w:r>
              <w:rPr>
                <w:rFonts w:ascii="Times New Roman;serif" w:hAnsi="Times New Roman;serif"/>
                <w:b w:val="false"/>
                <w:sz w:val="10"/>
              </w:rPr>
              <w:t>units) (j)</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9/13/2022</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960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1,193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20,548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21,193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BurgerFi International, LLC (dba BurgerFi) (ad)</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Restaurants</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(14,201</w:t>
            </w:r>
            <w:r>
              <w:rPr>
                <w:rFonts w:ascii="Times New Roman" w:hAnsi="Times New Roman"/>
                <w:sz w:val="20"/>
              </w:rPr>
              <w:t> </w:t>
            </w:r>
            <w:r>
              <w:rPr>
                <w:rFonts w:ascii="Times New Roman;serif" w:hAnsi="Times New Roman;serif"/>
                <w:b w:val="false"/>
                <w:sz w:val="10"/>
              </w:rPr>
              <w:t>units) (j)(ao)</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11/3/2022</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17</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Preferred Equity (9,787</w:t>
            </w:r>
            <w:r>
              <w:rPr>
                <w:rFonts w:ascii="Times New Roman" w:hAnsi="Times New Roman"/>
                <w:sz w:val="20"/>
              </w:rPr>
              <w:t> </w:t>
            </w:r>
            <w:r>
              <w:rPr>
                <w:rFonts w:ascii="Times New Roman;serif" w:hAnsi="Times New Roman;serif"/>
                <w:b w:val="false"/>
                <w:sz w:val="10"/>
              </w:rPr>
              <w:t>units) (j)(ao)</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11/3/2022</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245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Cardback Intermediate, LLC (dba Chargeback Gurus)</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(j)(ah)</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(L + 6.50%) / (0.75%)</w:t>
            </w:r>
          </w:p>
        </w:tc>
        <w:tc>
          <w:tcPr>
            <w:tcW w:w="7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11.25%/0.00%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8/10/2021</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8/10/2026</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12,506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12,453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12,506</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(495</w:t>
            </w:r>
            <w:r>
              <w:rPr>
                <w:rFonts w:ascii="Times New Roman" w:hAnsi="Times New Roman"/>
                <w:sz w:val="20"/>
              </w:rPr>
              <w:t> </w:t>
            </w:r>
            <w:r>
              <w:rPr>
                <w:rFonts w:ascii="Times New Roman;serif" w:hAnsi="Times New Roman;serif"/>
                <w:b w:val="false"/>
                <w:sz w:val="10"/>
              </w:rPr>
              <w:t>shares) (j)</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8/10/2021</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16</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Preferred Equity (495</w:t>
            </w:r>
            <w:r>
              <w:rPr>
                <w:rFonts w:ascii="Times New Roman" w:hAnsi="Times New Roman"/>
                <w:sz w:val="20"/>
              </w:rPr>
              <w:t> </w:t>
            </w:r>
            <w:r>
              <w:rPr>
                <w:rFonts w:ascii="Times New Roman;serif" w:hAnsi="Times New Roman;serif"/>
                <w:b w:val="false"/>
                <w:sz w:val="10"/>
              </w:rPr>
              <w:t>shares) (j)</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8/10/2021</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284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12,703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12,806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Choice Technology Solutions, LLC (dba Choice Merchant Solutions, LLC)</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 + 7.25%) / (1.00%)</w:t>
            </w:r>
          </w:p>
        </w:tc>
        <w:tc>
          <w:tcPr>
            <w:tcW w:w="7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12.09%/0.00%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4/1/2022</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4/1/2027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8,500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8,462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8,500</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Revolving Loan ($1,000</w:t>
            </w:r>
            <w:r>
              <w:rPr>
                <w:rFonts w:ascii="Times New Roman" w:hAnsi="Times New Roman"/>
                <w:sz w:val="20"/>
              </w:rPr>
              <w:t> </w:t>
            </w:r>
            <w:r>
              <w:rPr>
                <w:rFonts w:ascii="Times New Roman;serif" w:hAnsi="Times New Roman;serif"/>
                <w:b w:val="false"/>
                <w:sz w:val="10"/>
              </w:rPr>
              <w:t>unfunded commitment) (i)(j)</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 + 6.25%) / (1.00%)</w:t>
            </w:r>
          </w:p>
        </w:tc>
        <w:tc>
          <w:tcPr>
            <w:tcW w:w="7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11.09%/0.00%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4/1/2022</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4/1/2027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8,462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8,500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CIH Intermediate, LLC</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Business Services</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Subordinated Debt (k)</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10.00%/1.00%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3/3/2022</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3/3/2028</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13,786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13,673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13,786</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(563</w:t>
            </w:r>
            <w:r>
              <w:rPr>
                <w:rFonts w:ascii="Times New Roman" w:hAnsi="Times New Roman"/>
                <w:sz w:val="20"/>
              </w:rPr>
              <w:t> </w:t>
            </w:r>
            <w:r>
              <w:rPr>
                <w:rFonts w:ascii="Times New Roman;serif" w:hAnsi="Times New Roman;serif"/>
                <w:b w:val="false"/>
                <w:sz w:val="10"/>
              </w:rPr>
              <w:t>shares) (j)</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3/3/2022</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642</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Preferred Equity (563</w:t>
            </w:r>
            <w:r>
              <w:rPr>
                <w:rFonts w:ascii="Times New Roman" w:hAnsi="Times New Roman"/>
                <w:sz w:val="20"/>
              </w:rPr>
              <w:t> </w:t>
            </w:r>
            <w:r>
              <w:rPr>
                <w:rFonts w:ascii="Times New Roman;serif" w:hAnsi="Times New Roman;serif"/>
                <w:b w:val="false"/>
                <w:sz w:val="10"/>
              </w:rPr>
              <w:t>shares) (j)</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3/3/2022</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869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14,473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15,297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Combined Systems, Inc.</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Aerospace &amp; Defense Manufacturing</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(L + 11.00%) / (2.00%)</w:t>
            </w:r>
          </w:p>
        </w:tc>
        <w:tc>
          <w:tcPr>
            <w:tcW w:w="7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18.75%/0.00%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1/31/2020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1/31/2025</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3,862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3,841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3,862</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(L + 11.00%) / (2.00%)</w:t>
            </w:r>
          </w:p>
        </w:tc>
        <w:tc>
          <w:tcPr>
            <w:tcW w:w="7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18.75%/0.00%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12/22/2022</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2/15/2023</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489</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Revolving Loan ($162</w:t>
            </w:r>
            <w:r>
              <w:rPr>
                <w:rFonts w:ascii="Times New Roman" w:hAnsi="Times New Roman"/>
                <w:sz w:val="20"/>
              </w:rPr>
              <w:t> </w:t>
            </w:r>
            <w:r>
              <w:rPr>
                <w:rFonts w:ascii="Times New Roman;serif" w:hAnsi="Times New Roman;serif"/>
                <w:b w:val="false"/>
                <w:sz w:val="10"/>
              </w:rPr>
              <w:t>unfunded commitment) (j)(ac)</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(L + 10.00%) / (2.00%)</w:t>
            </w:r>
          </w:p>
        </w:tc>
        <w:tc>
          <w:tcPr>
            <w:tcW w:w="7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17.75%/0.00%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1/31/2020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1/31/2025</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3,838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3,829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3,838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8,159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8,189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Comply365, LLC</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Aerospace &amp; Defense Manufacturing</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(1,000,000</w:t>
            </w:r>
            <w:r>
              <w:rPr>
                <w:rFonts w:ascii="Times New Roman" w:hAnsi="Times New Roman"/>
                <w:sz w:val="20"/>
              </w:rPr>
              <w:t> </w:t>
            </w:r>
            <w:r>
              <w:rPr>
                <w:rFonts w:ascii="Times New Roman;serif" w:hAnsi="Times New Roman;serif"/>
                <w:b w:val="false"/>
                <w:sz w:val="10"/>
              </w:rPr>
              <w:t>units)</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12/11/2020</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1,342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CRS Solutions Holdings, LLC (dba CRS Texas)</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Business Services</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(Class A Units) (574,929</w:t>
            </w:r>
            <w:r>
              <w:rPr>
                <w:rFonts w:ascii="Times New Roman" w:hAnsi="Times New Roman"/>
                <w:sz w:val="20"/>
              </w:rPr>
              <w:t> </w:t>
            </w:r>
            <w:r>
              <w:rPr>
                <w:rFonts w:ascii="Times New Roman;serif" w:hAnsi="Times New Roman;serif"/>
                <w:b w:val="false"/>
                <w:sz w:val="10"/>
              </w:rPr>
              <w:t>units) (h)(j)</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6/28/2022</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CTM Group, Inc.</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Business Services</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 + 6.75%) / (1.00%)</w:t>
            </w:r>
          </w:p>
        </w:tc>
        <w:tc>
          <w:tcPr>
            <w:tcW w:w="7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11.79%/0.00%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2/28/2023</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11/30/2026</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8,000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7,844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7,844</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Subordinated Loan</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11.50%/2.00%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2/28/2023</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11/30/2027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2,004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1,979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1,979</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(400,000</w:t>
            </w:r>
            <w:r>
              <w:rPr>
                <w:rFonts w:ascii="Times New Roman" w:hAnsi="Times New Roman"/>
                <w:sz w:val="20"/>
              </w:rPr>
              <w:t> </w:t>
            </w:r>
            <w:r>
              <w:rPr>
                <w:rFonts w:ascii="Times New Roman;serif" w:hAnsi="Times New Roman;serif"/>
                <w:b w:val="false"/>
                <w:sz w:val="10"/>
              </w:rPr>
              <w:t>units)</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2/28/2023</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10,223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10,223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Dataguise, Inc.</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Subordinated Debt (j)</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11.00%/3.00%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12/30/2022</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11/23/2027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20,918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20,871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20,871</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(909</w:t>
            </w:r>
            <w:r>
              <w:rPr>
                <w:rFonts w:ascii="Times New Roman" w:hAnsi="Times New Roman"/>
                <w:sz w:val="20"/>
              </w:rPr>
              <w:t> </w:t>
            </w:r>
            <w:r>
              <w:rPr>
                <w:rFonts w:ascii="Times New Roman;serif" w:hAnsi="Times New Roman;serif"/>
                <w:b w:val="false"/>
                <w:sz w:val="10"/>
              </w:rPr>
              <w:t>shares) (j)</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12/31/2020</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1,500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803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22,371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21,674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Diversified Search LLC</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Business Services</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(k)(r)</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 + 6.50%) / (1.00%)</w:t>
            </w:r>
          </w:p>
        </w:tc>
        <w:tc>
          <w:tcPr>
            <w:tcW w:w="7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11.35%/0.00%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2/7/2019</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9/30/2025</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24,155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24,052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24,155</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(573</w:t>
            </w:r>
            <w:r>
              <w:rPr>
                <w:rFonts w:ascii="Times New Roman" w:hAnsi="Times New Roman"/>
                <w:sz w:val="20"/>
              </w:rPr>
              <w:t> </w:t>
            </w:r>
            <w:r>
              <w:rPr>
                <w:rFonts w:ascii="Times New Roman;serif" w:hAnsi="Times New Roman;serif"/>
                <w:b w:val="false"/>
                <w:sz w:val="10"/>
              </w:rPr>
              <w:t>units) (h)(j)</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2/7/2019</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552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913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24,604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25,068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ECM Industries, LLC</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Component Manufacturing</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(1,000,000</w:t>
            </w:r>
            <w:r>
              <w:rPr>
                <w:rFonts w:ascii="Times New Roman" w:hAnsi="Times New Roman"/>
                <w:sz w:val="20"/>
              </w:rPr>
              <w:t> </w:t>
            </w:r>
            <w:r>
              <w:rPr>
                <w:rFonts w:ascii="Times New Roman;serif" w:hAnsi="Times New Roman;serif"/>
                <w:b w:val="false"/>
                <w:sz w:val="10"/>
              </w:rPr>
              <w:t>units) (h)(j)</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4/30/2020</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2,169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Education Incites, LLC (dba Acceleration Academies)</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Business Services</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12.75%/0.00%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10/31/2022</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10/29/2027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5,972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5,972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Elements Brands, LLC</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Consumer Products</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12.25%/0.00%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12/31/2020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6/30/2024</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1,525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1,508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1,525</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Revolving Loan (j)</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12.25%/0.00%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12/31/2020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6/30/2024</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1,492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1,500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3,025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Fishbowl Solutions, LLC</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(ar)</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 + 7.75%) / (1.00%)</w:t>
            </w:r>
          </w:p>
        </w:tc>
        <w:tc>
          <w:tcPr>
            <w:tcW w:w="7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12.57%/0.00%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3/25/2022</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3/25/2027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14,391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14,305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14,391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Global Plasma Solutions, Inc.</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Component Manufacturing</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Subordinated Debt (j)</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0.00%/18.80%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3/31/2023</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3/18/2024</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182</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(947</w:t>
            </w:r>
            <w:r>
              <w:rPr>
                <w:rFonts w:ascii="Times New Roman" w:hAnsi="Times New Roman"/>
                <w:sz w:val="20"/>
              </w:rPr>
              <w:t> </w:t>
            </w:r>
            <w:r>
              <w:rPr>
                <w:rFonts w:ascii="Times New Roman;serif" w:hAnsi="Times New Roman;serif"/>
                <w:b w:val="false"/>
                <w:sz w:val="10"/>
              </w:rPr>
              <w:t>shares) (j)</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9/21/2018</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218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GP&amp;C Operations, LLC (dba Garlock Printing and Converting)</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Component Manufacturing</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(w)</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(L + 7.25%) / (1.00%)</w:t>
            </w:r>
          </w:p>
        </w:tc>
        <w:tc>
          <w:tcPr>
            <w:tcW w:w="7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12.20%/0.00%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1/22/2021</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1/22/2026</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10,907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11,000</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(515,625</w:t>
            </w:r>
            <w:r>
              <w:rPr>
                <w:rFonts w:ascii="Times New Roman" w:hAnsi="Times New Roman"/>
                <w:sz w:val="20"/>
              </w:rPr>
              <w:t> </w:t>
            </w:r>
            <w:r>
              <w:rPr>
                <w:rFonts w:ascii="Times New Roman;serif" w:hAnsi="Times New Roman;serif"/>
                <w:b w:val="false"/>
                <w:sz w:val="10"/>
              </w:rPr>
              <w:t>units) (h)(j)</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1/22/2021</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516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316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11,423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11,316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Green Cubes Technology, LLC (dba Green Cubes)</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(L + 13.00%) / (0.00%)</w:t>
            </w:r>
          </w:p>
        </w:tc>
        <w:tc>
          <w:tcPr>
            <w:tcW w:w="7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17.98%/0.00%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12/17/2021</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12/17/2024</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12,958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Gurobi Optimization, LLC</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(3</w:t>
            </w:r>
            <w:r>
              <w:rPr>
                <w:rFonts w:ascii="Times New Roman" w:hAnsi="Times New Roman"/>
                <w:sz w:val="20"/>
              </w:rPr>
              <w:t> </w:t>
            </w:r>
            <w:r>
              <w:rPr>
                <w:rFonts w:ascii="Times New Roman;serif" w:hAnsi="Times New Roman;serif"/>
                <w:b w:val="false"/>
                <w:sz w:val="10"/>
              </w:rPr>
              <w:t>shares)</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12/19/2017</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2,609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Haematologic Technologies, Inc.</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Healthcare Services</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(x)</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(L + 8.25%) / (2.00%)</w:t>
            </w:r>
          </w:p>
        </w:tc>
        <w:tc>
          <w:tcPr>
            <w:tcW w:w="7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13.41%/0.00%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10/11/2019</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10/11/2024</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5,378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5,365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5,378</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(630</w:t>
            </w:r>
            <w:r>
              <w:rPr>
                <w:rFonts w:ascii="Times New Roman" w:hAnsi="Times New Roman"/>
                <w:sz w:val="20"/>
              </w:rPr>
              <w:t> </w:t>
            </w:r>
            <w:r>
              <w:rPr>
                <w:rFonts w:ascii="Times New Roman;serif" w:hAnsi="Times New Roman;serif"/>
                <w:b w:val="false"/>
                <w:sz w:val="10"/>
              </w:rPr>
              <w:t>units) (h)(j)</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10/11/2019</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630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332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5,995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5,710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Hallmark Health Care Solutions, Inc.</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Healthcare Services</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(j)(ae)</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(L + 7.25%) / (1.50%)</w:t>
            </w:r>
          </w:p>
        </w:tc>
        <w:tc>
          <w:tcPr>
            <w:tcW w:w="7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12.00%/0.00%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12/4/2020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12/4/2025</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8,341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8,306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8,341</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(750,000</w:t>
            </w:r>
            <w:r>
              <w:rPr>
                <w:rFonts w:ascii="Times New Roman" w:hAnsi="Times New Roman"/>
                <w:sz w:val="20"/>
              </w:rPr>
              <w:t> </w:t>
            </w:r>
            <w:r>
              <w:rPr>
                <w:rFonts w:ascii="Times New Roman;serif" w:hAnsi="Times New Roman;serif"/>
                <w:b w:val="false"/>
                <w:sz w:val="10"/>
              </w:rPr>
              <w:t>units) (j)</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12/4/2020</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750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3,189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9,056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11,530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Healthfuse, LLC</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Healthcare Services</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Preferred Equity (197,980</w:t>
            </w:r>
            <w:r>
              <w:rPr>
                <w:rFonts w:ascii="Times New Roman" w:hAnsi="Times New Roman"/>
                <w:sz w:val="20"/>
              </w:rPr>
              <w:t> </w:t>
            </w:r>
            <w:r>
              <w:rPr>
                <w:rFonts w:ascii="Times New Roman;serif" w:hAnsi="Times New Roman;serif"/>
                <w:b w:val="false"/>
                <w:sz w:val="10"/>
              </w:rPr>
              <w:t>units)</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11/13/2020</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1,443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Hub Acquisition Sub, LLC (dba Hub Pen)</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Promotional products</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 (k)</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12.50%/1.00%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3/23/2016</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12/15/2023</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25,069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25,068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25,068</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(3,750</w:t>
            </w:r>
            <w:r>
              <w:rPr>
                <w:rFonts w:ascii="Times New Roman" w:hAnsi="Times New Roman"/>
                <w:sz w:val="20"/>
              </w:rPr>
              <w:t> </w:t>
            </w:r>
            <w:r>
              <w:rPr>
                <w:rFonts w:ascii="Times New Roman;serif" w:hAnsi="Times New Roman;serif"/>
                <w:b w:val="false"/>
                <w:sz w:val="10"/>
              </w:rPr>
              <w:t>units)</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3/23/2016</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760</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Preferred Equity (868</w:t>
            </w:r>
            <w:r>
              <w:rPr>
                <w:rFonts w:ascii="Times New Roman" w:hAnsi="Times New Roman"/>
                <w:sz w:val="20"/>
              </w:rPr>
              <w:t> </w:t>
            </w:r>
            <w:r>
              <w:rPr>
                <w:rFonts w:ascii="Times New Roman;serif" w:hAnsi="Times New Roman;serif"/>
                <w:b w:val="false"/>
                <w:sz w:val="10"/>
              </w:rPr>
              <w:t>units) (j)</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10/16/2020</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153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208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25,283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26,036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IBH Holdings, LLC (fka Inflexxion, Inc.)</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Business Services</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(150,000</w:t>
            </w:r>
            <w:r>
              <w:rPr>
                <w:rFonts w:ascii="Times New Roman" w:hAnsi="Times New Roman"/>
                <w:sz w:val="20"/>
              </w:rPr>
              <w:t> </w:t>
            </w:r>
            <w:r>
              <w:rPr>
                <w:rFonts w:ascii="Times New Roman;serif" w:hAnsi="Times New Roman;serif"/>
                <w:b w:val="false"/>
                <w:sz w:val="10"/>
              </w:rPr>
              <w:t>units)</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6/20/2018</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Ipro Tech, LLC</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(j)(u)</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 + 7.00%) / (1.00%)</w:t>
            </w:r>
          </w:p>
        </w:tc>
        <w:tc>
          <w:tcPr>
            <w:tcW w:w="7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11.78%/1.00%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6/30/2020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7/28/2025</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19,630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19,005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19,630</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Preferred Equity (682,075</w:t>
            </w:r>
            <w:r>
              <w:rPr>
                <w:rFonts w:ascii="Times New Roman" w:hAnsi="Times New Roman"/>
                <w:sz w:val="20"/>
              </w:rPr>
              <w:t> </w:t>
            </w:r>
            <w:r>
              <w:rPr>
                <w:rFonts w:ascii="Times New Roman;serif" w:hAnsi="Times New Roman;serif"/>
                <w:b w:val="false"/>
                <w:sz w:val="10"/>
              </w:rPr>
              <w:t>units) (j)</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7/28/2021</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682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19,687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20,653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ISI PSG Holdings, LLC (dba Incentive Solutions, Inc.)</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Business Services</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(j)(aj)</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(L + 7.50%) / (0.50%)</w:t>
            </w:r>
          </w:p>
        </w:tc>
        <w:tc>
          <w:tcPr>
            <w:tcW w:w="7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12.23%/0.00%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4/5/2021</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4/5/2026</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11,991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11,927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11,991</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(j)(an)</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(L + 7.50%) / (0.50%)</w:t>
            </w:r>
          </w:p>
        </w:tc>
        <w:tc>
          <w:tcPr>
            <w:tcW w:w="7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12.23%/0.00%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6/30/2021</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4/5/2026</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12,778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12,778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12,778</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(256,964</w:t>
            </w:r>
            <w:r>
              <w:rPr>
                <w:rFonts w:ascii="Times New Roman" w:hAnsi="Times New Roman"/>
                <w:sz w:val="20"/>
              </w:rPr>
              <w:t> </w:t>
            </w:r>
            <w:r>
              <w:rPr>
                <w:rFonts w:ascii="Times New Roman;serif" w:hAnsi="Times New Roman;serif"/>
                <w:b w:val="false"/>
                <w:sz w:val="10"/>
              </w:rPr>
              <w:t>units) (h)(j)</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4/5/2021</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509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25,205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25,278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K2 Merger Agreement Agent, LLC (fka K2 Industrial Services, Inc.) (n)</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Industrial Cleaning &amp; Coatings</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 (j) (y)</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0.00%/10.00%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1/28/2019</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1/28/2025</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2,368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2,368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2,123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The Kyjen Company, LLC (dba Outward Hound)</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Consumer Products</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(855</w:t>
            </w:r>
            <w:r>
              <w:rPr>
                <w:rFonts w:ascii="Times New Roman" w:hAnsi="Times New Roman"/>
                <w:sz w:val="20"/>
              </w:rPr>
              <w:t> </w:t>
            </w:r>
            <w:r>
              <w:rPr>
                <w:rFonts w:ascii="Times New Roman;serif" w:hAnsi="Times New Roman;serif"/>
                <w:b w:val="false"/>
                <w:sz w:val="10"/>
              </w:rPr>
              <w:t>shares) (j)</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12/8/2017</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933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802" w:type="dxa"/>
            <w:tcBorders/>
            <w:shd w:fill="auto" w:val="clear"/>
            <w:vAlign w:val="center"/>
          </w:tcPr>
          <w:p>
            <w:pPr>
              <w:pStyle w:val="TableContents"/>
              <w:spacing w:before="0" w:after="283"/>
              <w:ind w:left="0" w:right="0" w:hanging="0"/>
              <w:rPr>
                <w:sz w:val="4"/>
                <w:szCs w:val="4"/>
              </w:rPr>
            </w:pPr>
            <w:r>
              <w:rPr>
                <w:sz w:val="4"/>
                <w:szCs w:val="4"/>
              </w:rPr>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802"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Level Education Group, LLC (dba CE4Less)</w:t>
            </w:r>
          </w:p>
        </w:tc>
        <w:tc>
          <w:tcPr>
            <w:tcW w:w="14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Business Services</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(ak)</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(L + 6.75%) / (0.50%)</w:t>
            </w:r>
          </w:p>
        </w:tc>
        <w:tc>
          <w:tcPr>
            <w:tcW w:w="70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11.50%/0.00%</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4/1/2021</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4/1/2026</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5,131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5,106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5,131</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802"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(1,000,000</w:t>
            </w:r>
            <w:r>
              <w:rPr>
                <w:rFonts w:ascii="Times New Roman" w:hAnsi="Times New Roman"/>
                <w:sz w:val="20"/>
              </w:rPr>
              <w:t> </w:t>
            </w:r>
            <w:r>
              <w:rPr>
                <w:rFonts w:ascii="Times New Roman;serif" w:hAnsi="Times New Roman;serif"/>
                <w:b w:val="false"/>
                <w:sz w:val="10"/>
              </w:rPr>
              <w:t>units) (j)</w:t>
            </w:r>
          </w:p>
        </w:tc>
        <w:tc>
          <w:tcPr>
            <w:tcW w:w="1444" w:type="dxa"/>
            <w:tcBorders/>
            <w:shd w:fill="auto" w:val="clear"/>
            <w:vAlign w:val="center"/>
          </w:tcPr>
          <w:p>
            <w:pPr>
              <w:pStyle w:val="TableContents"/>
              <w:spacing w:before="0" w:after="0"/>
              <w:ind w:left="0" w:right="0" w:hanging="0"/>
              <w:jc w:val="left"/>
              <w:rPr/>
            </w:pPr>
            <w:r>
              <w:rPr/>
              <w:t> </w:t>
            </w:r>
          </w:p>
        </w:tc>
        <w:tc>
          <w:tcPr>
            <w:tcW w:w="989" w:type="dxa"/>
            <w:tcBorders/>
            <w:shd w:fill="auto" w:val="clear"/>
            <w:vAlign w:val="center"/>
          </w:tcPr>
          <w:p>
            <w:pPr>
              <w:pStyle w:val="TableContents"/>
              <w:spacing w:before="0" w:after="0"/>
              <w:ind w:left="0" w:right="0" w:hanging="0"/>
              <w:jc w:val="left"/>
              <w:rPr/>
            </w:pPr>
            <w:r>
              <w:rPr/>
              <w:t> </w:t>
            </w:r>
          </w:p>
        </w:tc>
        <w:tc>
          <w:tcPr>
            <w:tcW w:w="704" w:type="dxa"/>
            <w:tcBorders/>
            <w:shd w:fill="auto" w:val="clear"/>
            <w:vAlign w:val="center"/>
          </w:tcPr>
          <w:p>
            <w:pPr>
              <w:pStyle w:val="TableContents"/>
              <w:spacing w:before="0" w:after="0"/>
              <w:ind w:left="0" w:right="0" w:hanging="0"/>
              <w:jc w:val="left"/>
              <w:rPr/>
            </w:pPr>
            <w:r>
              <w:rPr/>
              <w:t> </w:t>
            </w:r>
          </w:p>
        </w:tc>
        <w:tc>
          <w:tcPr>
            <w:tcW w:w="56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4/1/2021</w:t>
            </w:r>
          </w:p>
        </w:tc>
        <w:tc>
          <w:tcPr>
            <w:tcW w:w="562"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1,385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180"/>
        <w:jc w:val="center"/>
        <w:rPr/>
      </w:pPr>
      <w:r>
        <w:rPr/>
        <w:t> </w:t>
      </w:r>
    </w:p>
    <w:tbl>
      <w:tblPr>
        <w:tblW w:w="10205" w:type="dxa"/>
        <w:jc w:val="left"/>
        <w:tblInd w:w="0" w:type="dxa"/>
        <w:tblCellMar>
          <w:top w:w="28" w:type="dxa"/>
          <w:left w:w="28" w:type="dxa"/>
          <w:bottom w:w="28" w:type="dxa"/>
          <w:right w:w="28" w:type="dxa"/>
        </w:tblCellMar>
      </w:tblPr>
      <w:tblGrid>
        <w:gridCol w:w="2994"/>
        <w:gridCol w:w="1296"/>
        <w:gridCol w:w="952"/>
        <w:gridCol w:w="684"/>
        <w:gridCol w:w="544"/>
        <w:gridCol w:w="544"/>
        <w:gridCol w:w="146"/>
        <w:gridCol w:w="436"/>
        <w:gridCol w:w="146"/>
        <w:gridCol w:w="146"/>
        <w:gridCol w:w="146"/>
        <w:gridCol w:w="436"/>
        <w:gridCol w:w="146"/>
        <w:gridCol w:w="146"/>
        <w:gridCol w:w="146"/>
        <w:gridCol w:w="436"/>
        <w:gridCol w:w="146"/>
        <w:gridCol w:w="146"/>
        <w:gridCol w:w="166"/>
        <w:gridCol w:w="403"/>
      </w:tblGrid>
      <w:tr>
        <w:trPr/>
        <w:tc>
          <w:tcPr>
            <w:tcW w:w="2994" w:type="dxa"/>
            <w:tcBorders/>
            <w:shd w:fill="auto" w:val="clear"/>
            <w:vAlign w:val="center"/>
          </w:tcPr>
          <w:p>
            <w:pPr>
              <w:pStyle w:val="TableContents"/>
              <w:spacing w:before="0" w:after="283"/>
              <w:rPr>
                <w:sz w:val="4"/>
                <w:szCs w:val="4"/>
              </w:rPr>
            </w:pPr>
            <w:r>
              <w:rPr>
                <w:sz w:val="4"/>
                <w:szCs w:val="4"/>
              </w:rPr>
            </w:r>
          </w:p>
        </w:tc>
        <w:tc>
          <w:tcPr>
            <w:tcW w:w="1296"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43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6,106</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43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6,516</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46"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LifeSpan Biosciences, Inc.</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Healthcare Products</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Subordinated Debt (j)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11.50%/0.00%</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3/19/2021</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9/19/2026</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16,000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15,950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14,624</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(100</w:t>
            </w:r>
            <w:r>
              <w:rPr>
                <w:rFonts w:ascii="Times New Roman" w:hAnsi="Times New Roman"/>
                <w:sz w:val="20"/>
              </w:rPr>
              <w:t> </w:t>
            </w:r>
            <w:r>
              <w:rPr>
                <w:rFonts w:ascii="Times New Roman;serif" w:hAnsi="Times New Roman;serif"/>
                <w:b w:val="false"/>
                <w:sz w:val="10"/>
              </w:rPr>
              <w:t>shares) (j)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3/19/2021</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646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16,950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15,270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Magenta Buyer LLC (dba Trellix)</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 (j)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(L + 8.25%) / (0.75%)</w:t>
            </w:r>
          </w:p>
        </w:tc>
        <w:tc>
          <w:tcPr>
            <w:tcW w:w="68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12.66%/0.00%</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7/19/2022</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7/27/2029</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7,182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6,822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7,125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MBS Opco, LLC (dba Marketron)</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 + 8.50%) / (1.50%)</w:t>
            </w:r>
          </w:p>
        </w:tc>
        <w:tc>
          <w:tcPr>
            <w:tcW w:w="68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13.66%/0.00%</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9/29/2022</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9/28/2026</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27,000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26,881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27,000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Micronics Filtration Holdings, Inc. (dba Micronics Engineered Filtration Group, Inc.)</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Component Manufacturing</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(k) (as)</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 + 5.50%) / (0.50%)</w:t>
            </w:r>
          </w:p>
        </w:tc>
        <w:tc>
          <w:tcPr>
            <w:tcW w:w="68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9.32%/0.00%</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2/17/2022</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2/17/2027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11,223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11,159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11,223</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(14,400</w:t>
            </w:r>
            <w:r>
              <w:rPr>
                <w:rFonts w:ascii="Times New Roman" w:hAnsi="Times New Roman"/>
                <w:sz w:val="20"/>
              </w:rPr>
              <w:t> </w:t>
            </w:r>
            <w:r>
              <w:rPr>
                <w:rFonts w:ascii="Times New Roman;serif" w:hAnsi="Times New Roman;serif"/>
                <w:b w:val="false"/>
                <w:sz w:val="10"/>
              </w:rPr>
              <w:t>units) (j)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2/17/2022</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1,440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3,494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12,599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14,717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Mobilewalla, Inc.</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 + 11.50%) / (0.50%)</w:t>
            </w:r>
          </w:p>
        </w:tc>
        <w:tc>
          <w:tcPr>
            <w:tcW w:w="68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16.67%/0.00%</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12/17/2021</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12/17/2024</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5,715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5,699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5,715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Netbase Solutions, Inc. (dba Netbase Quid)</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First Lien Debt ($3,300</w:t>
            </w:r>
            <w:r>
              <w:rPr>
                <w:rFonts w:ascii="Times New Roman" w:hAnsi="Times New Roman"/>
                <w:sz w:val="20"/>
              </w:rPr>
              <w:t> </w:t>
            </w:r>
            <w:r>
              <w:rPr>
                <w:rFonts w:ascii="Times New Roman;serif" w:hAnsi="Times New Roman;serif"/>
                <w:b w:val="false"/>
                <w:sz w:val="10"/>
              </w:rPr>
              <w:t>unfunded commitment) (i)(k)(ap)</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(P + 4.00%) / (3.25%)</w:t>
            </w:r>
          </w:p>
        </w:tc>
        <w:tc>
          <w:tcPr>
            <w:tcW w:w="68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12.00%/0.00%</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11/18/2021</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11/18/2025</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16,708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16,626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16,708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NGT Acquisition Holdings, LLC (dba Techniks Industries)</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Component Manufacturing</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(378</w:t>
            </w:r>
            <w:r>
              <w:rPr>
                <w:rFonts w:ascii="Times New Roman" w:hAnsi="Times New Roman"/>
                <w:sz w:val="20"/>
              </w:rPr>
              <w:t> </w:t>
            </w:r>
            <w:r>
              <w:rPr>
                <w:rFonts w:ascii="Times New Roman;serif" w:hAnsi="Times New Roman;serif"/>
                <w:b w:val="false"/>
                <w:sz w:val="10"/>
              </w:rPr>
              <w:t>units) (j)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5/24/2017</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OnePath Systems, LLC</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(s)</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 + 7.50%) / (1.00%)</w:t>
            </w:r>
          </w:p>
        </w:tc>
        <w:tc>
          <w:tcPr>
            <w:tcW w:w="68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12.40%/0.00%</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9/30/2022</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9/30/2027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10,926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11,000</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(732,542</w:t>
            </w:r>
            <w:r>
              <w:rPr>
                <w:rFonts w:ascii="Times New Roman" w:hAnsi="Times New Roman"/>
                <w:sz w:val="20"/>
              </w:rPr>
              <w:t> </w:t>
            </w:r>
            <w:r>
              <w:rPr>
                <w:rFonts w:ascii="Times New Roman;serif" w:hAnsi="Times New Roman;serif"/>
                <w:b w:val="false"/>
                <w:sz w:val="10"/>
              </w:rPr>
              <w:t>shares) (j)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9/30/2022</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710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11,426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11,710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Palmetto Moon, LLC</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Retail</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(499</w:t>
            </w:r>
            <w:r>
              <w:rPr>
                <w:rFonts w:ascii="Times New Roman" w:hAnsi="Times New Roman"/>
                <w:sz w:val="20"/>
              </w:rPr>
              <w:t> </w:t>
            </w:r>
            <w:r>
              <w:rPr>
                <w:rFonts w:ascii="Times New Roman;serif" w:hAnsi="Times New Roman;serif"/>
                <w:b w:val="false"/>
                <w:sz w:val="10"/>
              </w:rPr>
              <w:t>units) (j)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11/3/2016</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Pinnergy, Ltd.</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Oil &amp; Gas Services</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Subordinated Debt (j)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9.00%/0.00%</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6/30/2022</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6/30/2027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12,936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Pool &amp; Electrical Products, LLC</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Specialty Distribution</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(18,298</w:t>
            </w:r>
            <w:r>
              <w:rPr>
                <w:rFonts w:ascii="Times New Roman" w:hAnsi="Times New Roman"/>
                <w:sz w:val="20"/>
              </w:rPr>
              <w:t> </w:t>
            </w:r>
            <w:r>
              <w:rPr>
                <w:rFonts w:ascii="Times New Roman;serif" w:hAnsi="Times New Roman;serif"/>
                <w:b w:val="false"/>
                <w:sz w:val="10"/>
              </w:rPr>
              <w:t>units) (h)(j)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10/28/2020</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4,608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Power Grid Components, Inc.</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Specialty Distribution</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 (k)</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11.00%/0.50%</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4/12/2018</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12/2/2025</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17,757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17,715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17,757</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Preferred Equity (392</w:t>
            </w:r>
            <w:r>
              <w:rPr>
                <w:rFonts w:ascii="Times New Roman" w:hAnsi="Times New Roman"/>
                <w:sz w:val="20"/>
              </w:rPr>
              <w:t> </w:t>
            </w:r>
            <w:r>
              <w:rPr>
                <w:rFonts w:ascii="Times New Roman;serif" w:hAnsi="Times New Roman;serif"/>
                <w:b w:val="false"/>
                <w:sz w:val="10"/>
              </w:rPr>
              <w:t>shares) (j)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4/12/2018</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640</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Preferred Equity (48</w:t>
            </w:r>
            <w:r>
              <w:rPr>
                <w:rFonts w:ascii="Times New Roman" w:hAnsi="Times New Roman"/>
                <w:sz w:val="20"/>
              </w:rPr>
              <w:t> </w:t>
            </w:r>
            <w:r>
              <w:rPr>
                <w:rFonts w:ascii="Times New Roman;serif" w:hAnsi="Times New Roman;serif"/>
                <w:b w:val="false"/>
                <w:sz w:val="10"/>
              </w:rPr>
              <w:t>shares) (j)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12/2/2019</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79</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(10,622</w:t>
            </w:r>
            <w:r>
              <w:rPr>
                <w:rFonts w:ascii="Times New Roman" w:hAnsi="Times New Roman"/>
                <w:sz w:val="20"/>
              </w:rPr>
              <w:t> </w:t>
            </w:r>
            <w:r>
              <w:rPr>
                <w:rFonts w:ascii="Times New Roman;serif" w:hAnsi="Times New Roman;serif"/>
                <w:b w:val="false"/>
                <w:sz w:val="10"/>
              </w:rPr>
              <w:t>shares) (j)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4/12/2018</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462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2,637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18,617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21,113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PowerGrid Services Acquisition, LLC</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Utilities: Services</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 (j)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(L + 9.50%) / (1.00%)</w:t>
            </w:r>
          </w:p>
        </w:tc>
        <w:tc>
          <w:tcPr>
            <w:tcW w:w="68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14.66%/0.00%</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9/21/2021</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3/21/2029</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10,831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10,789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10,831</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(5,341</w:t>
            </w:r>
            <w:r>
              <w:rPr>
                <w:rFonts w:ascii="Times New Roman" w:hAnsi="Times New Roman"/>
                <w:sz w:val="20"/>
              </w:rPr>
              <w:t> </w:t>
            </w:r>
            <w:r>
              <w:rPr>
                <w:rFonts w:ascii="Times New Roman;serif" w:hAnsi="Times New Roman;serif"/>
                <w:b w:val="false"/>
                <w:sz w:val="10"/>
              </w:rPr>
              <w:t>units) (h)(j)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9/21/2021</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534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760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11,323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11,591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Prime AE Group, Inc.</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Business Services</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(j)(ab)</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 + 6.75%) / (2.00%)</w:t>
            </w:r>
          </w:p>
        </w:tc>
        <w:tc>
          <w:tcPr>
            <w:tcW w:w="68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11.90%/0.00%</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11/25/2019</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11/25/2024</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5,833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5,769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5,833</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Preferred Equity (900,000</w:t>
            </w:r>
            <w:r>
              <w:rPr>
                <w:rFonts w:ascii="Times New Roman" w:hAnsi="Times New Roman"/>
                <w:sz w:val="20"/>
              </w:rPr>
              <w:t> </w:t>
            </w:r>
            <w:r>
              <w:rPr>
                <w:rFonts w:ascii="Times New Roman;serif" w:hAnsi="Times New Roman;serif"/>
                <w:b w:val="false"/>
                <w:sz w:val="10"/>
              </w:rPr>
              <w:t>shares) (j)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11/25/2019</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900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371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6,669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6,204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QED Technologies International, Inc.</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Component Manufacturing</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(q)</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 + 6.00%) / (1.50%)</w:t>
            </w:r>
          </w:p>
        </w:tc>
        <w:tc>
          <w:tcPr>
            <w:tcW w:w="68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10.91%/0.50%</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3/1/2023</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3/1/2028</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17,363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17,235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17,235</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(140</w:t>
            </w:r>
            <w:r>
              <w:rPr>
                <w:rFonts w:ascii="Times New Roman" w:hAnsi="Times New Roman"/>
                <w:sz w:val="20"/>
              </w:rPr>
              <w:t> </w:t>
            </w:r>
            <w:r>
              <w:rPr>
                <w:rFonts w:ascii="Times New Roman;serif" w:hAnsi="Times New Roman;serif"/>
                <w:b w:val="false"/>
                <w:sz w:val="10"/>
              </w:rPr>
              <w:t>shares) (j)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2/28/2023</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1,402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1,402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18,637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18,637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Quest Software US Holdings Inc.</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 (j)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 + 7.50%) / (0.50%)</w:t>
            </w:r>
          </w:p>
        </w:tc>
        <w:tc>
          <w:tcPr>
            <w:tcW w:w="68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12.33%/0.00%</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3/1/2022</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2/1/2030</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19,382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15,649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w:t>
            </w:r>
          </w:p>
        </w:tc>
        <w:tc>
          <w:tcPr>
            <w:tcW w:w="403" w:type="dxa"/>
            <w:tcBorders/>
            <w:shd w:fill="auto" w:val="clear"/>
            <w:vAlign w:val="center"/>
          </w:tcPr>
          <w:p>
            <w:pPr>
              <w:pStyle w:val="TableContents"/>
              <w:spacing w:before="0" w:after="0"/>
              <w:ind w:left="0" w:right="0" w:firstLine="16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0"/>
              <w:ind w:left="160" w:right="0" w:hanging="0"/>
              <w:jc w:val="left"/>
              <w:rPr/>
            </w:pPr>
            <w:r>
              <w:rPr/>
              <w:t> </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R1 Holdings, LLC (dba RoadOne IntermodaLogistics)</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Transportation services</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First Lien Debt ($1,740</w:t>
            </w:r>
            <w:r>
              <w:rPr>
                <w:rFonts w:ascii="Times New Roman" w:hAnsi="Times New Roman"/>
                <w:sz w:val="20"/>
              </w:rPr>
              <w:t> </w:t>
            </w:r>
            <w:r>
              <w:rPr>
                <w:rFonts w:ascii="Times New Roman;serif" w:hAnsi="Times New Roman;serif"/>
                <w:b w:val="false"/>
                <w:sz w:val="10"/>
              </w:rPr>
              <w:t>unfunded commitment) (j)(ac)</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 + 6.25%) / (1.00%)</w:t>
            </w:r>
          </w:p>
        </w:tc>
        <w:tc>
          <w:tcPr>
            <w:tcW w:w="68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11.11%/0.00%</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12/30/2022</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12/30/2028</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6,260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6,054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6,054</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Subordinated Debt ($417</w:t>
            </w:r>
            <w:r>
              <w:rPr>
                <w:rFonts w:ascii="Times New Roman" w:hAnsi="Times New Roman"/>
                <w:sz w:val="20"/>
              </w:rPr>
              <w:t> </w:t>
            </w:r>
            <w:r>
              <w:rPr>
                <w:rFonts w:ascii="Times New Roman;serif" w:hAnsi="Times New Roman;serif"/>
                <w:b w:val="false"/>
                <w:sz w:val="10"/>
              </w:rPr>
              <w:t>unfunded commitment) (j)(ac)</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8.75%/5.00%</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12/30/2022</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6/30/2029</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1,350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1,306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1,306</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(280,000</w:t>
            </w:r>
            <w:r>
              <w:rPr>
                <w:rFonts w:ascii="Times New Roman" w:hAnsi="Times New Roman"/>
                <w:sz w:val="20"/>
              </w:rPr>
              <w:t> </w:t>
            </w:r>
            <w:r>
              <w:rPr>
                <w:rFonts w:ascii="Times New Roman;serif" w:hAnsi="Times New Roman;serif"/>
                <w:b w:val="false"/>
                <w:sz w:val="10"/>
              </w:rPr>
              <w:t>units) ($70</w:t>
            </w:r>
            <w:r>
              <w:rPr>
                <w:rFonts w:ascii="Times New Roman" w:hAnsi="Times New Roman"/>
                <w:sz w:val="20"/>
              </w:rPr>
              <w:t> </w:t>
            </w:r>
            <w:r>
              <w:rPr>
                <w:rFonts w:ascii="Times New Roman;serif" w:hAnsi="Times New Roman;serif"/>
                <w:b w:val="false"/>
                <w:sz w:val="10"/>
              </w:rPr>
              <w:t>unfunded commitment) (j)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12/30/2022</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280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280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7,640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7,640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Rhino Assembly Company, LLC</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Specialty Distribution</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 (k)</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11.50%/0.00%</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8/11/2017</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2/11/2026</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14,851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14,839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14,851</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(Class A Units) (10,915</w:t>
            </w:r>
            <w:r>
              <w:rPr>
                <w:rFonts w:ascii="Times New Roman" w:hAnsi="Times New Roman"/>
                <w:sz w:val="20"/>
              </w:rPr>
              <w:t> </w:t>
            </w:r>
            <w:r>
              <w:rPr>
                <w:rFonts w:ascii="Times New Roman;serif" w:hAnsi="Times New Roman;serif"/>
                <w:b w:val="false"/>
                <w:sz w:val="10"/>
              </w:rPr>
              <w:t>units) (h)(j)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8/11/2017</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2,924</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Preferred Equity (Units N/A) (h)(j)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12/10/2020</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483</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(Class F Units) (710</w:t>
            </w:r>
            <w:r>
              <w:rPr>
                <w:rFonts w:ascii="Times New Roman" w:hAnsi="Times New Roman"/>
                <w:sz w:val="20"/>
              </w:rPr>
              <w:t> </w:t>
            </w:r>
            <w:r>
              <w:rPr>
                <w:rFonts w:ascii="Times New Roman;serif" w:hAnsi="Times New Roman;serif"/>
                <w:b w:val="false"/>
                <w:sz w:val="10"/>
              </w:rPr>
              <w:t>units) (h)(j)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12/10/2020</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16,232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18,258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Road Safety Services, Inc.</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Business Services</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center"/>
              <w:rPr/>
            </w:pPr>
            <w:r>
              <w:rPr/>
              <w:t> </w:t>
            </w:r>
          </w:p>
        </w:tc>
        <w:tc>
          <w:tcPr>
            <w:tcW w:w="403" w:type="dxa"/>
            <w:tcBorders/>
            <w:shd w:fill="auto" w:val="clear"/>
            <w:vAlign w:val="center"/>
          </w:tcPr>
          <w:p>
            <w:pPr>
              <w:pStyle w:val="TableContents"/>
              <w:spacing w:before="0" w:after="0"/>
              <w:ind w:left="0" w:right="0" w:firstLine="160"/>
              <w:jc w:val="center"/>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 (k)</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11.25%/2.50%</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9/18/2018</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9/18/2025</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20,954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20,894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20,954</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(779</w:t>
            </w:r>
            <w:r>
              <w:rPr>
                <w:rFonts w:ascii="Times New Roman" w:hAnsi="Times New Roman"/>
                <w:sz w:val="20"/>
              </w:rPr>
              <w:t> </w:t>
            </w:r>
            <w:r>
              <w:rPr>
                <w:rFonts w:ascii="Times New Roman;serif" w:hAnsi="Times New Roman;serif"/>
                <w:b w:val="false"/>
                <w:sz w:val="10"/>
              </w:rPr>
              <w:t>units)</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9/18/2018</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1,934</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(113</w:t>
            </w:r>
            <w:r>
              <w:rPr>
                <w:rFonts w:ascii="Times New Roman" w:hAnsi="Times New Roman"/>
                <w:sz w:val="20"/>
              </w:rPr>
              <w:t> </w:t>
            </w:r>
            <w:r>
              <w:rPr>
                <w:rFonts w:ascii="Times New Roman;serif" w:hAnsi="Times New Roman;serif"/>
                <w:b w:val="false"/>
                <w:sz w:val="10"/>
              </w:rPr>
              <w:t>units) (j)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2/3/2023</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588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22,514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23,476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Sonicwall US Holdings, Inc.</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 (j)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(L + 7.50%) / (0.00%)</w:t>
            </w:r>
          </w:p>
        </w:tc>
        <w:tc>
          <w:tcPr>
            <w:tcW w:w="68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12.46%/0.00%</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9/6/2022</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5/18/2026</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4,774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4,527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4,733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Suited Connector LLC</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center"/>
              <w:rPr/>
            </w:pPr>
            <w:r>
              <w:rPr/>
              <w:t> </w:t>
            </w:r>
          </w:p>
        </w:tc>
        <w:tc>
          <w:tcPr>
            <w:tcW w:w="403" w:type="dxa"/>
            <w:tcBorders/>
            <w:shd w:fill="auto" w:val="clear"/>
            <w:vAlign w:val="center"/>
          </w:tcPr>
          <w:p>
            <w:pPr>
              <w:pStyle w:val="TableContents"/>
              <w:spacing w:before="0" w:after="0"/>
              <w:ind w:left="0" w:right="0" w:firstLine="160"/>
              <w:jc w:val="center"/>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 (j)(y)</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0.00%/14.00%</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10/29/2021</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6/1/2028</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16,000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15,933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9,642</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(19,099</w:t>
            </w:r>
            <w:r>
              <w:rPr>
                <w:rFonts w:ascii="Times New Roman" w:hAnsi="Times New Roman"/>
                <w:sz w:val="20"/>
              </w:rPr>
              <w:t> </w:t>
            </w:r>
            <w:r>
              <w:rPr>
                <w:rFonts w:ascii="Times New Roman;serif" w:hAnsi="Times New Roman;serif"/>
                <w:b w:val="false"/>
                <w:sz w:val="10"/>
              </w:rPr>
              <w:t>units) (h)(j)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12/1/2021</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808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16,741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9,642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Tedia Company, LLC</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Healthcare Products</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 + 7.75%) / (1.00%)</w:t>
            </w:r>
          </w:p>
        </w:tc>
        <w:tc>
          <w:tcPr>
            <w:tcW w:w="68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12.60%/0.00%</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3/4/2022</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3/4/2027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15,600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15,531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15,600</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Revolving Loan ($2,400</w:t>
            </w:r>
            <w:r>
              <w:rPr>
                <w:rFonts w:ascii="Times New Roman" w:hAnsi="Times New Roman"/>
                <w:sz w:val="20"/>
              </w:rPr>
              <w:t> </w:t>
            </w:r>
            <w:r>
              <w:rPr>
                <w:rFonts w:ascii="Times New Roman;serif" w:hAnsi="Times New Roman;serif"/>
                <w:b w:val="false"/>
                <w:sz w:val="10"/>
              </w:rPr>
              <w:t>unfunded commitment) (j)(i)</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12.60%/0.00%</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3/4/2022</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3/4/2027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Subordinated Debt (j)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7.25%/7.25%</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3/4/2022</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9/4/2027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2,704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2,692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2,991</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Preferred Equity (Series A) (1,000</w:t>
            </w:r>
            <w:r>
              <w:rPr>
                <w:rFonts w:ascii="Times New Roman" w:hAnsi="Times New Roman"/>
                <w:sz w:val="20"/>
              </w:rPr>
              <w:t> </w:t>
            </w:r>
            <w:r>
              <w:rPr>
                <w:rFonts w:ascii="Times New Roman;serif" w:hAnsi="Times New Roman;serif"/>
                <w:b w:val="false"/>
                <w:sz w:val="10"/>
              </w:rPr>
              <w:t>units) (h)(j)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3/4/2022</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1,535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19,223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20,126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Tiger Calcium Services Inc. (aw)</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Transportation services</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 (j) (ao)</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12.50%/0.00%</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12/21/2022</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5/31/2025</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12,445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12,445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UBEO, LLC</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Business Services</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(705,000</w:t>
            </w:r>
            <w:r>
              <w:rPr>
                <w:rFonts w:ascii="Times New Roman" w:hAnsi="Times New Roman"/>
                <w:sz w:val="20"/>
              </w:rPr>
              <w:t> </w:t>
            </w:r>
            <w:r>
              <w:rPr>
                <w:rFonts w:ascii="Times New Roman;serif" w:hAnsi="Times New Roman;serif"/>
                <w:b w:val="false"/>
                <w:sz w:val="10"/>
              </w:rPr>
              <w:t>units) (h)(j)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4/3/2018</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2,101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United Biologics, LLC</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Healthcare Services</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Preferred Equity (98,377</w:t>
            </w:r>
            <w:r>
              <w:rPr>
                <w:rFonts w:ascii="Times New Roman" w:hAnsi="Times New Roman"/>
                <w:sz w:val="20"/>
              </w:rPr>
              <w:t> </w:t>
            </w:r>
            <w:r>
              <w:rPr>
                <w:rFonts w:ascii="Times New Roman;serif" w:hAnsi="Times New Roman;serif"/>
                <w:b w:val="false"/>
                <w:sz w:val="10"/>
              </w:rPr>
              <w:t>units) (h)(j)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4/1/2012</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Warrant (57,469</w:t>
            </w:r>
            <w:r>
              <w:rPr>
                <w:rFonts w:ascii="Times New Roman" w:hAnsi="Times New Roman"/>
                <w:sz w:val="20"/>
              </w:rPr>
              <w:t> </w:t>
            </w:r>
            <w:r>
              <w:rPr>
                <w:rFonts w:ascii="Times New Roman;serif" w:hAnsi="Times New Roman;serif"/>
                <w:b w:val="false"/>
                <w:sz w:val="10"/>
              </w:rPr>
              <w:t>units) (j)(m)</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3/5/2012</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566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1,574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USG AS Holdings, LLC</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Utilities: Services</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center"/>
              <w:rPr/>
            </w:pPr>
            <w:r>
              <w:rPr/>
              <w:t> </w:t>
            </w:r>
          </w:p>
        </w:tc>
        <w:tc>
          <w:tcPr>
            <w:tcW w:w="403" w:type="dxa"/>
            <w:tcBorders/>
            <w:shd w:fill="auto" w:val="clear"/>
            <w:vAlign w:val="center"/>
          </w:tcPr>
          <w:p>
            <w:pPr>
              <w:pStyle w:val="TableContents"/>
              <w:spacing w:before="0" w:after="0"/>
              <w:ind w:left="0" w:right="0" w:firstLine="160"/>
              <w:jc w:val="center"/>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 + 8.50%) / (2.50%)</w:t>
            </w:r>
          </w:p>
        </w:tc>
        <w:tc>
          <w:tcPr>
            <w:tcW w:w="68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13.48%/0.00%</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2/23/2023</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2/23/2028</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9,902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9,902</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Common Equity (Units N/A) (j)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2/21/2023</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10,902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10,902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Virginia Tile Company, LLC</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Specialty Distribution</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(17</w:t>
            </w:r>
            <w:r>
              <w:rPr>
                <w:rFonts w:ascii="Times New Roman" w:hAnsi="Times New Roman"/>
                <w:sz w:val="20"/>
              </w:rPr>
              <w:t> </w:t>
            </w:r>
            <w:r>
              <w:rPr>
                <w:rFonts w:ascii="Times New Roman;serif" w:hAnsi="Times New Roman;serif"/>
                <w:b w:val="false"/>
                <w:sz w:val="10"/>
              </w:rPr>
              <w:t>units) (j)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12/19/2014</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933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0</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Virtex Enterprises, LP</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Component Manufacturing</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 + 9.75%) / (1.00%)</w:t>
            </w:r>
          </w:p>
        </w:tc>
        <w:tc>
          <w:tcPr>
            <w:tcW w:w="68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14.80%/0.00%</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4/13/2022</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10/13/2027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11,002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10,911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6,092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Winona Foods, Inc.</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Specialty Distribution</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(j)(am)</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(L + 12.00%) / (1.00%)</w:t>
            </w:r>
          </w:p>
        </w:tc>
        <w:tc>
          <w:tcPr>
            <w:tcW w:w="68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17.16%/0.00%</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4/1/2021</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4/1/2026</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3,914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4,000</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(L + 13.00%) / (1.00%)</w:t>
            </w:r>
          </w:p>
        </w:tc>
        <w:tc>
          <w:tcPr>
            <w:tcW w:w="68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18.16%/0.00%</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4/1/2021</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4/1/2026</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6,968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10,882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Wonderware Holdings, LLC (dba CORE Business Technologies)</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Information Technology Services</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(k)(z)</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(L + 7.25%) / (1.00%)</w:t>
            </w:r>
          </w:p>
        </w:tc>
        <w:tc>
          <w:tcPr>
            <w:tcW w:w="68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11.97%/0.00%</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2/10/2021</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2/9/2026</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8,316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8,282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8,268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w:t>
            </w:r>
          </w:p>
        </w:tc>
        <w:tc>
          <w:tcPr>
            <w:tcW w:w="40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94" w:type="dxa"/>
            <w:tcBorders/>
            <w:shd w:fill="auto" w:val="clear"/>
            <w:vAlign w:val="center"/>
          </w:tcPr>
          <w:p>
            <w:pPr>
              <w:pStyle w:val="TableContents"/>
              <w:spacing w:before="0" w:after="283"/>
              <w:ind w:left="0" w:right="0" w:hanging="0"/>
              <w:rPr>
                <w:sz w:val="4"/>
                <w:szCs w:val="4"/>
              </w:rPr>
            </w:pPr>
            <w:r>
              <w:rPr>
                <w:sz w:val="4"/>
                <w:szCs w:val="4"/>
              </w:rPr>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r>
        <w:trPr/>
        <w:tc>
          <w:tcPr>
            <w:tcW w:w="2994"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Worldwide Express Operations, LLC</w:t>
            </w:r>
          </w:p>
        </w:tc>
        <w:tc>
          <w:tcPr>
            <w:tcW w:w="12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Transportation services</w:t>
            </w:r>
          </w:p>
        </w:tc>
        <w:tc>
          <w:tcPr>
            <w:tcW w:w="952" w:type="dxa"/>
            <w:tcBorders/>
            <w:shd w:fill="auto" w:val="clear"/>
            <w:vAlign w:val="center"/>
          </w:tcPr>
          <w:p>
            <w:pPr>
              <w:pStyle w:val="TableContents"/>
              <w:spacing w:before="0" w:after="0"/>
              <w:ind w:left="0" w:right="0" w:hanging="0"/>
              <w:jc w:val="left"/>
              <w:rPr/>
            </w:pPr>
            <w:r>
              <w:rPr/>
              <w:t> </w:t>
            </w:r>
          </w:p>
        </w:tc>
        <w:tc>
          <w:tcPr>
            <w:tcW w:w="68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44"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firstLine="160"/>
              <w:jc w:val="left"/>
              <w:rPr/>
            </w:pPr>
            <w:r>
              <w:rPr/>
              <w:t> </w:t>
            </w:r>
          </w:p>
        </w:tc>
      </w:tr>
      <w:tr>
        <w:trPr/>
        <w:tc>
          <w:tcPr>
            <w:tcW w:w="2994"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Second Lien Debt (j)</w:t>
            </w:r>
          </w:p>
        </w:tc>
        <w:tc>
          <w:tcPr>
            <w:tcW w:w="1296" w:type="dxa"/>
            <w:tcBorders/>
            <w:shd w:fill="auto" w:val="clear"/>
            <w:vAlign w:val="center"/>
          </w:tcPr>
          <w:p>
            <w:pPr>
              <w:pStyle w:val="TableContents"/>
              <w:spacing w:before="0" w:after="0"/>
              <w:ind w:left="0" w:right="0" w:hanging="0"/>
              <w:jc w:val="left"/>
              <w:rPr/>
            </w:pPr>
            <w:r>
              <w:rPr/>
              <w:t> </w:t>
            </w:r>
          </w:p>
        </w:tc>
        <w:tc>
          <w:tcPr>
            <w:tcW w:w="95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 + 7.00%) / (0.75%)</w:t>
            </w:r>
          </w:p>
        </w:tc>
        <w:tc>
          <w:tcPr>
            <w:tcW w:w="68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12.16%/0.00%</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8/2/2021</w:t>
            </w:r>
          </w:p>
        </w:tc>
        <w:tc>
          <w:tcPr>
            <w:tcW w:w="544"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7/26/2029</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27,497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26,438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26,947</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03"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180"/>
        <w:jc w:val="center"/>
        <w:rPr/>
      </w:pPr>
      <w:r>
        <w:rPr/>
        <w:t> </w:t>
      </w:r>
    </w:p>
    <w:tbl>
      <w:tblPr>
        <w:tblW w:w="10205" w:type="dxa"/>
        <w:jc w:val="left"/>
        <w:tblInd w:w="0" w:type="dxa"/>
        <w:tblCellMar>
          <w:top w:w="28" w:type="dxa"/>
          <w:left w:w="28" w:type="dxa"/>
          <w:bottom w:w="28" w:type="dxa"/>
          <w:right w:w="28" w:type="dxa"/>
        </w:tblCellMar>
      </w:tblPr>
      <w:tblGrid>
        <w:gridCol w:w="2989"/>
        <w:gridCol w:w="1107"/>
        <w:gridCol w:w="941"/>
        <w:gridCol w:w="677"/>
        <w:gridCol w:w="500"/>
        <w:gridCol w:w="500"/>
        <w:gridCol w:w="146"/>
        <w:gridCol w:w="376"/>
        <w:gridCol w:w="146"/>
        <w:gridCol w:w="146"/>
        <w:gridCol w:w="166"/>
        <w:gridCol w:w="496"/>
        <w:gridCol w:w="146"/>
        <w:gridCol w:w="146"/>
        <w:gridCol w:w="166"/>
        <w:gridCol w:w="496"/>
        <w:gridCol w:w="146"/>
        <w:gridCol w:w="146"/>
        <w:gridCol w:w="286"/>
        <w:gridCol w:w="483"/>
      </w:tblGrid>
      <w:tr>
        <w:trPr/>
        <w:tc>
          <w:tcPr>
            <w:tcW w:w="2989"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ind w:left="0" w:right="0" w:firstLine="160"/>
              <w:rPr>
                <w:sz w:val="4"/>
                <w:szCs w:val="4"/>
              </w:rPr>
            </w:pPr>
            <w:r>
              <w:rPr>
                <w:sz w:val="4"/>
                <w:szCs w:val="4"/>
              </w:rPr>
            </w:r>
          </w:p>
        </w:tc>
      </w:tr>
      <w:tr>
        <w:trPr/>
        <w:tc>
          <w:tcPr>
            <w:tcW w:w="2989"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Common Equity (795,000units) (j)</w:t>
            </w:r>
          </w:p>
        </w:tc>
        <w:tc>
          <w:tcPr>
            <w:tcW w:w="1107" w:type="dxa"/>
            <w:tcBorders/>
            <w:shd w:fill="auto" w:val="clear"/>
            <w:vAlign w:val="center"/>
          </w:tcPr>
          <w:p>
            <w:pPr>
              <w:pStyle w:val="TableContents"/>
              <w:spacing w:before="0" w:after="0"/>
              <w:ind w:left="0" w:right="0" w:hanging="0"/>
              <w:jc w:val="left"/>
              <w:rPr/>
            </w:pPr>
            <w:r>
              <w:rPr/>
              <w:t> </w:t>
            </w:r>
          </w:p>
        </w:tc>
        <w:tc>
          <w:tcPr>
            <w:tcW w:w="941" w:type="dxa"/>
            <w:tcBorders/>
            <w:shd w:fill="auto" w:val="clear"/>
            <w:vAlign w:val="center"/>
          </w:tcPr>
          <w:p>
            <w:pPr>
              <w:pStyle w:val="TableContents"/>
              <w:spacing w:before="0" w:after="0"/>
              <w:ind w:left="0" w:right="0" w:hanging="0"/>
              <w:jc w:val="left"/>
              <w:rPr/>
            </w:pPr>
            <w:r>
              <w:rPr/>
              <w:t> </w:t>
            </w:r>
          </w:p>
        </w:tc>
        <w:tc>
          <w:tcPr>
            <w:tcW w:w="677"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7/21/2021</w:t>
            </w:r>
          </w:p>
        </w:tc>
        <w:tc>
          <w:tcPr>
            <w:tcW w:w="500"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1,037</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83" w:type="dxa"/>
            <w:tcBorders/>
            <w:shd w:fill="auto" w:val="clear"/>
            <w:vAlign w:val="center"/>
          </w:tcPr>
          <w:p>
            <w:pPr>
              <w:pStyle w:val="TableContents"/>
              <w:spacing w:before="0" w:after="0"/>
              <w:ind w:left="0" w:right="0" w:firstLine="160"/>
              <w:jc w:val="left"/>
              <w:rPr/>
            </w:pPr>
            <w:r>
              <w:rPr/>
              <w:t> </w:t>
            </w:r>
          </w:p>
        </w:tc>
      </w:tr>
      <w:tr>
        <w:trPr/>
        <w:tc>
          <w:tcPr>
            <w:tcW w:w="298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(752,380</w:t>
            </w:r>
            <w:r>
              <w:rPr>
                <w:rFonts w:ascii="Times New Roman" w:hAnsi="Times New Roman"/>
                <w:sz w:val="20"/>
              </w:rPr>
              <w:t> </w:t>
            </w:r>
            <w:r>
              <w:rPr>
                <w:rFonts w:ascii="Times New Roman;serif" w:hAnsi="Times New Roman;serif"/>
                <w:b w:val="false"/>
                <w:sz w:val="10"/>
              </w:rPr>
              <w:t>units) (h)(j)</w:t>
            </w:r>
          </w:p>
        </w:tc>
        <w:tc>
          <w:tcPr>
            <w:tcW w:w="1107" w:type="dxa"/>
            <w:tcBorders/>
            <w:shd w:fill="auto" w:val="clear"/>
            <w:vAlign w:val="center"/>
          </w:tcPr>
          <w:p>
            <w:pPr>
              <w:pStyle w:val="TableContents"/>
              <w:spacing w:before="0" w:after="0"/>
              <w:ind w:left="0" w:right="0" w:hanging="0"/>
              <w:jc w:val="left"/>
              <w:rPr/>
            </w:pPr>
            <w:r>
              <w:rPr/>
              <w:t> </w:t>
            </w:r>
          </w:p>
        </w:tc>
        <w:tc>
          <w:tcPr>
            <w:tcW w:w="941" w:type="dxa"/>
            <w:tcBorders/>
            <w:shd w:fill="auto" w:val="clear"/>
            <w:vAlign w:val="center"/>
          </w:tcPr>
          <w:p>
            <w:pPr>
              <w:pStyle w:val="TableContents"/>
              <w:spacing w:before="0" w:after="0"/>
              <w:ind w:left="0" w:right="0" w:hanging="0"/>
              <w:jc w:val="left"/>
              <w:rPr/>
            </w:pPr>
            <w:r>
              <w:rPr/>
              <w:t> </w:t>
            </w:r>
          </w:p>
        </w:tc>
        <w:tc>
          <w:tcPr>
            <w:tcW w:w="677"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7/26/2021</w:t>
            </w:r>
          </w:p>
        </w:tc>
        <w:tc>
          <w:tcPr>
            <w:tcW w:w="500"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792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3" w:type="dxa"/>
            <w:tcBorders/>
            <w:shd w:fill="auto" w:val="clear"/>
            <w:vAlign w:val="center"/>
          </w:tcPr>
          <w:p>
            <w:pPr>
              <w:pStyle w:val="TableContents"/>
              <w:spacing w:before="0" w:after="0"/>
              <w:ind w:left="0" w:right="0" w:hanging="0"/>
              <w:jc w:val="left"/>
              <w:rPr/>
            </w:pPr>
            <w:r>
              <w:rPr/>
              <w:t> </w:t>
            </w:r>
          </w:p>
        </w:tc>
      </w:tr>
      <w:tr>
        <w:trPr/>
        <w:tc>
          <w:tcPr>
            <w:tcW w:w="2989" w:type="dxa"/>
            <w:tcBorders/>
            <w:shd w:fill="auto" w:val="clear"/>
            <w:vAlign w:val="center"/>
          </w:tcPr>
          <w:p>
            <w:pPr>
              <w:pStyle w:val="TableContents"/>
              <w:spacing w:before="0" w:after="283"/>
              <w:ind w:left="0" w:right="0" w:hanging="0"/>
              <w:rPr>
                <w:sz w:val="4"/>
                <w:szCs w:val="4"/>
              </w:rPr>
            </w:pPr>
            <w:r>
              <w:rPr>
                <w:sz w:val="4"/>
                <w:szCs w:val="4"/>
              </w:rPr>
            </w:r>
          </w:p>
        </w:tc>
        <w:tc>
          <w:tcPr>
            <w:tcW w:w="1107" w:type="dxa"/>
            <w:tcBorders/>
            <w:shd w:fill="auto" w:val="clear"/>
            <w:vAlign w:val="center"/>
          </w:tcPr>
          <w:p>
            <w:pPr>
              <w:pStyle w:val="TableContents"/>
              <w:spacing w:before="0" w:after="0"/>
              <w:ind w:left="0" w:right="0" w:hanging="0"/>
              <w:jc w:val="left"/>
              <w:rPr/>
            </w:pPr>
            <w:r>
              <w:rPr/>
              <w:t> </w:t>
            </w:r>
          </w:p>
        </w:tc>
        <w:tc>
          <w:tcPr>
            <w:tcW w:w="941" w:type="dxa"/>
            <w:tcBorders/>
            <w:shd w:fill="auto" w:val="clear"/>
            <w:vAlign w:val="center"/>
          </w:tcPr>
          <w:p>
            <w:pPr>
              <w:pStyle w:val="TableContents"/>
              <w:spacing w:before="0" w:after="0"/>
              <w:ind w:left="0" w:right="0" w:hanging="0"/>
              <w:jc w:val="left"/>
              <w:rPr/>
            </w:pPr>
            <w:r>
              <w:rPr/>
              <w:t> </w:t>
            </w:r>
          </w:p>
        </w:tc>
        <w:tc>
          <w:tcPr>
            <w:tcW w:w="677"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27,458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28,776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w:t>
            </w:r>
          </w:p>
        </w:tc>
        <w:tc>
          <w:tcPr>
            <w:tcW w:w="48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89" w:type="dxa"/>
            <w:tcBorders/>
            <w:shd w:fill="auto" w:val="clear"/>
            <w:vAlign w:val="center"/>
          </w:tcPr>
          <w:p>
            <w:pPr>
              <w:pStyle w:val="TableContents"/>
              <w:spacing w:before="0" w:after="0"/>
              <w:ind w:left="0" w:right="0" w:hanging="0"/>
              <w:jc w:val="left"/>
              <w:rPr>
                <w:rFonts w:ascii="Times New Roman;serif" w:hAnsi="Times New Roman;serif"/>
                <w:b w:val="false"/>
                <w:i/>
                <w:sz w:val="10"/>
              </w:rPr>
            </w:pPr>
            <w:r>
              <w:rPr>
                <w:rFonts w:ascii="Times New Roman;serif" w:hAnsi="Times New Roman;serif"/>
                <w:b w:val="false"/>
                <w:i/>
                <w:sz w:val="10"/>
              </w:rPr>
              <w:t>Zonkd, LLC</w:t>
            </w:r>
          </w:p>
        </w:tc>
        <w:tc>
          <w:tcPr>
            <w:tcW w:w="1107"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Component Manufacturing</w:t>
            </w:r>
          </w:p>
        </w:tc>
        <w:tc>
          <w:tcPr>
            <w:tcW w:w="941" w:type="dxa"/>
            <w:tcBorders/>
            <w:shd w:fill="auto" w:val="clear"/>
            <w:vAlign w:val="center"/>
          </w:tcPr>
          <w:p>
            <w:pPr>
              <w:pStyle w:val="TableContents"/>
              <w:spacing w:before="0" w:after="0"/>
              <w:ind w:left="0" w:right="0" w:hanging="0"/>
              <w:jc w:val="left"/>
              <w:rPr/>
            </w:pPr>
            <w:r>
              <w:rPr/>
              <w:t> </w:t>
            </w:r>
          </w:p>
        </w:tc>
        <w:tc>
          <w:tcPr>
            <w:tcW w:w="677"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83" w:type="dxa"/>
            <w:tcBorders/>
            <w:shd w:fill="auto" w:val="clear"/>
            <w:vAlign w:val="center"/>
          </w:tcPr>
          <w:p>
            <w:pPr>
              <w:pStyle w:val="TableContents"/>
              <w:spacing w:before="0" w:after="0"/>
              <w:ind w:left="0" w:right="0" w:firstLine="160"/>
              <w:jc w:val="left"/>
              <w:rPr/>
            </w:pPr>
            <w:r>
              <w:rPr/>
              <w:t> </w:t>
            </w:r>
          </w:p>
        </w:tc>
      </w:tr>
      <w:tr>
        <w:trPr/>
        <w:tc>
          <w:tcPr>
            <w:tcW w:w="2989"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First Lien Debt (j)</w:t>
            </w:r>
          </w:p>
        </w:tc>
        <w:tc>
          <w:tcPr>
            <w:tcW w:w="1107" w:type="dxa"/>
            <w:tcBorders/>
            <w:shd w:fill="auto" w:val="clear"/>
            <w:vAlign w:val="center"/>
          </w:tcPr>
          <w:p>
            <w:pPr>
              <w:pStyle w:val="TableContents"/>
              <w:spacing w:before="0" w:after="0"/>
              <w:ind w:left="0" w:right="0" w:hanging="0"/>
              <w:jc w:val="left"/>
              <w:rPr/>
            </w:pPr>
            <w:r>
              <w:rPr/>
              <w:t> </w:t>
            </w:r>
          </w:p>
        </w:tc>
        <w:tc>
          <w:tcPr>
            <w:tcW w:w="94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(L + 10.00%) / (1.00%)</w:t>
            </w:r>
          </w:p>
        </w:tc>
        <w:tc>
          <w:tcPr>
            <w:tcW w:w="677"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15.96%/0.00%</w:t>
            </w:r>
          </w:p>
        </w:tc>
        <w:tc>
          <w:tcPr>
            <w:tcW w:w="500"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3/18/2022</w:t>
            </w:r>
          </w:p>
        </w:tc>
        <w:tc>
          <w:tcPr>
            <w:tcW w:w="500"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3/18/2027</w:t>
            </w:r>
          </w:p>
        </w:tc>
        <w:tc>
          <w:tcPr>
            <w:tcW w:w="14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4,818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4,946</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83" w:type="dxa"/>
            <w:tcBorders/>
            <w:shd w:fill="auto" w:val="clear"/>
            <w:vAlign w:val="center"/>
          </w:tcPr>
          <w:p>
            <w:pPr>
              <w:pStyle w:val="TableContents"/>
              <w:spacing w:before="0" w:after="0"/>
              <w:ind w:left="0" w:right="0" w:firstLine="160"/>
              <w:jc w:val="left"/>
              <w:rPr/>
            </w:pPr>
            <w:r>
              <w:rPr/>
              <w:t> </w:t>
            </w:r>
          </w:p>
        </w:tc>
      </w:tr>
      <w:tr>
        <w:trPr/>
        <w:tc>
          <w:tcPr>
            <w:tcW w:w="2989"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0"/>
              </w:rPr>
              <w:t>Common Equity (4,987</w:t>
            </w:r>
            <w:r>
              <w:rPr>
                <w:rFonts w:ascii="Times New Roman" w:hAnsi="Times New Roman"/>
                <w:sz w:val="20"/>
              </w:rPr>
              <w:t> </w:t>
            </w:r>
            <w:r>
              <w:rPr>
                <w:rFonts w:ascii="Times New Roman;serif" w:hAnsi="Times New Roman;serif"/>
                <w:b w:val="false"/>
                <w:sz w:val="10"/>
              </w:rPr>
              <w:t>units) (h)(j)</w:t>
            </w:r>
          </w:p>
        </w:tc>
        <w:tc>
          <w:tcPr>
            <w:tcW w:w="1107" w:type="dxa"/>
            <w:tcBorders/>
            <w:shd w:fill="auto" w:val="clear"/>
            <w:vAlign w:val="center"/>
          </w:tcPr>
          <w:p>
            <w:pPr>
              <w:pStyle w:val="TableContents"/>
              <w:spacing w:before="0" w:after="0"/>
              <w:ind w:left="0" w:right="0" w:hanging="0"/>
              <w:jc w:val="left"/>
              <w:rPr/>
            </w:pPr>
            <w:r>
              <w:rPr/>
              <w:t> </w:t>
            </w:r>
          </w:p>
        </w:tc>
        <w:tc>
          <w:tcPr>
            <w:tcW w:w="941" w:type="dxa"/>
            <w:tcBorders/>
            <w:shd w:fill="auto" w:val="clear"/>
            <w:vAlign w:val="center"/>
          </w:tcPr>
          <w:p>
            <w:pPr>
              <w:pStyle w:val="TableContents"/>
              <w:spacing w:before="0" w:after="0"/>
              <w:ind w:left="0" w:right="0" w:hanging="0"/>
              <w:jc w:val="left"/>
              <w:rPr/>
            </w:pPr>
            <w:r>
              <w:rPr/>
              <w:t> </w:t>
            </w:r>
          </w:p>
        </w:tc>
        <w:tc>
          <w:tcPr>
            <w:tcW w:w="677"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3/18/2022</w:t>
            </w:r>
          </w:p>
        </w:tc>
        <w:tc>
          <w:tcPr>
            <w:tcW w:w="500"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92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3" w:type="dxa"/>
            <w:tcBorders/>
            <w:shd w:fill="auto" w:val="clear"/>
            <w:vAlign w:val="center"/>
          </w:tcPr>
          <w:p>
            <w:pPr>
              <w:pStyle w:val="TableContents"/>
              <w:spacing w:before="0" w:after="0"/>
              <w:ind w:left="0" w:right="0" w:hanging="0"/>
              <w:jc w:val="left"/>
              <w:rPr/>
            </w:pPr>
            <w:r>
              <w:rPr/>
              <w:t> </w:t>
            </w:r>
          </w:p>
        </w:tc>
      </w:tr>
      <w:tr>
        <w:trPr/>
        <w:tc>
          <w:tcPr>
            <w:tcW w:w="2989" w:type="dxa"/>
            <w:tcBorders/>
            <w:shd w:fill="auto" w:val="clear"/>
            <w:vAlign w:val="center"/>
          </w:tcPr>
          <w:p>
            <w:pPr>
              <w:pStyle w:val="TableContents"/>
              <w:spacing w:before="0" w:after="283"/>
              <w:ind w:left="0" w:right="0" w:hanging="0"/>
              <w:rPr>
                <w:sz w:val="4"/>
                <w:szCs w:val="4"/>
              </w:rPr>
            </w:pPr>
            <w:r>
              <w:rPr>
                <w:sz w:val="4"/>
                <w:szCs w:val="4"/>
              </w:rPr>
            </w:r>
          </w:p>
        </w:tc>
        <w:tc>
          <w:tcPr>
            <w:tcW w:w="1107" w:type="dxa"/>
            <w:tcBorders/>
            <w:shd w:fill="auto" w:val="clear"/>
            <w:vAlign w:val="center"/>
          </w:tcPr>
          <w:p>
            <w:pPr>
              <w:pStyle w:val="TableContents"/>
              <w:spacing w:before="0" w:after="0"/>
              <w:ind w:left="0" w:right="0" w:hanging="0"/>
              <w:jc w:val="left"/>
              <w:rPr/>
            </w:pPr>
            <w:r>
              <w:rPr/>
              <w:t> </w:t>
            </w:r>
          </w:p>
        </w:tc>
        <w:tc>
          <w:tcPr>
            <w:tcW w:w="941" w:type="dxa"/>
            <w:tcBorders/>
            <w:shd w:fill="auto" w:val="clear"/>
            <w:vAlign w:val="center"/>
          </w:tcPr>
          <w:p>
            <w:pPr>
              <w:pStyle w:val="TableContents"/>
              <w:spacing w:before="0" w:after="0"/>
              <w:ind w:left="0" w:right="0" w:hanging="0"/>
              <w:jc w:val="left"/>
              <w:rPr/>
            </w:pPr>
            <w:r>
              <w:rPr/>
              <w:t> </w:t>
            </w:r>
          </w:p>
        </w:tc>
        <w:tc>
          <w:tcPr>
            <w:tcW w:w="677"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4,987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5,038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48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89" w:type="dxa"/>
            <w:tcBorders/>
            <w:shd w:fill="auto" w:val="clear"/>
            <w:vAlign w:val="center"/>
          </w:tcPr>
          <w:p>
            <w:pPr>
              <w:pStyle w:val="TableContents"/>
              <w:spacing w:before="0" w:after="283"/>
              <w:ind w:left="0" w:right="0" w:hanging="0"/>
              <w:rPr>
                <w:sz w:val="4"/>
                <w:szCs w:val="4"/>
              </w:rPr>
            </w:pPr>
            <w:r>
              <w:rPr>
                <w:sz w:val="4"/>
                <w:szCs w:val="4"/>
              </w:rPr>
            </w:r>
          </w:p>
        </w:tc>
        <w:tc>
          <w:tcPr>
            <w:tcW w:w="1107" w:type="dxa"/>
            <w:tcBorders/>
            <w:shd w:fill="auto" w:val="clear"/>
            <w:vAlign w:val="center"/>
          </w:tcPr>
          <w:p>
            <w:pPr>
              <w:pStyle w:val="TableContents"/>
              <w:spacing w:before="0" w:after="0"/>
              <w:ind w:left="0" w:right="0" w:hanging="0"/>
              <w:jc w:val="left"/>
              <w:rPr/>
            </w:pPr>
            <w:r>
              <w:rPr/>
              <w:t> </w:t>
            </w:r>
          </w:p>
        </w:tc>
        <w:tc>
          <w:tcPr>
            <w:tcW w:w="941" w:type="dxa"/>
            <w:tcBorders/>
            <w:shd w:fill="auto" w:val="clear"/>
            <w:vAlign w:val="center"/>
          </w:tcPr>
          <w:p>
            <w:pPr>
              <w:pStyle w:val="TableContents"/>
              <w:spacing w:before="0" w:after="0"/>
              <w:ind w:left="0" w:right="0" w:hanging="0"/>
              <w:jc w:val="left"/>
              <w:rPr/>
            </w:pPr>
            <w:r>
              <w:rPr/>
              <w:t> </w:t>
            </w:r>
          </w:p>
        </w:tc>
        <w:tc>
          <w:tcPr>
            <w:tcW w:w="677"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3" w:type="dxa"/>
            <w:tcBorders/>
            <w:shd w:fill="auto" w:val="clear"/>
            <w:vAlign w:val="center"/>
          </w:tcPr>
          <w:p>
            <w:pPr>
              <w:pStyle w:val="TableContents"/>
              <w:spacing w:before="0" w:after="0"/>
              <w:ind w:left="0" w:right="0" w:hanging="0"/>
              <w:jc w:val="left"/>
              <w:rPr/>
            </w:pPr>
            <w:r>
              <w:rPr/>
              <w:t> </w:t>
            </w:r>
          </w:p>
        </w:tc>
      </w:tr>
      <w:tr>
        <w:trPr/>
        <w:tc>
          <w:tcPr>
            <w:tcW w:w="2989" w:type="dxa"/>
            <w:tcBorders/>
            <w:shd w:fill="auto" w:val="clear"/>
            <w:vAlign w:val="center"/>
          </w:tcPr>
          <w:p>
            <w:pPr>
              <w:pStyle w:val="TableContents"/>
              <w:spacing w:before="0" w:after="0"/>
              <w:ind w:left="0" w:right="0" w:hanging="0"/>
              <w:jc w:val="left"/>
              <w:rPr>
                <w:rFonts w:ascii="Times New Roman;serif" w:hAnsi="Times New Roman;serif"/>
                <w:b/>
                <w:sz w:val="10"/>
              </w:rPr>
            </w:pPr>
            <w:r>
              <w:rPr>
                <w:rFonts w:ascii="Times New Roman;serif" w:hAnsi="Times New Roman;serif"/>
                <w:b/>
                <w:sz w:val="10"/>
              </w:rPr>
              <w:t>Total Non-control/Non-affiliate Investments</w:t>
            </w:r>
          </w:p>
        </w:tc>
        <w:tc>
          <w:tcPr>
            <w:tcW w:w="1107" w:type="dxa"/>
            <w:tcBorders/>
            <w:shd w:fill="auto" w:val="clear"/>
            <w:vAlign w:val="center"/>
          </w:tcPr>
          <w:p>
            <w:pPr>
              <w:pStyle w:val="TableContents"/>
              <w:spacing w:before="0" w:after="0"/>
              <w:ind w:left="0" w:right="0" w:hanging="0"/>
              <w:jc w:val="left"/>
              <w:rPr/>
            </w:pPr>
            <w:r>
              <w:rPr/>
              <w:t> </w:t>
            </w:r>
          </w:p>
        </w:tc>
        <w:tc>
          <w:tcPr>
            <w:tcW w:w="941" w:type="dxa"/>
            <w:tcBorders/>
            <w:shd w:fill="auto" w:val="clear"/>
            <w:vAlign w:val="center"/>
          </w:tcPr>
          <w:p>
            <w:pPr>
              <w:pStyle w:val="TableContents"/>
              <w:spacing w:before="0" w:after="0"/>
              <w:ind w:left="0" w:right="0" w:hanging="0"/>
              <w:jc w:val="left"/>
              <w:rPr/>
            </w:pPr>
            <w:r>
              <w:rPr/>
              <w:t> </w:t>
            </w:r>
          </w:p>
        </w:tc>
        <w:tc>
          <w:tcPr>
            <w:tcW w:w="677"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791,325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798,287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165</w:t>
            </w:r>
          </w:p>
        </w:tc>
        <w:tc>
          <w:tcPr>
            <w:tcW w:w="48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89" w:type="dxa"/>
            <w:tcBorders/>
            <w:shd w:fill="auto" w:val="clear"/>
            <w:vAlign w:val="center"/>
          </w:tcPr>
          <w:p>
            <w:pPr>
              <w:pStyle w:val="TableContents"/>
              <w:spacing w:before="0" w:after="283"/>
              <w:ind w:left="0" w:right="0" w:hanging="0"/>
              <w:rPr>
                <w:sz w:val="4"/>
                <w:szCs w:val="4"/>
              </w:rPr>
            </w:pPr>
            <w:r>
              <w:rPr>
                <w:sz w:val="4"/>
                <w:szCs w:val="4"/>
              </w:rPr>
            </w:r>
          </w:p>
        </w:tc>
        <w:tc>
          <w:tcPr>
            <w:tcW w:w="1107" w:type="dxa"/>
            <w:tcBorders/>
            <w:shd w:fill="auto" w:val="clear"/>
            <w:vAlign w:val="center"/>
          </w:tcPr>
          <w:p>
            <w:pPr>
              <w:pStyle w:val="TableContents"/>
              <w:spacing w:before="0" w:after="0"/>
              <w:ind w:left="0" w:right="0" w:hanging="0"/>
              <w:jc w:val="left"/>
              <w:rPr/>
            </w:pPr>
            <w:r>
              <w:rPr/>
              <w:t> </w:t>
            </w:r>
          </w:p>
        </w:tc>
        <w:tc>
          <w:tcPr>
            <w:tcW w:w="941" w:type="dxa"/>
            <w:tcBorders/>
            <w:shd w:fill="auto" w:val="clear"/>
            <w:vAlign w:val="center"/>
          </w:tcPr>
          <w:p>
            <w:pPr>
              <w:pStyle w:val="TableContents"/>
              <w:spacing w:before="0" w:after="0"/>
              <w:ind w:left="0" w:right="0" w:hanging="0"/>
              <w:jc w:val="left"/>
              <w:rPr/>
            </w:pPr>
            <w:r>
              <w:rPr/>
              <w:t> </w:t>
            </w:r>
          </w:p>
        </w:tc>
        <w:tc>
          <w:tcPr>
            <w:tcW w:w="677"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3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3" w:type="dxa"/>
            <w:tcBorders/>
            <w:shd w:fill="auto" w:val="clear"/>
            <w:vAlign w:val="center"/>
          </w:tcPr>
          <w:p>
            <w:pPr>
              <w:pStyle w:val="TableContents"/>
              <w:spacing w:before="0" w:after="0"/>
              <w:ind w:left="0" w:right="0" w:hanging="0"/>
              <w:jc w:val="left"/>
              <w:rPr/>
            </w:pPr>
            <w:r>
              <w:rPr/>
              <w:t> </w:t>
            </w:r>
          </w:p>
        </w:tc>
      </w:tr>
      <w:tr>
        <w:trPr/>
        <w:tc>
          <w:tcPr>
            <w:tcW w:w="2989" w:type="dxa"/>
            <w:tcBorders/>
            <w:shd w:fill="auto" w:val="clear"/>
            <w:vAlign w:val="center"/>
          </w:tcPr>
          <w:p>
            <w:pPr>
              <w:pStyle w:val="TableContents"/>
              <w:spacing w:before="0" w:after="0"/>
              <w:ind w:left="0" w:right="0" w:hanging="0"/>
              <w:jc w:val="left"/>
              <w:rPr>
                <w:rFonts w:ascii="Times New Roman;serif" w:hAnsi="Times New Roman;serif"/>
                <w:b/>
                <w:sz w:val="10"/>
              </w:rPr>
            </w:pPr>
            <w:r>
              <w:rPr>
                <w:rFonts w:ascii="Times New Roman;serif" w:hAnsi="Times New Roman;serif"/>
                <w:b/>
                <w:sz w:val="10"/>
              </w:rPr>
              <w:t>Total Investments</w:t>
            </w:r>
          </w:p>
        </w:tc>
        <w:tc>
          <w:tcPr>
            <w:tcW w:w="1107" w:type="dxa"/>
            <w:tcBorders/>
            <w:shd w:fill="auto" w:val="clear"/>
            <w:vAlign w:val="center"/>
          </w:tcPr>
          <w:p>
            <w:pPr>
              <w:pStyle w:val="TableContents"/>
              <w:spacing w:before="0" w:after="0"/>
              <w:ind w:left="0" w:right="0" w:hanging="0"/>
              <w:jc w:val="left"/>
              <w:rPr/>
            </w:pPr>
            <w:r>
              <w:rPr/>
              <w:t> </w:t>
            </w:r>
          </w:p>
        </w:tc>
        <w:tc>
          <w:tcPr>
            <w:tcW w:w="941" w:type="dxa"/>
            <w:tcBorders/>
            <w:shd w:fill="auto" w:val="clear"/>
            <w:vAlign w:val="center"/>
          </w:tcPr>
          <w:p>
            <w:pPr>
              <w:pStyle w:val="TableContents"/>
              <w:spacing w:before="0" w:after="0"/>
              <w:ind w:left="0" w:right="0" w:hanging="0"/>
              <w:jc w:val="left"/>
              <w:rPr/>
            </w:pPr>
            <w:r>
              <w:rPr/>
              <w:t> </w:t>
            </w:r>
          </w:p>
        </w:tc>
        <w:tc>
          <w:tcPr>
            <w:tcW w:w="677"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864,980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897,324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185</w:t>
            </w:r>
          </w:p>
        </w:tc>
        <w:tc>
          <w:tcPr>
            <w:tcW w:w="48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89" w:type="dxa"/>
            <w:tcBorders/>
            <w:shd w:fill="auto" w:val="clear"/>
            <w:vAlign w:val="center"/>
          </w:tcPr>
          <w:p>
            <w:pPr>
              <w:pStyle w:val="TableContents"/>
              <w:spacing w:before="0" w:after="283"/>
              <w:ind w:left="0" w:right="0" w:hanging="0"/>
              <w:rPr>
                <w:sz w:val="4"/>
                <w:szCs w:val="4"/>
              </w:rPr>
            </w:pPr>
            <w:r>
              <w:rPr>
                <w:sz w:val="4"/>
                <w:szCs w:val="4"/>
              </w:rPr>
            </w:r>
          </w:p>
        </w:tc>
        <w:tc>
          <w:tcPr>
            <w:tcW w:w="1107" w:type="dxa"/>
            <w:tcBorders/>
            <w:shd w:fill="auto" w:val="clear"/>
            <w:vAlign w:val="center"/>
          </w:tcPr>
          <w:p>
            <w:pPr>
              <w:pStyle w:val="TableContents"/>
              <w:spacing w:before="0" w:after="0"/>
              <w:ind w:left="0" w:right="0" w:hanging="0"/>
              <w:jc w:val="left"/>
              <w:rPr/>
            </w:pPr>
            <w:r>
              <w:rPr/>
              <w:t> </w:t>
            </w:r>
          </w:p>
        </w:tc>
        <w:tc>
          <w:tcPr>
            <w:tcW w:w="941" w:type="dxa"/>
            <w:tcBorders/>
            <w:shd w:fill="auto" w:val="clear"/>
            <w:vAlign w:val="center"/>
          </w:tcPr>
          <w:p>
            <w:pPr>
              <w:pStyle w:val="TableContents"/>
              <w:spacing w:before="0" w:after="0"/>
              <w:ind w:left="0" w:right="0" w:hanging="0"/>
              <w:jc w:val="left"/>
              <w:rPr/>
            </w:pPr>
            <w:r>
              <w:rPr/>
              <w:t> </w:t>
            </w:r>
          </w:p>
        </w:tc>
        <w:tc>
          <w:tcPr>
            <w:tcW w:w="677"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83" w:type="dxa"/>
            <w:tcBorders/>
            <w:shd w:fill="auto" w:val="clear"/>
            <w:vAlign w:val="center"/>
          </w:tcPr>
          <w:p>
            <w:pPr>
              <w:pStyle w:val="TableContents"/>
              <w:spacing w:before="0" w:after="0"/>
              <w:ind w:left="0" w:right="0" w:hanging="0"/>
              <w:jc w:val="left"/>
              <w:rPr/>
            </w:pPr>
            <w:r>
              <w:rPr/>
              <w:t> </w:t>
            </w:r>
          </w:p>
        </w:tc>
      </w:tr>
      <w:tr>
        <w:trPr/>
        <w:tc>
          <w:tcPr>
            <w:tcW w:w="2989" w:type="dxa"/>
            <w:tcBorders/>
            <w:shd w:fill="auto" w:val="clear"/>
            <w:vAlign w:val="center"/>
          </w:tcPr>
          <w:p>
            <w:pPr>
              <w:pStyle w:val="TableContents"/>
              <w:spacing w:before="0" w:after="0"/>
              <w:ind w:left="0" w:right="0" w:hanging="0"/>
              <w:jc w:val="left"/>
              <w:rPr>
                <w:rFonts w:ascii="Times New Roman;serif" w:hAnsi="Times New Roman;serif"/>
                <w:b/>
                <w:sz w:val="10"/>
              </w:rPr>
            </w:pPr>
            <w:r>
              <w:rPr>
                <w:rFonts w:ascii="Times New Roman;serif" w:hAnsi="Times New Roman;serif"/>
                <w:b/>
                <w:sz w:val="10"/>
              </w:rPr>
              <w:t>Money market funds (included in cash and cash equivalents)</w:t>
            </w:r>
          </w:p>
        </w:tc>
        <w:tc>
          <w:tcPr>
            <w:tcW w:w="1107" w:type="dxa"/>
            <w:tcBorders/>
            <w:shd w:fill="auto" w:val="clear"/>
            <w:vAlign w:val="center"/>
          </w:tcPr>
          <w:p>
            <w:pPr>
              <w:pStyle w:val="TableContents"/>
              <w:spacing w:before="0" w:after="0"/>
              <w:ind w:left="0" w:right="0" w:hanging="0"/>
              <w:jc w:val="left"/>
              <w:rPr/>
            </w:pPr>
            <w:r>
              <w:rPr/>
              <w:t> </w:t>
            </w:r>
          </w:p>
        </w:tc>
        <w:tc>
          <w:tcPr>
            <w:tcW w:w="941" w:type="dxa"/>
            <w:tcBorders/>
            <w:shd w:fill="auto" w:val="clear"/>
            <w:vAlign w:val="center"/>
          </w:tcPr>
          <w:p>
            <w:pPr>
              <w:pStyle w:val="TableContents"/>
              <w:spacing w:before="0" w:after="0"/>
              <w:ind w:left="0" w:right="0" w:hanging="0"/>
              <w:jc w:val="left"/>
              <w:rPr/>
            </w:pPr>
            <w:r>
              <w:rPr/>
              <w:t> </w:t>
            </w:r>
          </w:p>
        </w:tc>
        <w:tc>
          <w:tcPr>
            <w:tcW w:w="677"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83" w:type="dxa"/>
            <w:tcBorders/>
            <w:shd w:fill="auto" w:val="clear"/>
            <w:vAlign w:val="center"/>
          </w:tcPr>
          <w:p>
            <w:pPr>
              <w:pStyle w:val="TableContents"/>
              <w:spacing w:before="0" w:after="0"/>
              <w:ind w:left="0" w:right="0" w:firstLine="160"/>
              <w:jc w:val="left"/>
              <w:rPr/>
            </w:pPr>
            <w:r>
              <w:rPr/>
              <w:t> </w:t>
            </w:r>
          </w:p>
        </w:tc>
      </w:tr>
      <w:tr>
        <w:trPr/>
        <w:tc>
          <w:tcPr>
            <w:tcW w:w="2989" w:type="dxa"/>
            <w:tcBorders/>
            <w:shd w:fill="auto" w:val="clear"/>
            <w:vAlign w:val="center"/>
          </w:tcPr>
          <w:p>
            <w:pPr>
              <w:pStyle w:val="TableContents"/>
              <w:spacing w:before="0" w:after="0"/>
              <w:ind w:left="160" w:right="0" w:hanging="0"/>
              <w:jc w:val="left"/>
              <w:rPr>
                <w:rFonts w:ascii="Times New Roman;serif" w:hAnsi="Times New Roman;serif"/>
                <w:b w:val="false"/>
                <w:sz w:val="10"/>
              </w:rPr>
            </w:pPr>
            <w:r>
              <w:rPr>
                <w:rFonts w:ascii="Times New Roman;serif" w:hAnsi="Times New Roman;serif"/>
                <w:b w:val="false"/>
                <w:sz w:val="10"/>
              </w:rPr>
              <w:t>Goldman Sachs Financial Square Treasury Obligation Institution CUSIP (38141W323) (ad)</w:t>
            </w:r>
          </w:p>
        </w:tc>
        <w:tc>
          <w:tcPr>
            <w:tcW w:w="1107" w:type="dxa"/>
            <w:tcBorders/>
            <w:shd w:fill="auto" w:val="clear"/>
            <w:vAlign w:val="center"/>
          </w:tcPr>
          <w:p>
            <w:pPr>
              <w:pStyle w:val="TableContents"/>
              <w:spacing w:before="0" w:after="0"/>
              <w:ind w:left="0" w:right="0" w:hanging="0"/>
              <w:jc w:val="left"/>
              <w:rPr/>
            </w:pPr>
            <w:r>
              <w:rPr/>
              <w:t> </w:t>
            </w:r>
          </w:p>
        </w:tc>
        <w:tc>
          <w:tcPr>
            <w:tcW w:w="941" w:type="dxa"/>
            <w:tcBorders/>
            <w:shd w:fill="auto" w:val="clear"/>
            <w:vAlign w:val="center"/>
          </w:tcPr>
          <w:p>
            <w:pPr>
              <w:pStyle w:val="TableContents"/>
              <w:spacing w:before="0" w:after="0"/>
              <w:ind w:left="0" w:right="0" w:hanging="0"/>
              <w:jc w:val="left"/>
              <w:rPr/>
            </w:pPr>
            <w:r>
              <w:rPr/>
              <w:t> </w:t>
            </w:r>
          </w:p>
        </w:tc>
        <w:tc>
          <w:tcPr>
            <w:tcW w:w="677"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35,380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35,380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w:t>
            </w:r>
          </w:p>
        </w:tc>
        <w:tc>
          <w:tcPr>
            <w:tcW w:w="483" w:type="dxa"/>
            <w:tcBorders/>
            <w:shd w:fill="auto" w:val="clear"/>
            <w:vAlign w:val="center"/>
          </w:tcPr>
          <w:p>
            <w:pPr>
              <w:pStyle w:val="TableContents"/>
              <w:spacing w:before="0" w:after="0"/>
              <w:ind w:left="0" w:right="0" w:firstLine="240"/>
              <w:jc w:val="left"/>
              <w:rPr>
                <w:rFonts w:ascii="Times New Roman;serif" w:hAnsi="Times New Roman;serif"/>
                <w:b w:val="false"/>
                <w:sz w:val="10"/>
              </w:rPr>
            </w:pPr>
            <w:r>
              <w:rPr>
                <w:rFonts w:ascii="Times New Roman;serif" w:hAnsi="Times New Roman;serif"/>
                <w:b w:val="false"/>
                <w:sz w:val="10"/>
              </w:rPr>
              <w:t>%</w:t>
            </w:r>
          </w:p>
        </w:tc>
      </w:tr>
      <w:tr>
        <w:trPr/>
        <w:tc>
          <w:tcPr>
            <w:tcW w:w="2989" w:type="dxa"/>
            <w:tcBorders/>
            <w:shd w:fill="auto" w:val="clear"/>
            <w:vAlign w:val="center"/>
          </w:tcPr>
          <w:p>
            <w:pPr>
              <w:pStyle w:val="TableContents"/>
              <w:spacing w:before="0" w:after="0"/>
              <w:ind w:left="240" w:right="0" w:hanging="0"/>
              <w:jc w:val="left"/>
              <w:rPr>
                <w:rFonts w:ascii="Times New Roman;serif" w:hAnsi="Times New Roman;serif"/>
                <w:b/>
                <w:sz w:val="10"/>
              </w:rPr>
            </w:pPr>
            <w:r>
              <w:rPr>
                <w:rFonts w:ascii="Times New Roman;serif" w:hAnsi="Times New Roman;serif"/>
                <w:b/>
                <w:sz w:val="10"/>
              </w:rPr>
              <w:t>Total money market funds</w:t>
            </w:r>
          </w:p>
        </w:tc>
        <w:tc>
          <w:tcPr>
            <w:tcW w:w="1107" w:type="dxa"/>
            <w:tcBorders/>
            <w:shd w:fill="auto" w:val="clear"/>
            <w:vAlign w:val="center"/>
          </w:tcPr>
          <w:p>
            <w:pPr>
              <w:pStyle w:val="TableContents"/>
              <w:spacing w:before="0" w:after="0"/>
              <w:ind w:left="0" w:right="0" w:hanging="0"/>
              <w:jc w:val="left"/>
              <w:rPr/>
            </w:pPr>
            <w:r>
              <w:rPr/>
              <w:t> </w:t>
            </w:r>
          </w:p>
        </w:tc>
        <w:tc>
          <w:tcPr>
            <w:tcW w:w="941" w:type="dxa"/>
            <w:tcBorders/>
            <w:shd w:fill="auto" w:val="clear"/>
            <w:vAlign w:val="center"/>
          </w:tcPr>
          <w:p>
            <w:pPr>
              <w:pStyle w:val="TableContents"/>
              <w:spacing w:before="0" w:after="0"/>
              <w:ind w:left="0" w:right="0" w:hanging="0"/>
              <w:jc w:val="left"/>
              <w:rPr/>
            </w:pPr>
            <w:r>
              <w:rPr/>
              <w:t> </w:t>
            </w:r>
          </w:p>
        </w:tc>
        <w:tc>
          <w:tcPr>
            <w:tcW w:w="677"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35,380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35,380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w:t>
            </w:r>
          </w:p>
        </w:tc>
        <w:tc>
          <w:tcPr>
            <w:tcW w:w="483"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r>
      <w:tr>
        <w:trPr/>
        <w:tc>
          <w:tcPr>
            <w:tcW w:w="2989" w:type="dxa"/>
            <w:tcBorders/>
            <w:shd w:fill="auto" w:val="clear"/>
            <w:vAlign w:val="center"/>
          </w:tcPr>
          <w:p>
            <w:pPr>
              <w:pStyle w:val="TableContents"/>
              <w:spacing w:before="0" w:after="0"/>
              <w:ind w:left="0" w:right="0" w:hanging="0"/>
              <w:jc w:val="left"/>
              <w:rPr>
                <w:rFonts w:ascii="Times New Roman;serif" w:hAnsi="Times New Roman;serif"/>
                <w:b/>
                <w:sz w:val="10"/>
              </w:rPr>
            </w:pPr>
            <w:r>
              <w:rPr>
                <w:rFonts w:ascii="Times New Roman;serif" w:hAnsi="Times New Roman;serif"/>
                <w:b/>
                <w:sz w:val="10"/>
              </w:rPr>
              <w:t>Total Investments and Money Market Funds</w:t>
            </w:r>
          </w:p>
        </w:tc>
        <w:tc>
          <w:tcPr>
            <w:tcW w:w="1107" w:type="dxa"/>
            <w:tcBorders/>
            <w:shd w:fill="auto" w:val="clear"/>
            <w:vAlign w:val="center"/>
          </w:tcPr>
          <w:p>
            <w:pPr>
              <w:pStyle w:val="TableContents"/>
              <w:spacing w:before="0" w:after="0"/>
              <w:ind w:left="0" w:right="0" w:hanging="0"/>
              <w:jc w:val="left"/>
              <w:rPr/>
            </w:pPr>
            <w:r>
              <w:rPr/>
              <w:t> </w:t>
            </w:r>
          </w:p>
        </w:tc>
        <w:tc>
          <w:tcPr>
            <w:tcW w:w="941" w:type="dxa"/>
            <w:tcBorders/>
            <w:shd w:fill="auto" w:val="clear"/>
            <w:vAlign w:val="center"/>
          </w:tcPr>
          <w:p>
            <w:pPr>
              <w:pStyle w:val="TableContents"/>
              <w:spacing w:before="0" w:after="0"/>
              <w:ind w:left="0" w:right="0" w:hanging="0"/>
              <w:jc w:val="left"/>
              <w:rPr/>
            </w:pPr>
            <w:r>
              <w:rPr/>
              <w:t> </w:t>
            </w:r>
          </w:p>
        </w:tc>
        <w:tc>
          <w:tcPr>
            <w:tcW w:w="677"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900,360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932,704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192</w:t>
            </w:r>
          </w:p>
        </w:tc>
        <w:tc>
          <w:tcPr>
            <w:tcW w:w="483" w:type="dxa"/>
            <w:tcBorders/>
            <w:shd w:fill="auto" w:val="clear"/>
            <w:vAlign w:val="center"/>
          </w:tcPr>
          <w:p>
            <w:pPr>
              <w:pStyle w:val="TableContents"/>
              <w:spacing w:before="0" w:after="0"/>
              <w:ind w:left="0" w:right="0" w:firstLine="160"/>
              <w:jc w:val="left"/>
              <w:rPr>
                <w:rFonts w:ascii="Times New Roman;serif" w:hAnsi="Times New Roman;serif"/>
                <w:b w:val="false"/>
                <w:sz w:val="10"/>
              </w:rPr>
            </w:pPr>
            <w:r>
              <w:rPr>
                <w:rFonts w:ascii="Times New Roman;serif" w:hAnsi="Times New Roman;serif"/>
                <w:b w:val="false"/>
                <w:sz w:val="10"/>
              </w:rPr>
              <w:t>%</w:t>
            </w:r>
          </w:p>
        </w:tc>
      </w:tr>
      <w:tr>
        <w:trPr/>
        <w:tc>
          <w:tcPr>
            <w:tcW w:w="2989" w:type="dxa"/>
            <w:tcBorders/>
            <w:shd w:fill="auto" w:val="clear"/>
            <w:vAlign w:val="center"/>
          </w:tcPr>
          <w:p>
            <w:pPr>
              <w:pStyle w:val="TableContents"/>
              <w:spacing w:before="0" w:after="0"/>
              <w:ind w:left="160" w:right="0" w:hanging="0"/>
              <w:jc w:val="left"/>
              <w:rPr/>
            </w:pPr>
            <w:r>
              <w:rPr/>
              <w:t> </w:t>
            </w:r>
          </w:p>
        </w:tc>
        <w:tc>
          <w:tcPr>
            <w:tcW w:w="1107" w:type="dxa"/>
            <w:tcBorders/>
            <w:shd w:fill="auto" w:val="clear"/>
            <w:vAlign w:val="center"/>
          </w:tcPr>
          <w:p>
            <w:pPr>
              <w:pStyle w:val="TableContents"/>
              <w:spacing w:before="0" w:after="0"/>
              <w:ind w:left="0" w:right="0" w:hanging="0"/>
              <w:jc w:val="left"/>
              <w:rPr/>
            </w:pPr>
            <w:r>
              <w:rPr/>
              <w:t> </w:t>
            </w:r>
          </w:p>
        </w:tc>
        <w:tc>
          <w:tcPr>
            <w:tcW w:w="941" w:type="dxa"/>
            <w:tcBorders/>
            <w:shd w:fill="auto" w:val="clear"/>
            <w:vAlign w:val="center"/>
          </w:tcPr>
          <w:p>
            <w:pPr>
              <w:pStyle w:val="TableContents"/>
              <w:spacing w:before="0" w:after="0"/>
              <w:ind w:left="0" w:right="0" w:hanging="0"/>
              <w:jc w:val="left"/>
              <w:rPr/>
            </w:pPr>
            <w:r>
              <w:rPr/>
              <w:t> </w:t>
            </w:r>
          </w:p>
        </w:tc>
        <w:tc>
          <w:tcPr>
            <w:tcW w:w="677"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500" w:type="dxa"/>
            <w:tcBorders/>
            <w:shd w:fill="auto" w:val="clear"/>
            <w:vAlign w:val="center"/>
          </w:tcPr>
          <w:p>
            <w:pPr>
              <w:pStyle w:val="TableContents"/>
              <w:spacing w:before="0" w:after="0"/>
              <w:ind w:left="0" w:right="0" w:hanging="0"/>
              <w:jc w:val="left"/>
              <w:rPr/>
            </w:pPr>
            <w:r>
              <w:rPr/>
              <w:t> </w:t>
            </w:r>
          </w:p>
        </w:tc>
        <w:tc>
          <w:tcPr>
            <w:tcW w:w="52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83"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pBdr>
          <w:bottom w:val="single" w:sz="6" w:space="1" w:color="000000"/>
        </w:pBdr>
        <w:spacing w:before="0" w:after="0"/>
        <w:jc w:val="left"/>
        <w:rPr/>
      </w:pPr>
      <w:r>
        <w:rPr/>
        <w:t> </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(a) See Note 3 to the consolidated financial statements for portfolio composition by geographic location.</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(b) Equity ownership may be held in shares or units of companies related to the portfolio companies.</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(c) All debt investments are income producing, unless otherwise indicated. Equity investments are non-income producing unless otherwise noted.</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(d) Variable rate investments bear interest at a rate indexed to LIBOR (L), Prime (P) or SOFR (S), which are reset monthly, bimonthly, quarterly, or semi-annually. Certain variable rate investments also include a LIBOR, Prime or SOFR interest rate floor. For each investment, the Company has provided the spread over the reference rate and the LIBOR, Prime or SOFR floor, if any, as of March 31, 2023.</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(e) Rate includes the cash interest or dividend rate and paid-in-kind interest or dividend rate, if any, as of March 31, 2023. Generally, payment-in-kind interest can be paid-in-kind or all in cash.</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(f) Investment date represents the date of the initial investment in the security.</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(g) 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(h) Investment is held by a taxable subsidiary of the Company.</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(i) The disclosed commitment represents the unfunded amount as of March 31, 2023. The Company is earning 0.50% interest on the unfunded balance of the commitment. The interest rate disclosed represents the rate which will be earned if the commitment is funded.</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(j) 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(k) 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(l) 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(m) Warrants entitle the Company to purchase a predetermined number of shares or units of common equity, and are non-income producing. The purchase price and number of shares are subject to adjustment under certain conditions until the expiration date, if any.</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(n) Investment in portfolio company that has sold its operations and is in the process of winding down.</w:t>
      </w:r>
    </w:p>
    <w:p>
      <w:pPr>
        <w:pStyle w:val="TextBody"/>
        <w:spacing w:before="20" w:after="0"/>
        <w:jc w:val="left"/>
        <w:rPr>
          <w:rFonts w:ascii="Times New Roman" w:hAnsi="Times New Roman"/>
          <w:sz w:val="20"/>
        </w:rPr>
      </w:pPr>
      <w:r>
        <w:rPr>
          <w:rFonts w:ascii="Times New Roman;serif" w:hAnsi="Times New Roman;serif"/>
          <w:b w:val="false"/>
          <w:sz w:val="12"/>
        </w:rPr>
        <w:t>(o) The Company sold a participating interest of approximately $0.3</w:t>
      </w:r>
      <w:r>
        <w:rPr>
          <w:rFonts w:ascii="Times New Roman" w:hAnsi="Times New Roman"/>
          <w:sz w:val="20"/>
        </w:rPr>
        <w:t xml:space="preserve"> </w:t>
      </w:r>
      <w:r>
        <w:rPr>
          <w:rFonts w:ascii="Times New Roman;serif" w:hAnsi="Times New Roman;serif"/>
          <w:b w:val="false"/>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(p) In addition to the interest earned based on the stated interest rate of this security, the Company is entitled to receive an additional interest amount of 5.35%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(q) In addition to the interest earned based on the stated interest rate of this security, the Company is entitled to receive an additional cash interest amount of 2.00% and PIK interest amount of 0.50%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(r) In addition to the interest earned based on the stated interest rate of this security, the Company is entitled to receive an additional interest amount of 4.16%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(s) In addition to the interest earned based on the stated interest rate of this security, the Company is entitled to receive an additional interest amount of 2.28%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(t) 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pStyle w:val="TextBody"/>
        <w:spacing w:before="20" w:after="0"/>
        <w:jc w:val="left"/>
        <w:rPr>
          <w:rFonts w:ascii="Times New Roman" w:hAnsi="Times New Roman"/>
          <w:sz w:val="20"/>
        </w:rPr>
      </w:pPr>
      <w:r>
        <w:rPr>
          <w:rFonts w:ascii="Times New Roman;serif" w:hAnsi="Times New Roman;serif"/>
          <w:b w:val="false"/>
          <w:sz w:val="12"/>
        </w:rPr>
        <w:t>(u)</w:t>
      </w:r>
      <w:r>
        <w:rPr>
          <w:rFonts w:ascii="Times New Roman" w:hAnsi="Times New Roman"/>
          <w:sz w:val="20"/>
        </w:rPr>
        <w:t xml:space="preserve"> </w:t>
      </w:r>
      <w:r>
        <w:rPr>
          <w:rFonts w:ascii="Times New Roman;serif" w:hAnsi="Times New Roman;serif"/>
          <w:b w:val="false"/>
          <w:sz w:val="12"/>
        </w:rPr>
        <w:t>In addition to the interest earned based on the stated interest rate of this security, the Company is entitled to receive an additional cash interest amount of 2.90% and PIK interest amount of 0.97%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(v) In addition to the interest earned based on the stated interest rate of this security, the Company is entitled to receive an additional interest amount of 3.10%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(w) In addition to the interest earned based on the stated interest rate of this security, the Company is entitled to receive an additional interest amount of 4.90%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20" w:after="0"/>
        <w:jc w:val="left"/>
        <w:rPr>
          <w:rFonts w:ascii="Times New Roman" w:hAnsi="Times New Roman"/>
          <w:sz w:val="20"/>
        </w:rPr>
      </w:pPr>
      <w:r>
        <w:rPr>
          <w:rFonts w:ascii="Times New Roman;serif" w:hAnsi="Times New Roman;serif"/>
          <w:b w:val="false"/>
          <w:sz w:val="12"/>
        </w:rPr>
        <w:t>(x)</w:t>
      </w:r>
      <w:r>
        <w:rPr>
          <w:rFonts w:ascii="Times New Roman" w:hAnsi="Times New Roman"/>
          <w:sz w:val="20"/>
        </w:rPr>
        <w:t xml:space="preserve"> </w:t>
      </w:r>
      <w:r>
        <w:rPr>
          <w:rFonts w:ascii="Times New Roman;serif" w:hAnsi="Times New Roman;serif"/>
          <w:b w:val="false"/>
          <w:sz w:val="12"/>
        </w:rPr>
        <w:t>In addition to the interest earned based on the stated interest rate of this security, the Company is entitled to receive an additional interest amount of 2.71%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(y) Investment was on non-accrual status as of March 31, 2023.</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(z) In addition to the interest earned based on the stated interest rate of this security, the Company is entitled to receive an additional interest amount of 4.40%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20" w:after="0"/>
        <w:jc w:val="left"/>
        <w:rPr>
          <w:rFonts w:ascii="Times New Roman" w:hAnsi="Times New Roman"/>
          <w:sz w:val="20"/>
        </w:rPr>
      </w:pPr>
      <w:r>
        <w:rPr>
          <w:rFonts w:ascii="Times New Roman;serif" w:hAnsi="Times New Roman;serif"/>
          <w:b w:val="false"/>
          <w:sz w:val="12"/>
        </w:rPr>
        <w:t>(aa) The Company sold a participating interest of approximately $4.0</w:t>
      </w:r>
      <w:r>
        <w:rPr>
          <w:rFonts w:ascii="Times New Roman" w:hAnsi="Times New Roman"/>
          <w:sz w:val="20"/>
        </w:rPr>
        <w:t xml:space="preserve"> </w:t>
      </w:r>
      <w:r>
        <w:rPr>
          <w:rFonts w:ascii="Times New Roman;serif" w:hAnsi="Times New Roman;serif"/>
          <w:b w:val="false"/>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(ab) In addition to the interest earned based on the stated interest rate of this security, the Company is entitled to receive an additional interest amount of 7.72%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(ac) The disclosed commitment represents the unfunded amount as of March 31, 2023. The Company is earning 1.00% interest on the unfunded balance of the commitment. The interest rate disclosed represents the rate earned on the outstanding, funded balance of the commitment.</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(ad) This investment is classified as a Level 1 investment. For further detail on the fair value measurements, see Note 4 to the consolidated financial statements.</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(ae) In addition to the interest earned based on the stated interest rate of this security, the Company is entitled to receive an additional interest amount of 3.53%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(af) In addition to the interest earned based on the stated interest rate of this security, the Company is entitled to receive an additional interest amount of 3.29%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(ag) In addition to the interest earned based on the stated interest rate of this security, the Company is entitled to receive an additional interest amount of 4.86%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(ah) In addition to the interest earned based on the stated interest rate of this security, the Company is entitled to receive an additional interest amount of 1.63%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(ai) In addition to the interest earned based on the stated interest rate of this security, the Company is entitled to receive an additional interest amount of 5.22%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(aj) 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(ak) In addition to the interest earned based on the stated interest rate of this security, the Company is entitled to receive an additional interest amount of 4.83%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20" w:after="0"/>
        <w:jc w:val="left"/>
        <w:rPr>
          <w:rFonts w:ascii="Times New Roman" w:hAnsi="Times New Roman"/>
          <w:sz w:val="20"/>
        </w:rPr>
      </w:pPr>
      <w:r>
        <w:rPr>
          <w:rFonts w:ascii="Times New Roman;serif" w:hAnsi="Times New Roman;serif"/>
          <w:b w:val="false"/>
          <w:sz w:val="12"/>
        </w:rPr>
        <w:t>(al)</w:t>
      </w:r>
      <w:r>
        <w:rPr>
          <w:rFonts w:ascii="Times New Roman" w:hAnsi="Times New Roman"/>
          <w:sz w:val="20"/>
        </w:rPr>
        <w:t xml:space="preserve"> </w:t>
      </w:r>
      <w:r>
        <w:rPr>
          <w:rFonts w:ascii="Times New Roman;serif" w:hAnsi="Times New Roman;serif"/>
          <w:b w:val="false"/>
          <w:sz w:val="12"/>
        </w:rPr>
        <w:t>In addition to the interest earned based on the stated interest rate of this security, the Company is entitled to receive an additional interest amount of 5.18%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(am) In addition to the interest earned based on the stated interest rate of this security, the Company is entitled to receive an additional interest amount of 5.37%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20" w:after="0"/>
        <w:jc w:val="left"/>
        <w:rPr>
          <w:rFonts w:ascii="Times New Roman" w:hAnsi="Times New Roman"/>
          <w:sz w:val="20"/>
        </w:rPr>
      </w:pPr>
      <w:r>
        <w:rPr>
          <w:rFonts w:ascii="Times New Roman;serif" w:hAnsi="Times New Roman;serif"/>
          <w:b w:val="false"/>
          <w:sz w:val="12"/>
        </w:rPr>
        <w:t>(an) The Company sold a participating interest of approximately $13.5</w:t>
      </w:r>
      <w:r>
        <w:rPr>
          <w:rFonts w:ascii="Times New Roman" w:hAnsi="Times New Roman"/>
          <w:sz w:val="20"/>
        </w:rPr>
        <w:t xml:space="preserve"> </w:t>
      </w:r>
      <w:r>
        <w:rPr>
          <w:rFonts w:ascii="Times New Roman;serif" w:hAnsi="Times New Roman;serif"/>
          <w:b w:val="false"/>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180"/>
        <w:jc w:val="center"/>
        <w:rPr/>
      </w:pPr>
      <w:r>
        <w:rPr/>
        <w:t> </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March 31, 2023, total non-qualifying assets at fair value represented 1.34% of the Company's total assets calculated in accordance with the 1940 Act.</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(ap) In addition to the interest earned based on the stated interest rate of this security, the Company is entitled to receive an additional cash interest amount of 1.25%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(aq) In addition to the interest earned based on the stated interest rate of this security, the Company is entitled to receive an additional interest amount of 3.73%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20" w:after="0"/>
        <w:jc w:val="left"/>
        <w:rPr>
          <w:rFonts w:ascii="Times New Roman" w:hAnsi="Times New Roman"/>
          <w:sz w:val="20"/>
        </w:rPr>
      </w:pPr>
      <w:r>
        <w:rPr>
          <w:rFonts w:ascii="Times New Roman;serif" w:hAnsi="Times New Roman;serif"/>
          <w:b w:val="false"/>
          <w:sz w:val="12"/>
        </w:rPr>
        <w:t>(ar)</w:t>
      </w:r>
      <w:r>
        <w:rPr>
          <w:rFonts w:ascii="Times New Roman" w:hAnsi="Times New Roman"/>
          <w:sz w:val="20"/>
        </w:rPr>
        <w:t xml:space="preserve"> </w:t>
      </w:r>
      <w:r>
        <w:rPr>
          <w:rFonts w:ascii="Times New Roman;serif" w:hAnsi="Times New Roman;serif"/>
          <w:b w:val="false"/>
          <w:sz w:val="12"/>
        </w:rPr>
        <w:t>In addition to the interest earned based on the stated interest rate of this security, the Company is entitled to receive an additional interest amount of 2.72%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20" w:after="0"/>
        <w:jc w:val="left"/>
        <w:rPr>
          <w:rFonts w:ascii="Times New Roman" w:hAnsi="Times New Roman"/>
          <w:sz w:val="20"/>
        </w:rPr>
      </w:pPr>
      <w:r>
        <w:rPr>
          <w:rFonts w:ascii="Times New Roman;serif" w:hAnsi="Times New Roman;serif"/>
          <w:b w:val="false"/>
          <w:sz w:val="12"/>
        </w:rPr>
        <w:t>(as)</w:t>
      </w:r>
      <w:r>
        <w:rPr>
          <w:rFonts w:ascii="Times New Roman" w:hAnsi="Times New Roman"/>
          <w:sz w:val="20"/>
        </w:rPr>
        <w:t xml:space="preserve"> </w:t>
      </w:r>
      <w:r>
        <w:rPr>
          <w:rFonts w:ascii="Times New Roman;serif" w:hAnsi="Times New Roman;serif"/>
          <w:b w:val="false"/>
          <w:sz w:val="12"/>
        </w:rPr>
        <w:t>In addition to the interest earned based on the stated interest rate of this security, the Company is entitled to receive an additional interest amount of 5.73%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(at) In addition to the interest earned based on the stated interest rate of this security, the Company is entitled to receive an additional interest amount of 2.21%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(au) In addition to the interest earned based on the stated interest rate of this security, the Company is entitled to receive an additional interest amount of 3.25%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(av) In addition to the interest earned based on the stated interest rate of this security, the Company is entitled to receive an additional interest amount of 3.50%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(aw) The headquarters of this portfolio company is located in Canada.</w:t>
      </w:r>
    </w:p>
    <w:p>
      <w:pPr>
        <w:pStyle w:val="TextBody"/>
        <w:spacing w:before="20" w:after="0"/>
        <w:jc w:val="left"/>
        <w:rPr>
          <w:rFonts w:ascii="Times New Roman;serif" w:hAnsi="Times New Roman;serif"/>
          <w:b w:val="false"/>
          <w:sz w:val="12"/>
        </w:rPr>
      </w:pPr>
      <w:r>
        <w:rPr>
          <w:rFonts w:ascii="Times New Roman;serif" w:hAnsi="Times New Roman;serif"/>
          <w:b w:val="false"/>
          <w:sz w:val="12"/>
        </w:rPr>
        <w:t>(ax) The disclosed commitment represents the unfunded amount as of March 31, 2023. The Company is earning 0.75% interest on the unfunded balance of the commitment. The interest rate disclosed represents the rate which will be earned if the commitment is funded.</w:t>
      </w:r>
    </w:p>
    <w:p>
      <w:pPr>
        <w:pStyle w:val="TextBody"/>
        <w:spacing w:before="120" w:after="0"/>
        <w:jc w:val="center"/>
        <w:rPr>
          <w:rFonts w:ascii="Times New Roman;serif" w:hAnsi="Times New Roman;serif"/>
          <w:b w:val="false"/>
          <w:i/>
          <w:sz w:val="12"/>
        </w:rPr>
      </w:pPr>
      <w:r>
        <w:rPr>
          <w:rFonts w:ascii="Times New Roman;serif" w:hAnsi="Times New Roman;serif"/>
          <w:b w:val="false"/>
          <w:i/>
          <w:sz w:val="12"/>
        </w:rPr>
        <w:t>See Notes to Consolidated Financial Statements (unaudited).</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r>
        <w:rPr>
          <w:rFonts w:ascii="Times New Roman;serif" w:hAnsi="Times New Roman;serif"/>
          <w:b/>
          <w:sz w:val="20"/>
        </w:rPr>
        <w:t>Consolidated Schedule of Investments</w:t>
      </w:r>
    </w:p>
    <w:p>
      <w:pPr>
        <w:pStyle w:val="TextBody"/>
        <w:spacing w:before="0" w:after="0"/>
        <w:jc w:val="center"/>
        <w:rPr>
          <w:rFonts w:ascii="Times New Roman;serif" w:hAnsi="Times New Roman;serif"/>
          <w:b/>
          <w:sz w:val="20"/>
        </w:rPr>
      </w:pPr>
      <w:r>
        <w:rPr>
          <w:rFonts w:ascii="Times New Roman;serif" w:hAnsi="Times New Roman;serif"/>
          <w:b/>
          <w:sz w:val="20"/>
        </w:rPr>
        <w:t>December 31, 2022</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shares)</w:t>
      </w:r>
    </w:p>
    <w:p>
      <w:pPr>
        <w:pStyle w:val="TextBody"/>
        <w:spacing w:before="0" w:after="0"/>
        <w:jc w:val="center"/>
        <w:rPr/>
      </w:pPr>
      <w:r>
        <w:rPr/>
        <w:t> </w:t>
      </w:r>
    </w:p>
    <w:tbl>
      <w:tblPr>
        <w:tblW w:w="10205" w:type="dxa"/>
        <w:jc w:val="left"/>
        <w:tblInd w:w="0" w:type="dxa"/>
        <w:tblCellMar>
          <w:top w:w="28" w:type="dxa"/>
          <w:left w:w="28" w:type="dxa"/>
          <w:bottom w:w="28" w:type="dxa"/>
          <w:right w:w="28" w:type="dxa"/>
        </w:tblCellMar>
      </w:tblPr>
      <w:tblGrid>
        <w:gridCol w:w="2304"/>
        <w:gridCol w:w="1461"/>
        <w:gridCol w:w="915"/>
        <w:gridCol w:w="668"/>
        <w:gridCol w:w="691"/>
        <w:gridCol w:w="618"/>
        <w:gridCol w:w="166"/>
        <w:gridCol w:w="436"/>
        <w:gridCol w:w="146"/>
        <w:gridCol w:w="146"/>
        <w:gridCol w:w="166"/>
        <w:gridCol w:w="436"/>
        <w:gridCol w:w="146"/>
        <w:gridCol w:w="146"/>
        <w:gridCol w:w="166"/>
        <w:gridCol w:w="496"/>
        <w:gridCol w:w="146"/>
        <w:gridCol w:w="234"/>
        <w:gridCol w:w="364"/>
        <w:gridCol w:w="354"/>
      </w:tblGrid>
      <w:tr>
        <w:trPr/>
        <w:tc>
          <w:tcPr>
            <w:tcW w:w="2304" w:type="dxa"/>
            <w:tcBorders/>
            <w:shd w:fill="auto" w:val="clear"/>
            <w:vAlign w:val="center"/>
          </w:tcPr>
          <w:p>
            <w:pPr>
              <w:pStyle w:val="TableContents"/>
              <w:spacing w:before="0" w:after="283"/>
              <w:rPr>
                <w:sz w:val="4"/>
                <w:szCs w:val="4"/>
              </w:rPr>
            </w:pPr>
            <w:r>
              <w:rPr>
                <w:sz w:val="4"/>
                <w:szCs w:val="4"/>
              </w:rPr>
            </w:r>
          </w:p>
        </w:tc>
        <w:tc>
          <w:tcPr>
            <w:tcW w:w="1461"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r>
      <w:tr>
        <w:trPr/>
        <w:tc>
          <w:tcPr>
            <w:tcW w:w="2304"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Portfolio Company (a)(b)</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Variable Index</w:t>
            </w:r>
          </w:p>
        </w:tc>
        <w:tc>
          <w:tcPr>
            <w:tcW w:w="668"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Rate (e)</w:t>
            </w:r>
          </w:p>
        </w:tc>
        <w:tc>
          <w:tcPr>
            <w:tcW w:w="691"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Investment</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Principal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Fair</w:t>
            </w:r>
          </w:p>
        </w:tc>
        <w:tc>
          <w:tcPr>
            <w:tcW w:w="146" w:type="dxa"/>
            <w:tcBorders/>
            <w:shd w:fill="auto" w:val="clear"/>
            <w:vAlign w:val="center"/>
          </w:tcPr>
          <w:p>
            <w:pPr>
              <w:pStyle w:val="TableContents"/>
              <w:spacing w:before="0" w:after="0"/>
              <w:ind w:left="0" w:right="0" w:hanging="0"/>
              <w:jc w:val="center"/>
              <w:rPr/>
            </w:pPr>
            <w:r>
              <w:rPr/>
              <w:t> </w:t>
            </w:r>
          </w:p>
        </w:tc>
        <w:tc>
          <w:tcPr>
            <w:tcW w:w="598" w:type="dxa"/>
            <w:gridSpan w:val="2"/>
            <w:tcBorders/>
            <w:shd w:fill="auto" w:val="cle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Percent of</w:t>
            </w:r>
          </w:p>
        </w:tc>
        <w:tc>
          <w:tcPr>
            <w:tcW w:w="354" w:type="dxa"/>
            <w:tcBorders/>
            <w:shd w:fill="auto" w:val="clear"/>
            <w:vAlign w:val="center"/>
          </w:tcPr>
          <w:p>
            <w:pPr>
              <w:pStyle w:val="TableContents"/>
              <w:spacing w:before="0" w:after="0"/>
              <w:ind w:left="0" w:right="0" w:hanging="0"/>
              <w:jc w:val="center"/>
              <w:rPr/>
            </w:pPr>
            <w:r>
              <w:rPr/>
              <w:t> </w:t>
            </w:r>
          </w:p>
        </w:tc>
      </w:tr>
      <w:tr>
        <w:trPr/>
        <w:tc>
          <w:tcPr>
            <w:tcW w:w="23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Investment Type (c)</w:t>
            </w:r>
          </w:p>
        </w:tc>
        <w:tc>
          <w:tcPr>
            <w:tcW w:w="14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Industry</w:t>
            </w:r>
          </w:p>
        </w:tc>
        <w:tc>
          <w:tcPr>
            <w:tcW w:w="9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Spread / Floor (d)</w:t>
            </w:r>
          </w:p>
        </w:tc>
        <w:tc>
          <w:tcPr>
            <w:tcW w:w="6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Cash/PIK</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Date (f)</w:t>
            </w:r>
          </w:p>
        </w:tc>
        <w:tc>
          <w:tcPr>
            <w:tcW w:w="61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Maturity</w:t>
            </w:r>
          </w:p>
        </w:tc>
        <w:tc>
          <w:tcPr>
            <w:tcW w:w="6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Value (g)</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9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Net Assets</w:t>
            </w:r>
          </w:p>
        </w:tc>
        <w:tc>
          <w:tcPr>
            <w:tcW w:w="3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04" w:type="dxa"/>
            <w:tcBorders/>
            <w:shd w:fill="auto" w:val="clear"/>
            <w:vAlign w:val="center"/>
          </w:tcPr>
          <w:p>
            <w:pPr>
              <w:pStyle w:val="TableContents"/>
              <w:spacing w:before="0" w:after="0"/>
              <w:ind w:left="0" w:right="0" w:hanging="0"/>
              <w:jc w:val="left"/>
              <w:rPr/>
            </w:pPr>
            <w:r>
              <w:rPr/>
              <w:t> </w:t>
            </w:r>
          </w:p>
        </w:tc>
        <w:tc>
          <w:tcPr>
            <w:tcW w:w="1461" w:type="dxa"/>
            <w:tcBorders/>
            <w:shd w:fill="auto" w:val="clear"/>
            <w:vAlign w:val="center"/>
          </w:tcPr>
          <w:p>
            <w:pPr>
              <w:pStyle w:val="TableContents"/>
              <w:spacing w:before="0" w:after="0"/>
              <w:ind w:left="0" w:right="0" w:hanging="0"/>
              <w:jc w:val="center"/>
              <w:rPr/>
            </w:pPr>
            <w:r>
              <w:rPr/>
              <w:t> </w:t>
            </w:r>
          </w:p>
        </w:tc>
        <w:tc>
          <w:tcPr>
            <w:tcW w:w="915" w:type="dxa"/>
            <w:tcBorders/>
            <w:shd w:fill="auto" w:val="clear"/>
            <w:vAlign w:val="center"/>
          </w:tcPr>
          <w:p>
            <w:pPr>
              <w:pStyle w:val="TableContents"/>
              <w:spacing w:before="0" w:after="0"/>
              <w:ind w:left="0" w:right="0" w:hanging="0"/>
              <w:jc w:val="center"/>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8" w:type="dxa"/>
            <w:gridSpan w:val="2"/>
            <w:tcBorders/>
            <w:shd w:fill="auto" w:val="clear"/>
            <w:vAlign w:val="center"/>
          </w:tcPr>
          <w:p>
            <w:pPr>
              <w:pStyle w:val="TableContents"/>
              <w:spacing w:before="0" w:after="0"/>
              <w:ind w:left="0" w:right="0" w:hanging="0"/>
              <w:jc w:val="center"/>
              <w:rPr/>
            </w:pPr>
            <w:r>
              <w:rPr/>
              <w:t> </w:t>
            </w:r>
          </w:p>
        </w:tc>
        <w:tc>
          <w:tcPr>
            <w:tcW w:w="354" w:type="dxa"/>
            <w:tcBorders/>
            <w:shd w:fill="auto" w:val="clear"/>
            <w:vAlign w:val="center"/>
          </w:tcPr>
          <w:p>
            <w:pPr>
              <w:pStyle w:val="TableContents"/>
              <w:spacing w:before="0" w:after="0"/>
              <w:ind w:left="0" w:right="0" w:hanging="0"/>
              <w:jc w:val="center"/>
              <w:rPr/>
            </w:pPr>
            <w:r>
              <w:rPr/>
              <w:t> </w:t>
            </w:r>
          </w:p>
        </w:tc>
      </w:tr>
      <w:tr>
        <w:trPr/>
        <w:tc>
          <w:tcPr>
            <w:tcW w:w="2304" w:type="dxa"/>
            <w:tcBorders/>
            <w:shd w:fill="auto" w:val="clear"/>
            <w:vAlign w:val="center"/>
          </w:tcPr>
          <w:p>
            <w:pPr>
              <w:pStyle w:val="TableContents"/>
              <w:spacing w:before="0" w:after="0"/>
              <w:ind w:left="0" w:right="0" w:hanging="0"/>
              <w:jc w:val="left"/>
              <w:rPr>
                <w:rFonts w:ascii="Times New Roman;serif" w:hAnsi="Times New Roman;serif"/>
                <w:b/>
                <w:sz w:val="12"/>
                <w:u w:val="single"/>
              </w:rPr>
            </w:pPr>
            <w:r>
              <w:rPr>
                <w:rFonts w:ascii="Times New Roman;serif" w:hAnsi="Times New Roman;serif"/>
                <w:b/>
                <w:sz w:val="12"/>
                <w:u w:val="single"/>
              </w:rPr>
              <w:t>Control Investments (t)</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30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EBL, LLC (EbLens)</w:t>
            </w:r>
          </w:p>
        </w:tc>
        <w:tc>
          <w:tcPr>
            <w:tcW w:w="146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Retail</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 (j)(y)</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0.00%/13.00%</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10/3/2022</w:t>
            </w:r>
          </w:p>
        </w:tc>
        <w:tc>
          <w:tcPr>
            <w:tcW w:w="61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10/3/2025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(75,000</w:t>
            </w:r>
            <w:r>
              <w:rPr>
                <w:rFonts w:ascii="Times New Roman" w:hAnsi="Times New Roman"/>
                <w:sz w:val="20"/>
              </w:rPr>
              <w:t> </w:t>
            </w:r>
            <w:r>
              <w:rPr>
                <w:rFonts w:ascii="Times New Roman;serif" w:hAnsi="Times New Roman;serif"/>
                <w:b w:val="false"/>
                <w:sz w:val="12"/>
              </w:rPr>
              <w:t>units) (j)</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7/13/2017</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(375</w:t>
            </w:r>
            <w:r>
              <w:rPr>
                <w:rFonts w:ascii="Times New Roman" w:hAnsi="Times New Roman"/>
                <w:sz w:val="20"/>
              </w:rPr>
              <w:t> </w:t>
            </w:r>
            <w:r>
              <w:rPr>
                <w:rFonts w:ascii="Times New Roman;serif" w:hAnsi="Times New Roman;serif"/>
                <w:b w:val="false"/>
                <w:sz w:val="12"/>
              </w:rPr>
              <w:t>units) ($375</w:t>
            </w:r>
            <w:r>
              <w:rPr>
                <w:rFonts w:ascii="Times New Roman" w:hAnsi="Times New Roman"/>
                <w:sz w:val="20"/>
              </w:rPr>
              <w:t> </w:t>
            </w:r>
            <w:r>
              <w:rPr>
                <w:rFonts w:ascii="Times New Roman;serif" w:hAnsi="Times New Roman;serif"/>
                <w:b w:val="false"/>
                <w:sz w:val="12"/>
              </w:rPr>
              <w:t>unfunded commitment) (j)</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10/3/2022</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304" w:type="dxa"/>
            <w:tcBorders/>
            <w:shd w:fill="auto" w:val="clear"/>
            <w:vAlign w:val="center"/>
          </w:tcPr>
          <w:p>
            <w:pPr>
              <w:pStyle w:val="TableContents"/>
              <w:spacing w:before="0" w:after="283"/>
              <w:ind w:left="0" w:right="0" w:hanging="0"/>
              <w:rPr>
                <w:sz w:val="4"/>
                <w:szCs w:val="4"/>
              </w:rPr>
            </w:pPr>
            <w:r>
              <w:rPr>
                <w:sz w:val="4"/>
                <w:szCs w:val="4"/>
              </w:rPr>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US GreenFiber, LLC (n)</w:t>
            </w:r>
          </w:p>
        </w:tc>
        <w:tc>
          <w:tcPr>
            <w:tcW w:w="146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Building Products Manufacturing</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 (j)(y)</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10.00%/3.00%</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7/3/2014</w:t>
            </w:r>
          </w:p>
        </w:tc>
        <w:tc>
          <w:tcPr>
            <w:tcW w:w="61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8/30/2024</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(2,522</w:t>
            </w:r>
            <w:r>
              <w:rPr>
                <w:rFonts w:ascii="Times New Roman" w:hAnsi="Times New Roman"/>
                <w:sz w:val="20"/>
              </w:rPr>
              <w:t> </w:t>
            </w:r>
            <w:r>
              <w:rPr>
                <w:rFonts w:ascii="Times New Roman;serif" w:hAnsi="Times New Roman;serif"/>
                <w:b w:val="false"/>
                <w:sz w:val="12"/>
              </w:rPr>
              <w:t>units) (h)(j)</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7/3/2014</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(425,508</w:t>
            </w:r>
            <w:r>
              <w:rPr>
                <w:rFonts w:ascii="Times New Roman" w:hAnsi="Times New Roman"/>
                <w:sz w:val="20"/>
              </w:rPr>
              <w:t> </w:t>
            </w:r>
            <w:r>
              <w:rPr>
                <w:rFonts w:ascii="Times New Roman;serif" w:hAnsi="Times New Roman;serif"/>
                <w:b w:val="false"/>
                <w:sz w:val="12"/>
              </w:rPr>
              <w:t>units) (j)</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8/30/2019</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(1,022,813</w:t>
            </w:r>
            <w:r>
              <w:rPr>
                <w:rFonts w:ascii="Times New Roman" w:hAnsi="Times New Roman"/>
                <w:sz w:val="20"/>
              </w:rPr>
              <w:t> </w:t>
            </w:r>
            <w:r>
              <w:rPr>
                <w:rFonts w:ascii="Times New Roman;serif" w:hAnsi="Times New Roman;serif"/>
                <w:b w:val="false"/>
                <w:sz w:val="12"/>
              </w:rPr>
              <w:t>units) (h)(j)</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7/1/2020</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304" w:type="dxa"/>
            <w:tcBorders/>
            <w:shd w:fill="auto" w:val="clear"/>
            <w:vAlign w:val="center"/>
          </w:tcPr>
          <w:p>
            <w:pPr>
              <w:pStyle w:val="TableContents"/>
              <w:spacing w:before="0" w:after="283"/>
              <w:ind w:left="0" w:right="0" w:hanging="0"/>
              <w:rPr>
                <w:sz w:val="4"/>
                <w:szCs w:val="4"/>
              </w:rPr>
            </w:pPr>
            <w:r>
              <w:rPr>
                <w:sz w:val="4"/>
                <w:szCs w:val="4"/>
              </w:rPr>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shd w:fill="auto" w:val="clear"/>
            <w:vAlign w:val="center"/>
          </w:tcPr>
          <w:p>
            <w:pPr>
              <w:pStyle w:val="TableContents"/>
              <w:spacing w:before="0" w:after="283"/>
              <w:ind w:left="0" w:right="0" w:hanging="0"/>
              <w:rPr>
                <w:sz w:val="4"/>
                <w:szCs w:val="4"/>
              </w:rPr>
            </w:pPr>
            <w:r>
              <w:rPr>
                <w:sz w:val="4"/>
                <w:szCs w:val="4"/>
              </w:rPr>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304"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Control Investments</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17,915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shd w:fill="auto" w:val="clear"/>
            <w:vAlign w:val="center"/>
          </w:tcPr>
          <w:p>
            <w:pPr>
              <w:pStyle w:val="TableContents"/>
              <w:spacing w:before="0" w:after="283"/>
              <w:ind w:left="0" w:right="0" w:hanging="0"/>
              <w:rPr>
                <w:sz w:val="4"/>
                <w:szCs w:val="4"/>
              </w:rPr>
            </w:pPr>
            <w:r>
              <w:rPr>
                <w:sz w:val="4"/>
                <w:szCs w:val="4"/>
              </w:rPr>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304" w:type="dxa"/>
            <w:tcBorders/>
            <w:shd w:fill="auto" w:val="clear"/>
            <w:vAlign w:val="center"/>
          </w:tcPr>
          <w:p>
            <w:pPr>
              <w:pStyle w:val="TableContents"/>
              <w:spacing w:before="0" w:after="0"/>
              <w:ind w:left="0" w:right="0" w:hanging="0"/>
              <w:jc w:val="left"/>
              <w:rPr>
                <w:rFonts w:ascii="Times New Roman;serif" w:hAnsi="Times New Roman;serif"/>
                <w:b/>
                <w:sz w:val="12"/>
                <w:u w:val="single"/>
              </w:rPr>
            </w:pPr>
            <w:r>
              <w:rPr>
                <w:rFonts w:ascii="Times New Roman;serif" w:hAnsi="Times New Roman;serif"/>
                <w:b/>
                <w:sz w:val="12"/>
                <w:u w:val="single"/>
              </w:rPr>
              <w:t>Affiliate Investments (l)</w:t>
            </w:r>
          </w:p>
        </w:tc>
        <w:tc>
          <w:tcPr>
            <w:tcW w:w="1461" w:type="dxa"/>
            <w:tcBorders/>
            <w:shd w:fill="auto" w:val="clear"/>
            <w:vAlign w:val="center"/>
          </w:tcPr>
          <w:p>
            <w:pPr>
              <w:pStyle w:val="TableContents"/>
              <w:spacing w:before="0" w:after="0"/>
              <w:ind w:left="0" w:right="0" w:hanging="0"/>
              <w:jc w:val="center"/>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8" w:type="dxa"/>
            <w:gridSpan w:val="2"/>
            <w:tcBorders/>
            <w:shd w:fill="auto" w:val="clear"/>
            <w:vAlign w:val="center"/>
          </w:tcPr>
          <w:p>
            <w:pPr>
              <w:pStyle w:val="TableContents"/>
              <w:spacing w:before="0" w:after="0"/>
              <w:ind w:left="0" w:right="0" w:hanging="0"/>
              <w:jc w:val="center"/>
              <w:rPr/>
            </w:pPr>
            <w:r>
              <w:rPr/>
              <w:t> </w:t>
            </w:r>
          </w:p>
        </w:tc>
        <w:tc>
          <w:tcPr>
            <w:tcW w:w="354" w:type="dxa"/>
            <w:tcBorders/>
            <w:shd w:fill="auto" w:val="clear"/>
            <w:vAlign w:val="center"/>
          </w:tcPr>
          <w:p>
            <w:pPr>
              <w:pStyle w:val="TableContents"/>
              <w:spacing w:before="0" w:after="0"/>
              <w:ind w:left="0" w:right="0" w:hanging="0"/>
              <w:jc w:val="center"/>
              <w:rPr/>
            </w:pPr>
            <w:r>
              <w:rPr/>
              <w:t> </w:t>
            </w:r>
          </w:p>
        </w:tc>
      </w:tr>
      <w:tr>
        <w:trPr/>
        <w:tc>
          <w:tcPr>
            <w:tcW w:w="230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Applegate Greenfiber Intermediate Inc. (fka US GreenFiber, LLC)</w:t>
            </w:r>
          </w:p>
        </w:tc>
        <w:tc>
          <w:tcPr>
            <w:tcW w:w="146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Building Products Manufacturing</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Subordinated Debt (j)</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10.00%/0.00%</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12/31/2021</w:t>
            </w:r>
          </w:p>
        </w:tc>
        <w:tc>
          <w:tcPr>
            <w:tcW w:w="61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12/31/2027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9,602</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(5,690</w:t>
            </w:r>
            <w:r>
              <w:rPr>
                <w:rFonts w:ascii="Times New Roman" w:hAnsi="Times New Roman"/>
                <w:sz w:val="20"/>
              </w:rPr>
              <w:t> </w:t>
            </w:r>
            <w:r>
              <w:rPr>
                <w:rFonts w:ascii="Times New Roman;serif" w:hAnsi="Times New Roman;serif"/>
                <w:b w:val="false"/>
                <w:sz w:val="12"/>
              </w:rPr>
              <w:t>units) (h) (j)</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12/31/2021</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5,690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5,897</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(7,113</w:t>
            </w:r>
            <w:r>
              <w:rPr>
                <w:rFonts w:ascii="Times New Roman" w:hAnsi="Times New Roman"/>
                <w:sz w:val="20"/>
              </w:rPr>
              <w:t> </w:t>
            </w:r>
            <w:r>
              <w:rPr>
                <w:rFonts w:ascii="Times New Roman;serif" w:hAnsi="Times New Roman;serif"/>
                <w:b w:val="false"/>
                <w:sz w:val="12"/>
              </w:rPr>
              <w:t>units) (h) (j)</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12/31/2021</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7,669</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(2,012</w:t>
            </w:r>
            <w:r>
              <w:rPr>
                <w:rFonts w:ascii="Times New Roman" w:hAnsi="Times New Roman"/>
                <w:sz w:val="20"/>
              </w:rPr>
              <w:t> </w:t>
            </w:r>
            <w:r>
              <w:rPr>
                <w:rFonts w:ascii="Times New Roman;serif" w:hAnsi="Times New Roman;serif"/>
                <w:b w:val="false"/>
                <w:sz w:val="12"/>
              </w:rPr>
              <w:t>units) (h) (j)</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12/31/2021</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304" w:type="dxa"/>
            <w:tcBorders/>
            <w:shd w:fill="auto" w:val="clear"/>
            <w:vAlign w:val="center"/>
          </w:tcPr>
          <w:p>
            <w:pPr>
              <w:pStyle w:val="TableContents"/>
              <w:spacing w:before="0" w:after="283"/>
              <w:ind w:left="0" w:right="0" w:hanging="0"/>
              <w:rPr>
                <w:sz w:val="4"/>
                <w:szCs w:val="4"/>
              </w:rPr>
            </w:pPr>
            <w:r>
              <w:rPr>
                <w:sz w:val="4"/>
                <w:szCs w:val="4"/>
              </w:rPr>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22,405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23,168</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Medsurant Holdings, LLC</w:t>
            </w:r>
          </w:p>
        </w:tc>
        <w:tc>
          <w:tcPr>
            <w:tcW w:w="146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 Services</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Preferred Equity (84,997</w:t>
            </w:r>
            <w:r>
              <w:rPr>
                <w:rFonts w:ascii="Times New Roman" w:hAnsi="Times New Roman"/>
                <w:sz w:val="20"/>
              </w:rPr>
              <w:t> </w:t>
            </w:r>
            <w:r>
              <w:rPr>
                <w:rFonts w:ascii="Times New Roman;serif" w:hAnsi="Times New Roman;serif"/>
                <w:b w:val="false"/>
                <w:sz w:val="12"/>
              </w:rPr>
              <w:t>units) (h)(j)</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4/12/2011</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591</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Warrant (252,588</w:t>
            </w:r>
            <w:r>
              <w:rPr>
                <w:rFonts w:ascii="Times New Roman" w:hAnsi="Times New Roman"/>
                <w:sz w:val="20"/>
              </w:rPr>
              <w:t> </w:t>
            </w:r>
            <w:r>
              <w:rPr>
                <w:rFonts w:ascii="Times New Roman;serif" w:hAnsi="Times New Roman;serif"/>
                <w:b w:val="false"/>
                <w:sz w:val="12"/>
              </w:rPr>
              <w:t>units) (h)(j)(m)</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4/12/2011</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2,258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1,949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304" w:type="dxa"/>
            <w:tcBorders/>
            <w:shd w:fill="auto" w:val="clear"/>
            <w:vAlign w:val="center"/>
          </w:tcPr>
          <w:p>
            <w:pPr>
              <w:pStyle w:val="TableContents"/>
              <w:spacing w:before="0" w:after="283"/>
              <w:ind w:left="0" w:right="0" w:hanging="0"/>
              <w:rPr>
                <w:sz w:val="4"/>
                <w:szCs w:val="4"/>
              </w:rPr>
            </w:pPr>
            <w:r>
              <w:rPr>
                <w:sz w:val="4"/>
                <w:szCs w:val="4"/>
              </w:rPr>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2,540</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Pfanstiehl, Inc.</w:t>
            </w:r>
          </w:p>
        </w:tc>
        <w:tc>
          <w:tcPr>
            <w:tcW w:w="146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 Products</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Subordinated Debt (j)</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10.00%/0.00%</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8/2/2022</w:t>
            </w:r>
          </w:p>
        </w:tc>
        <w:tc>
          <w:tcPr>
            <w:tcW w:w="61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8/2/2027</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9,954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9,954</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(2,550</w:t>
            </w:r>
            <w:r>
              <w:rPr>
                <w:rFonts w:ascii="Times New Roman" w:hAnsi="Times New Roman"/>
                <w:sz w:val="20"/>
              </w:rPr>
              <w:t> </w:t>
            </w:r>
            <w:r>
              <w:rPr>
                <w:rFonts w:ascii="Times New Roman;serif" w:hAnsi="Times New Roman;serif"/>
                <w:b w:val="false"/>
                <w:sz w:val="12"/>
              </w:rPr>
              <w:t>units) (j)</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3/29/2013</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42,038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304" w:type="dxa"/>
            <w:tcBorders/>
            <w:shd w:fill="auto" w:val="clear"/>
            <w:vAlign w:val="center"/>
          </w:tcPr>
          <w:p>
            <w:pPr>
              <w:pStyle w:val="TableContents"/>
              <w:spacing w:before="0" w:after="283"/>
              <w:ind w:left="0" w:right="0" w:hanging="0"/>
              <w:rPr>
                <w:sz w:val="4"/>
                <w:szCs w:val="4"/>
              </w:rPr>
            </w:pPr>
            <w:r>
              <w:rPr>
                <w:sz w:val="4"/>
                <w:szCs w:val="4"/>
              </w:rPr>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51,992</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shd w:fill="auto" w:val="clear"/>
            <w:vAlign w:val="center"/>
          </w:tcPr>
          <w:p>
            <w:pPr>
              <w:pStyle w:val="TableContents"/>
              <w:spacing w:before="0" w:after="283"/>
              <w:ind w:left="0" w:right="0" w:hanging="0"/>
              <w:rPr>
                <w:sz w:val="4"/>
                <w:szCs w:val="4"/>
              </w:rPr>
            </w:pPr>
            <w:r>
              <w:rPr>
                <w:sz w:val="4"/>
                <w:szCs w:val="4"/>
              </w:rPr>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30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Spectra A&amp;D Acquisition, Inc. (fka FDS Avionics Corp.)</w:t>
            </w:r>
          </w:p>
        </w:tc>
        <w:tc>
          <w:tcPr>
            <w:tcW w:w="146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Aerospace &amp; Defense Manufacturing</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(k)(ag)</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 + 5.50%) / (1.00%)</w:t>
            </w:r>
          </w:p>
        </w:tc>
        <w:tc>
          <w:tcPr>
            <w:tcW w:w="66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10.23%/0.00%</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2/12/2021</w:t>
            </w:r>
          </w:p>
        </w:tc>
        <w:tc>
          <w:tcPr>
            <w:tcW w:w="61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2/11/2026</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14,931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14,999</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(12,035</w:t>
            </w:r>
            <w:r>
              <w:rPr>
                <w:rFonts w:ascii="Times New Roman" w:hAnsi="Times New Roman"/>
                <w:sz w:val="20"/>
              </w:rPr>
              <w:t> </w:t>
            </w:r>
            <w:r>
              <w:rPr>
                <w:rFonts w:ascii="Times New Roman;serif" w:hAnsi="Times New Roman;serif"/>
                <w:b w:val="false"/>
                <w:sz w:val="12"/>
              </w:rPr>
              <w:t>units) (j)</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8/25/2021</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1,204</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(38,493</w:t>
            </w:r>
            <w:r>
              <w:rPr>
                <w:rFonts w:ascii="Times New Roman" w:hAnsi="Times New Roman"/>
                <w:sz w:val="20"/>
              </w:rPr>
              <w:t> </w:t>
            </w:r>
            <w:r>
              <w:rPr>
                <w:rFonts w:ascii="Times New Roman;serif" w:hAnsi="Times New Roman;serif"/>
                <w:b w:val="false"/>
                <w:sz w:val="12"/>
              </w:rPr>
              <w:t>units) (j)</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12/16/2022</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2,443</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(4,663</w:t>
            </w:r>
            <w:r>
              <w:rPr>
                <w:rFonts w:ascii="Times New Roman" w:hAnsi="Times New Roman"/>
                <w:sz w:val="20"/>
              </w:rPr>
              <w:t> </w:t>
            </w:r>
            <w:r>
              <w:rPr>
                <w:rFonts w:ascii="Times New Roman;serif" w:hAnsi="Times New Roman;serif"/>
                <w:b w:val="false"/>
                <w:sz w:val="12"/>
              </w:rPr>
              <w:t>units) (j)</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9/16/2022</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304" w:type="dxa"/>
            <w:tcBorders/>
            <w:shd w:fill="auto" w:val="clear"/>
            <w:vAlign w:val="center"/>
          </w:tcPr>
          <w:p>
            <w:pPr>
              <w:pStyle w:val="TableContents"/>
              <w:spacing w:before="0" w:after="283"/>
              <w:ind w:left="0" w:right="0" w:hanging="0"/>
              <w:rPr>
                <w:sz w:val="4"/>
                <w:szCs w:val="4"/>
              </w:rPr>
            </w:pPr>
            <w:r>
              <w:rPr>
                <w:sz w:val="4"/>
                <w:szCs w:val="4"/>
              </w:rPr>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19,216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19,118</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Steward Holding LLC (dba Steward Advanced Materials)</w:t>
            </w:r>
          </w:p>
        </w:tc>
        <w:tc>
          <w:tcPr>
            <w:tcW w:w="146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Aerospace &amp; Defense Manufacturing</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(1,000,000</w:t>
            </w:r>
            <w:r>
              <w:rPr>
                <w:rFonts w:ascii="Times New Roman" w:hAnsi="Times New Roman"/>
                <w:sz w:val="20"/>
              </w:rPr>
              <w:t> </w:t>
            </w:r>
            <w:r>
              <w:rPr>
                <w:rFonts w:ascii="Times New Roman;serif" w:hAnsi="Times New Roman;serif"/>
                <w:b w:val="false"/>
                <w:sz w:val="12"/>
              </w:rPr>
              <w:t>units)</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11/12/2015</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4,772</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shd w:fill="auto" w:val="clear"/>
            <w:vAlign w:val="center"/>
          </w:tcPr>
          <w:p>
            <w:pPr>
              <w:pStyle w:val="TableContents"/>
              <w:spacing w:before="0" w:after="283"/>
              <w:ind w:left="0" w:right="0" w:hanging="0"/>
              <w:rPr>
                <w:sz w:val="4"/>
                <w:szCs w:val="4"/>
              </w:rPr>
            </w:pPr>
            <w:r>
              <w:rPr>
                <w:sz w:val="4"/>
                <w:szCs w:val="4"/>
              </w:rPr>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304"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Affiliate Investments</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55,804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101,590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shd w:fill="auto" w:val="clear"/>
            <w:vAlign w:val="center"/>
          </w:tcPr>
          <w:p>
            <w:pPr>
              <w:pStyle w:val="TableContents"/>
              <w:spacing w:before="0" w:after="283"/>
              <w:ind w:left="0" w:right="0" w:hanging="0"/>
              <w:rPr>
                <w:sz w:val="4"/>
                <w:szCs w:val="4"/>
              </w:rPr>
            </w:pPr>
            <w:r>
              <w:rPr>
                <w:sz w:val="4"/>
                <w:szCs w:val="4"/>
              </w:rPr>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304" w:type="dxa"/>
            <w:tcBorders/>
            <w:shd w:fill="auto" w:val="clear"/>
            <w:vAlign w:val="center"/>
          </w:tcPr>
          <w:p>
            <w:pPr>
              <w:pStyle w:val="TableContents"/>
              <w:spacing w:before="0" w:after="0"/>
              <w:ind w:left="0" w:right="0" w:hanging="0"/>
              <w:jc w:val="left"/>
              <w:rPr>
                <w:rFonts w:ascii="Times New Roman;serif" w:hAnsi="Times New Roman;serif"/>
                <w:b/>
                <w:sz w:val="12"/>
                <w:u w:val="single"/>
              </w:rPr>
            </w:pPr>
            <w:r>
              <w:rPr>
                <w:rFonts w:ascii="Times New Roman;serif" w:hAnsi="Times New Roman;serif"/>
                <w:b/>
                <w:sz w:val="12"/>
                <w:u w:val="single"/>
              </w:rPr>
              <w:t>Non-control/Non-affiliate Investments</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30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2KDirect, Inc. (dba iPromote)</w:t>
            </w:r>
          </w:p>
        </w:tc>
        <w:tc>
          <w:tcPr>
            <w:tcW w:w="146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(k)(at)</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 + 6.75%) / (0.50%)</w:t>
            </w:r>
          </w:p>
        </w:tc>
        <w:tc>
          <w:tcPr>
            <w:tcW w:w="66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11.48%/0.00%</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6/25/2021</w:t>
            </w:r>
          </w:p>
        </w:tc>
        <w:tc>
          <w:tcPr>
            <w:tcW w:w="61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6/25/2026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11,558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11,560</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(j)(aa)</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 + 6.75%) / (0.50%)</w:t>
            </w:r>
          </w:p>
        </w:tc>
        <w:tc>
          <w:tcPr>
            <w:tcW w:w="66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11.48%/0.00%</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7/30/2021</w:t>
            </w:r>
          </w:p>
        </w:tc>
        <w:tc>
          <w:tcPr>
            <w:tcW w:w="61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6/25/2026</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3,556</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(1,000,000</w:t>
            </w:r>
            <w:r>
              <w:rPr>
                <w:rFonts w:ascii="Times New Roman" w:hAnsi="Times New Roman"/>
                <w:sz w:val="20"/>
              </w:rPr>
              <w:t> </w:t>
            </w:r>
            <w:r>
              <w:rPr>
                <w:rFonts w:ascii="Times New Roman;serif" w:hAnsi="Times New Roman;serif"/>
                <w:b w:val="false"/>
                <w:sz w:val="12"/>
              </w:rPr>
              <w:t>units)</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6/25/2021</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304" w:type="dxa"/>
            <w:tcBorders/>
            <w:shd w:fill="auto" w:val="clear"/>
            <w:vAlign w:val="center"/>
          </w:tcPr>
          <w:p>
            <w:pPr>
              <w:pStyle w:val="TableContents"/>
              <w:spacing w:before="0" w:after="283"/>
              <w:ind w:left="0" w:right="0" w:hanging="0"/>
              <w:rPr>
                <w:sz w:val="4"/>
                <w:szCs w:val="4"/>
              </w:rPr>
            </w:pPr>
            <w:r>
              <w:rPr>
                <w:sz w:val="4"/>
                <w:szCs w:val="4"/>
              </w:rPr>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16,053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15,593</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Acendre Midco, Inc.</w:t>
            </w:r>
          </w:p>
        </w:tc>
        <w:tc>
          <w:tcPr>
            <w:tcW w:w="146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 + 7.75%) / (0.50%)</w:t>
            </w:r>
          </w:p>
        </w:tc>
        <w:tc>
          <w:tcPr>
            <w:tcW w:w="66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12.30%/0.00%</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10/6/2021</w:t>
            </w:r>
          </w:p>
        </w:tc>
        <w:tc>
          <w:tcPr>
            <w:tcW w:w="61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10/6/2026</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5,500</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 + 7.75%) / (0.50%)</w:t>
            </w:r>
          </w:p>
        </w:tc>
        <w:tc>
          <w:tcPr>
            <w:tcW w:w="66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12.30%/0.00%</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10/6/2021</w:t>
            </w:r>
          </w:p>
        </w:tc>
        <w:tc>
          <w:tcPr>
            <w:tcW w:w="61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10/6/2026</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12,450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12,500</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Revolving Loan ($1,000</w:t>
            </w:r>
            <w:r>
              <w:rPr>
                <w:rFonts w:ascii="Times New Roman" w:hAnsi="Times New Roman"/>
                <w:sz w:val="20"/>
              </w:rPr>
              <w:t> </w:t>
            </w:r>
            <w:r>
              <w:rPr>
                <w:rFonts w:ascii="Times New Roman;serif" w:hAnsi="Times New Roman;serif"/>
                <w:b w:val="false"/>
                <w:sz w:val="12"/>
              </w:rPr>
              <w:t>unfunded commitment) (j)(i)</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 + 7.50%) / (0.50%)</w:t>
            </w:r>
          </w:p>
        </w:tc>
        <w:tc>
          <w:tcPr>
            <w:tcW w:w="66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12.30%/0.00%</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10/6/2021</w:t>
            </w:r>
          </w:p>
        </w:tc>
        <w:tc>
          <w:tcPr>
            <w:tcW w:w="618"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(500,000</w:t>
            </w:r>
            <w:r>
              <w:rPr>
                <w:rFonts w:ascii="Times New Roman" w:hAnsi="Times New Roman"/>
                <w:sz w:val="20"/>
              </w:rPr>
              <w:t> </w:t>
            </w:r>
            <w:r>
              <w:rPr>
                <w:rFonts w:ascii="Times New Roman;serif" w:hAnsi="Times New Roman;serif"/>
                <w:b w:val="false"/>
                <w:sz w:val="12"/>
              </w:rPr>
              <w:t>shares) (j)</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10/6/2021</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433</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Warrant (150,000</w:t>
            </w:r>
            <w:r>
              <w:rPr>
                <w:rFonts w:ascii="Times New Roman" w:hAnsi="Times New Roman"/>
                <w:sz w:val="20"/>
              </w:rPr>
              <w:t> </w:t>
            </w:r>
            <w:r>
              <w:rPr>
                <w:rFonts w:ascii="Times New Roman;serif" w:hAnsi="Times New Roman;serif"/>
                <w:b w:val="false"/>
                <w:sz w:val="12"/>
              </w:rPr>
              <w:t>shares) (j)(m)</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10/6/2021</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130</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Preferred Equity (77,016</w:t>
            </w:r>
            <w:r>
              <w:rPr>
                <w:rFonts w:ascii="Times New Roman" w:hAnsi="Times New Roman"/>
                <w:sz w:val="20"/>
              </w:rPr>
              <w:t> </w:t>
            </w:r>
            <w:r>
              <w:rPr>
                <w:rFonts w:ascii="Times New Roman;serif" w:hAnsi="Times New Roman;serif"/>
                <w:b w:val="false"/>
                <w:sz w:val="12"/>
              </w:rPr>
              <w:t>shares) (j)</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9/26/2022</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304" w:type="dxa"/>
            <w:tcBorders/>
            <w:shd w:fill="auto" w:val="clear"/>
            <w:vAlign w:val="center"/>
          </w:tcPr>
          <w:p>
            <w:pPr>
              <w:pStyle w:val="TableContents"/>
              <w:spacing w:before="0" w:after="283"/>
              <w:ind w:left="0" w:right="0" w:hanging="0"/>
              <w:rPr>
                <w:sz w:val="4"/>
                <w:szCs w:val="4"/>
              </w:rPr>
            </w:pPr>
            <w:r>
              <w:rPr>
                <w:sz w:val="4"/>
                <w:szCs w:val="4"/>
              </w:rPr>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18,526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18,706</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Aeronix Inc.</w:t>
            </w:r>
          </w:p>
        </w:tc>
        <w:tc>
          <w:tcPr>
            <w:tcW w:w="146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Aerospace &amp; Defense Manufacturing</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(ai)</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 + 5.88%) / (0.50%)</w:t>
            </w:r>
          </w:p>
        </w:tc>
        <w:tc>
          <w:tcPr>
            <w:tcW w:w="66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10.63%/0.00%</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6/11/2021</w:t>
            </w:r>
          </w:p>
        </w:tc>
        <w:tc>
          <w:tcPr>
            <w:tcW w:w="61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6/11/2026</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14,184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14,250</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(549</w:t>
            </w:r>
            <w:r>
              <w:rPr>
                <w:rFonts w:ascii="Times New Roman" w:hAnsi="Times New Roman"/>
                <w:sz w:val="20"/>
              </w:rPr>
              <w:t> </w:t>
            </w:r>
            <w:r>
              <w:rPr>
                <w:rFonts w:ascii="Times New Roman;serif" w:hAnsi="Times New Roman;serif"/>
                <w:b w:val="false"/>
                <w:sz w:val="12"/>
              </w:rPr>
              <w:t>units)</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6/11/2021</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593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779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304" w:type="dxa"/>
            <w:tcBorders/>
            <w:shd w:fill="auto" w:val="clear"/>
            <w:vAlign w:val="center"/>
          </w:tcPr>
          <w:p>
            <w:pPr>
              <w:pStyle w:val="TableContents"/>
              <w:spacing w:before="0" w:after="283"/>
              <w:ind w:left="0" w:right="0" w:hanging="0"/>
              <w:rPr>
                <w:sz w:val="4"/>
                <w:szCs w:val="4"/>
              </w:rPr>
            </w:pPr>
            <w:r>
              <w:rPr>
                <w:sz w:val="4"/>
                <w:szCs w:val="4"/>
              </w:rPr>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14,777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15,029</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Allredi, LLC (fka Marco Group International OpCo, LLC)</w:t>
            </w:r>
          </w:p>
        </w:tc>
        <w:tc>
          <w:tcPr>
            <w:tcW w:w="146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 Cleaning &amp; Coatings</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 (y)</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12.50%/2.25%</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3/2/2020</w:t>
            </w:r>
          </w:p>
        </w:tc>
        <w:tc>
          <w:tcPr>
            <w:tcW w:w="61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9/2/2026</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10,345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8,144</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(570,636</w:t>
            </w:r>
            <w:r>
              <w:rPr>
                <w:rFonts w:ascii="Times New Roman" w:hAnsi="Times New Roman"/>
                <w:sz w:val="20"/>
              </w:rPr>
              <w:t> </w:t>
            </w:r>
            <w:r>
              <w:rPr>
                <w:rFonts w:ascii="Times New Roman;serif" w:hAnsi="Times New Roman;serif"/>
                <w:b w:val="false"/>
                <w:sz w:val="12"/>
              </w:rPr>
              <w:t>units) (h)(j)</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7/21/2017</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98</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(39,443</w:t>
            </w:r>
            <w:r>
              <w:rPr>
                <w:rFonts w:ascii="Times New Roman" w:hAnsi="Times New Roman"/>
                <w:sz w:val="20"/>
              </w:rPr>
              <w:t> </w:t>
            </w:r>
            <w:r>
              <w:rPr>
                <w:rFonts w:ascii="Times New Roman;serif" w:hAnsi="Times New Roman;serif"/>
                <w:b w:val="false"/>
                <w:sz w:val="12"/>
              </w:rPr>
              <w:t>units) (h)(j)</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11/24/2021</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304" w:type="dxa"/>
            <w:tcBorders/>
            <w:shd w:fill="auto" w:val="clear"/>
            <w:vAlign w:val="center"/>
          </w:tcPr>
          <w:p>
            <w:pPr>
              <w:pStyle w:val="TableContents"/>
              <w:spacing w:before="0" w:after="283"/>
              <w:ind w:left="0" w:right="0" w:hanging="0"/>
              <w:rPr>
                <w:sz w:val="4"/>
                <w:szCs w:val="4"/>
              </w:rPr>
            </w:pPr>
            <w:r>
              <w:rPr>
                <w:sz w:val="4"/>
                <w:szCs w:val="4"/>
              </w:rPr>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8,297</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American AllWaste LLC (dba WasteWater Transport Services)</w:t>
            </w:r>
          </w:p>
        </w:tc>
        <w:tc>
          <w:tcPr>
            <w:tcW w:w="146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Environmental Industries</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(j)(p)</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 + 6.15%) / (1.00%)</w:t>
            </w:r>
          </w:p>
        </w:tc>
        <w:tc>
          <w:tcPr>
            <w:tcW w:w="66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9.82%/0.00%</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6/28/2021</w:t>
            </w:r>
          </w:p>
        </w:tc>
        <w:tc>
          <w:tcPr>
            <w:tcW w:w="61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6/28/2026</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20,329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20,500</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(j)(o)</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 + 3.75%) / (1.00%)</w:t>
            </w:r>
          </w:p>
        </w:tc>
        <w:tc>
          <w:tcPr>
            <w:tcW w:w="66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7.42%/0.00%</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6/28/2021</w:t>
            </w:r>
          </w:p>
        </w:tc>
        <w:tc>
          <w:tcPr>
            <w:tcW w:w="61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6/28/2026</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325</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Preferred Equity (500</w:t>
            </w:r>
            <w:r>
              <w:rPr>
                <w:rFonts w:ascii="Times New Roman" w:hAnsi="Times New Roman"/>
                <w:sz w:val="20"/>
              </w:rPr>
              <w:t> </w:t>
            </w:r>
            <w:r>
              <w:rPr>
                <w:rFonts w:ascii="Times New Roman;serif" w:hAnsi="Times New Roman;serif"/>
                <w:b w:val="false"/>
                <w:sz w:val="12"/>
              </w:rPr>
              <w:t>units) (h)(j)</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5/31/2018</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547</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Preferred Equity (207</w:t>
            </w:r>
            <w:r>
              <w:rPr>
                <w:rFonts w:ascii="Times New Roman" w:hAnsi="Times New Roman"/>
                <w:sz w:val="20"/>
              </w:rPr>
              <w:t> </w:t>
            </w:r>
            <w:r>
              <w:rPr>
                <w:rFonts w:ascii="Times New Roman;serif" w:hAnsi="Times New Roman;serif"/>
                <w:b w:val="false"/>
                <w:sz w:val="12"/>
              </w:rPr>
              <w:t>units) (h)(j)</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8/6/2019</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264</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Preferred Equity (141</w:t>
            </w:r>
            <w:r>
              <w:rPr>
                <w:rFonts w:ascii="Times New Roman" w:hAnsi="Times New Roman"/>
                <w:sz w:val="20"/>
              </w:rPr>
              <w:t> </w:t>
            </w:r>
            <w:r>
              <w:rPr>
                <w:rFonts w:ascii="Times New Roman;serif" w:hAnsi="Times New Roman;serif"/>
                <w:b w:val="false"/>
                <w:sz w:val="12"/>
              </w:rPr>
              <w:t>units) (h)(j)</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11/2/2020</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180</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Preferred Equity (74</w:t>
            </w:r>
            <w:r>
              <w:rPr>
                <w:rFonts w:ascii="Times New Roman" w:hAnsi="Times New Roman"/>
                <w:sz w:val="20"/>
              </w:rPr>
              <w:t> </w:t>
            </w:r>
            <w:r>
              <w:rPr>
                <w:rFonts w:ascii="Times New Roman;serif" w:hAnsi="Times New Roman;serif"/>
                <w:b w:val="false"/>
                <w:sz w:val="12"/>
              </w:rPr>
              <w:t>units) (h)(j)</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12/29/2021</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304" w:type="dxa"/>
            <w:tcBorders/>
            <w:shd w:fill="auto" w:val="clear"/>
            <w:vAlign w:val="center"/>
          </w:tcPr>
          <w:p>
            <w:pPr>
              <w:pStyle w:val="TableContents"/>
              <w:spacing w:before="0" w:after="283"/>
              <w:ind w:left="0" w:right="0" w:hanging="0"/>
              <w:rPr>
                <w:sz w:val="4"/>
                <w:szCs w:val="4"/>
              </w:rPr>
            </w:pPr>
            <w:r>
              <w:rPr>
                <w:sz w:val="4"/>
                <w:szCs w:val="4"/>
              </w:rPr>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21,677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21,917</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AmeriWater, LLC</w:t>
            </w:r>
          </w:p>
        </w:tc>
        <w:tc>
          <w:tcPr>
            <w:tcW w:w="146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Component Manufacturing</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(af)</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 + 6.25%) / (1.00%)</w:t>
            </w:r>
          </w:p>
        </w:tc>
        <w:tc>
          <w:tcPr>
            <w:tcW w:w="66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9.81%/0.00%</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7/8/2022</w:t>
            </w:r>
          </w:p>
        </w:tc>
        <w:tc>
          <w:tcPr>
            <w:tcW w:w="61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7/8/2027</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7,704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7,662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7,662</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Subordinated Debt (j)</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7.00%/7.00%</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7/8/2022</w:t>
            </w:r>
          </w:p>
        </w:tc>
        <w:tc>
          <w:tcPr>
            <w:tcW w:w="61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1/8/2028</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2,060</w:t>
            </w:r>
          </w:p>
        </w:tc>
        <w:tc>
          <w:tcPr>
            <w:tcW w:w="146" w:type="dxa"/>
            <w:tcBorders/>
            <w:shd w:fill="auto" w:val="cle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30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(1,000</w:t>
            </w:r>
            <w:r>
              <w:rPr>
                <w:rFonts w:ascii="Times New Roman" w:hAnsi="Times New Roman"/>
                <w:sz w:val="20"/>
              </w:rPr>
              <w:t> </w:t>
            </w:r>
            <w:r>
              <w:rPr>
                <w:rFonts w:ascii="Times New Roman;serif" w:hAnsi="Times New Roman;serif"/>
                <w:b w:val="false"/>
                <w:sz w:val="12"/>
              </w:rPr>
              <w:t>units) (h)(j)</w:t>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7/8/2022</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304" w:type="dxa"/>
            <w:tcBorders/>
            <w:shd w:fill="auto" w:val="clear"/>
            <w:vAlign w:val="center"/>
          </w:tcPr>
          <w:p>
            <w:pPr>
              <w:pStyle w:val="TableContents"/>
              <w:spacing w:before="0" w:after="283"/>
              <w:ind w:left="0" w:right="0" w:hanging="0"/>
              <w:rPr>
                <w:sz w:val="4"/>
                <w:szCs w:val="4"/>
              </w:rPr>
            </w:pPr>
            <w:r>
              <w:rPr>
                <w:sz w:val="4"/>
                <w:szCs w:val="4"/>
              </w:rPr>
            </w:r>
          </w:p>
        </w:tc>
        <w:tc>
          <w:tcPr>
            <w:tcW w:w="1461" w:type="dxa"/>
            <w:tcBorders/>
            <w:shd w:fill="auto" w:val="clear"/>
            <w:vAlign w:val="center"/>
          </w:tcPr>
          <w:p>
            <w:pPr>
              <w:pStyle w:val="TableContents"/>
              <w:spacing w:before="0" w:after="0"/>
              <w:ind w:left="0" w:right="0" w:hanging="0"/>
              <w:jc w:val="left"/>
              <w:rPr/>
            </w:pPr>
            <w:r>
              <w:rPr/>
              <w:t> </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10,722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10,722</w:t>
            </w:r>
          </w:p>
        </w:tc>
        <w:tc>
          <w:tcPr>
            <w:tcW w:w="146" w:type="dxa"/>
            <w:tcBorders/>
            <w:shd w:fill="auto" w:val="clear"/>
            <w:vAlign w:val="center"/>
          </w:tcPr>
          <w:p>
            <w:pPr>
              <w:pStyle w:val="TableContents"/>
              <w:spacing w:before="0" w:after="0"/>
              <w:ind w:left="0" w:right="0" w:hanging="0"/>
              <w:jc w:val="left"/>
              <w:rPr/>
            </w:pPr>
            <w:r>
              <w:rPr/>
              <w:t> </w:t>
            </w:r>
          </w:p>
        </w:tc>
        <w:tc>
          <w:tcPr>
            <w:tcW w:w="234"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30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AOM Intermediate Holdco, LLC (dba AllOver Media)</w:t>
            </w:r>
          </w:p>
        </w:tc>
        <w:tc>
          <w:tcPr>
            <w:tcW w:w="146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915" w:type="dxa"/>
            <w:tcBorders/>
            <w:shd w:fill="auto" w:val="clear"/>
            <w:vAlign w:val="center"/>
          </w:tcPr>
          <w:p>
            <w:pPr>
              <w:pStyle w:val="TableContents"/>
              <w:spacing w:before="0" w:after="0"/>
              <w:ind w:left="0" w:right="0" w:hanging="0"/>
              <w:jc w:val="left"/>
              <w:rPr/>
            </w:pPr>
            <w:r>
              <w:rPr/>
              <w:t> </w:t>
            </w:r>
          </w:p>
        </w:tc>
        <w:tc>
          <w:tcPr>
            <w:tcW w:w="668"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left"/>
              <w:rPr/>
            </w:pPr>
            <w:r>
              <w:rPr/>
              <w:t> </w:t>
            </w:r>
          </w:p>
        </w:tc>
        <w:tc>
          <w:tcPr>
            <w:tcW w:w="618"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98"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731"/>
        <w:gridCol w:w="1553"/>
        <w:gridCol w:w="1017"/>
        <w:gridCol w:w="696"/>
        <w:gridCol w:w="533"/>
        <w:gridCol w:w="533"/>
        <w:gridCol w:w="146"/>
        <w:gridCol w:w="436"/>
        <w:gridCol w:w="146"/>
        <w:gridCol w:w="146"/>
        <w:gridCol w:w="146"/>
        <w:gridCol w:w="436"/>
        <w:gridCol w:w="146"/>
        <w:gridCol w:w="146"/>
        <w:gridCol w:w="146"/>
        <w:gridCol w:w="436"/>
        <w:gridCol w:w="146"/>
        <w:gridCol w:w="146"/>
        <w:gridCol w:w="166"/>
        <w:gridCol w:w="354"/>
      </w:tblGrid>
      <w:tr>
        <w:trPr/>
        <w:tc>
          <w:tcPr>
            <w:tcW w:w="2731" w:type="dxa"/>
            <w:tcBorders/>
            <w:shd w:fill="auto" w:val="clear"/>
            <w:vAlign w:val="center"/>
          </w:tcPr>
          <w:p>
            <w:pPr>
              <w:pStyle w:val="TableContents"/>
              <w:spacing w:before="0" w:after="283"/>
              <w:rPr>
                <w:sz w:val="4"/>
                <w:szCs w:val="4"/>
              </w:rPr>
            </w:pPr>
            <w:r>
              <w:rPr>
                <w:sz w:val="4"/>
                <w:szCs w:val="4"/>
              </w:rPr>
            </w:r>
          </w:p>
        </w:tc>
        <w:tc>
          <w:tcPr>
            <w:tcW w:w="1553"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ind w:left="0" w:right="0" w:firstLine="160"/>
              <w:rPr>
                <w:sz w:val="4"/>
                <w:szCs w:val="4"/>
              </w:rPr>
            </w:pPr>
            <w:r>
              <w:rPr>
                <w:sz w:val="4"/>
                <w:szCs w:val="4"/>
              </w:rPr>
            </w:r>
          </w:p>
        </w:tc>
      </w:tr>
      <w:tr>
        <w:trPr/>
        <w:tc>
          <w:tcPr>
            <w:tcW w:w="2731"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(aq)</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 + 6.50%) / (0.75%)</w:t>
            </w:r>
          </w:p>
        </w:tc>
        <w:tc>
          <w:tcPr>
            <w:tcW w:w="69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10.31%/0.00%</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2/1/2022</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2/1/2027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9,940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10,000</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(750</w:t>
            </w:r>
            <w:r>
              <w:rPr>
                <w:rFonts w:ascii="Times New Roman" w:hAnsi="Times New Roman"/>
                <w:sz w:val="20"/>
              </w:rPr>
              <w:t> </w:t>
            </w:r>
            <w:r>
              <w:rPr>
                <w:rFonts w:ascii="Times New Roman;serif" w:hAnsi="Times New Roman;serif"/>
                <w:b w:val="false"/>
                <w:sz w:val="12"/>
              </w:rPr>
              <w:t>units) (h)(j)</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2/1/2022</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283"/>
              <w:ind w:left="0" w:right="0" w:hanging="0"/>
              <w:rPr>
                <w:sz w:val="4"/>
                <w:szCs w:val="4"/>
              </w:rPr>
            </w:pPr>
            <w:r>
              <w:rPr>
                <w:sz w:val="4"/>
                <w:szCs w:val="4"/>
              </w:rPr>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10,690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10,741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APM Intermediate Holdings, LLC (dba Artistic Paver Manufacturing, Inc.)</w:t>
            </w:r>
          </w:p>
        </w:tc>
        <w:tc>
          <w:tcPr>
            <w:tcW w:w="155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Building Products Manufacturing</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(av)</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 + 7.00%) / (2.00%)</w:t>
            </w:r>
          </w:p>
        </w:tc>
        <w:tc>
          <w:tcPr>
            <w:tcW w:w="69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11.21%/0.00%</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11/8/2022</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11/8/2027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14,890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14,890</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(1,200</w:t>
            </w:r>
            <w:r>
              <w:rPr>
                <w:rFonts w:ascii="Times New Roman" w:hAnsi="Times New Roman"/>
                <w:sz w:val="20"/>
              </w:rPr>
              <w:t> </w:t>
            </w:r>
            <w:r>
              <w:rPr>
                <w:rFonts w:ascii="Times New Roman;serif" w:hAnsi="Times New Roman;serif"/>
                <w:b w:val="false"/>
                <w:sz w:val="12"/>
              </w:rPr>
              <w:t>units) (h)(j)</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11/8/2022</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0"/>
              <w:ind w:left="0" w:right="0" w:hanging="0"/>
              <w:jc w:val="left"/>
              <w:rPr/>
            </w:pPr>
            <w:r>
              <w:rPr/>
              <w:t> </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16,090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16,090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Applied Data Corporation</w:t>
            </w:r>
          </w:p>
        </w:tc>
        <w:tc>
          <w:tcPr>
            <w:tcW w:w="155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(k)(v)</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 + 6.25%) / (1.50%)</w:t>
            </w:r>
          </w:p>
        </w:tc>
        <w:tc>
          <w:tcPr>
            <w:tcW w:w="69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10.07%/0.00%</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11/6/2020</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11/6/2025</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19,005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18,916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19,005</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(24</w:t>
            </w:r>
            <w:r>
              <w:rPr>
                <w:rFonts w:ascii="Times New Roman" w:hAnsi="Times New Roman"/>
                <w:sz w:val="20"/>
              </w:rPr>
              <w:t> </w:t>
            </w:r>
            <w:r>
              <w:rPr>
                <w:rFonts w:ascii="Times New Roman;serif" w:hAnsi="Times New Roman;serif"/>
                <w:b w:val="false"/>
                <w:sz w:val="12"/>
              </w:rPr>
              <w:t>units)</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11/6/2020</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465</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Preferred Equity (1,184,711</w:t>
            </w:r>
            <w:r>
              <w:rPr>
                <w:rFonts w:ascii="Times New Roman" w:hAnsi="Times New Roman"/>
                <w:sz w:val="20"/>
              </w:rPr>
              <w:t> </w:t>
            </w:r>
            <w:r>
              <w:rPr>
                <w:rFonts w:ascii="Times New Roman;serif" w:hAnsi="Times New Roman;serif"/>
                <w:b w:val="false"/>
                <w:sz w:val="12"/>
              </w:rPr>
              <w:t>units)</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11/6/2020</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1,185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283"/>
              <w:ind w:left="0" w:right="0" w:hanging="0"/>
              <w:rPr>
                <w:sz w:val="4"/>
                <w:szCs w:val="4"/>
              </w:rPr>
            </w:pPr>
            <w:r>
              <w:rPr>
                <w:sz w:val="4"/>
                <w:szCs w:val="4"/>
              </w:rPr>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20,167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20,834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Auto CRM LLC (dba Dealer Holdings)</w:t>
            </w:r>
          </w:p>
        </w:tc>
        <w:tc>
          <w:tcPr>
            <w:tcW w:w="155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(au)</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(P + 5.50%) / (3.25%)</w:t>
            </w:r>
          </w:p>
        </w:tc>
        <w:tc>
          <w:tcPr>
            <w:tcW w:w="69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13.00%/0.85%</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10/1/2021</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10/1/2026</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7,581</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Subordinated Debt</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0.00%/12.75%</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10/1/2021</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12/31/2026</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587</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(500</w:t>
            </w:r>
            <w:r>
              <w:rPr>
                <w:rFonts w:ascii="Times New Roman" w:hAnsi="Times New Roman"/>
                <w:sz w:val="20"/>
              </w:rPr>
              <w:t> </w:t>
            </w:r>
            <w:r>
              <w:rPr>
                <w:rFonts w:ascii="Times New Roman;serif" w:hAnsi="Times New Roman;serif"/>
                <w:b w:val="false"/>
                <w:sz w:val="12"/>
              </w:rPr>
              <w:t>units) (j)</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10/1/2021</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283"/>
              <w:ind w:left="0" w:right="0" w:hanging="0"/>
              <w:rPr>
                <w:sz w:val="4"/>
                <w:szCs w:val="4"/>
              </w:rPr>
            </w:pPr>
            <w:r>
              <w:rPr>
                <w:sz w:val="4"/>
                <w:szCs w:val="4"/>
              </w:rPr>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8,609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8,639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BCM One Group Holdings, Inc.</w:t>
            </w:r>
          </w:p>
        </w:tc>
        <w:tc>
          <w:tcPr>
            <w:tcW w:w="155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Subordinated Debt (j)</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10.25%/0.00%</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11/17/2021</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11/17/2028</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shd w:fill="auto" w:val="clear"/>
            <w:vAlign w:val="center"/>
          </w:tcPr>
          <w:p>
            <w:pPr>
              <w:pStyle w:val="TableContents"/>
              <w:spacing w:before="0" w:after="283"/>
              <w:ind w:left="0" w:right="0" w:hanging="0"/>
              <w:rPr>
                <w:sz w:val="4"/>
                <w:szCs w:val="4"/>
              </w:rPr>
            </w:pPr>
            <w:r>
              <w:rPr>
                <w:sz w:val="4"/>
                <w:szCs w:val="4"/>
              </w:rPr>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Bedford Precision Parts LLC</w:t>
            </w:r>
          </w:p>
        </w:tc>
        <w:tc>
          <w:tcPr>
            <w:tcW w:w="155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Specialty Distribution</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(500,000</w:t>
            </w:r>
            <w:r>
              <w:rPr>
                <w:rFonts w:ascii="Times New Roman" w:hAnsi="Times New Roman"/>
                <w:sz w:val="20"/>
              </w:rPr>
              <w:t> </w:t>
            </w:r>
            <w:r>
              <w:rPr>
                <w:rFonts w:ascii="Times New Roman;serif" w:hAnsi="Times New Roman;serif"/>
                <w:b w:val="false"/>
                <w:sz w:val="12"/>
              </w:rPr>
              <w:t>units) (h)(j)</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3/12/2019</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shd w:fill="auto" w:val="clear"/>
            <w:vAlign w:val="center"/>
          </w:tcPr>
          <w:p>
            <w:pPr>
              <w:pStyle w:val="TableContents"/>
              <w:spacing w:before="0" w:after="283"/>
              <w:ind w:left="0" w:right="0" w:hanging="0"/>
              <w:rPr>
                <w:sz w:val="4"/>
                <w:szCs w:val="4"/>
              </w:rPr>
            </w:pPr>
            <w:r>
              <w:rPr>
                <w:sz w:val="4"/>
                <w:szCs w:val="4"/>
              </w:rPr>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BP Thrift Buyer, LLC (dba myUnique and Ecothrift)</w:t>
            </w:r>
          </w:p>
        </w:tc>
        <w:tc>
          <w:tcPr>
            <w:tcW w:w="155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Retail</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(j)(al)</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 + 5.75%) / (1.50%)</w:t>
            </w:r>
          </w:p>
        </w:tc>
        <w:tc>
          <w:tcPr>
            <w:tcW w:w="69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9.31%/0.00%</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9/13/2022</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9/13/2027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19,564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19,564</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(1,000</w:t>
            </w:r>
            <w:r>
              <w:rPr>
                <w:rFonts w:ascii="Times New Roman" w:hAnsi="Times New Roman"/>
                <w:sz w:val="20"/>
              </w:rPr>
              <w:t> </w:t>
            </w:r>
            <w:r>
              <w:rPr>
                <w:rFonts w:ascii="Times New Roman;serif" w:hAnsi="Times New Roman;serif"/>
                <w:b w:val="false"/>
                <w:sz w:val="12"/>
              </w:rPr>
              <w:t>units) (j)</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9/13/2022</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283"/>
              <w:ind w:left="0" w:right="0" w:hanging="0"/>
              <w:rPr>
                <w:sz w:val="4"/>
                <w:szCs w:val="4"/>
              </w:rPr>
            </w:pPr>
            <w:r>
              <w:rPr>
                <w:sz w:val="4"/>
                <w:szCs w:val="4"/>
              </w:rPr>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20,564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20,564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Cardback Intermediate, LLC (dba Chargeback Gurus)</w:t>
            </w:r>
          </w:p>
        </w:tc>
        <w:tc>
          <w:tcPr>
            <w:tcW w:w="155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(j)(ah)</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 + 6.50%) / (0.75%)</w:t>
            </w:r>
          </w:p>
        </w:tc>
        <w:tc>
          <w:tcPr>
            <w:tcW w:w="69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10.24%/0.00%</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8/10/2021</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8/10/2026</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12,485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12,541</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(495</w:t>
            </w:r>
            <w:r>
              <w:rPr>
                <w:rFonts w:ascii="Times New Roman" w:hAnsi="Times New Roman"/>
                <w:sz w:val="20"/>
              </w:rPr>
              <w:t> </w:t>
            </w:r>
            <w:r>
              <w:rPr>
                <w:rFonts w:ascii="Times New Roman;serif" w:hAnsi="Times New Roman;serif"/>
                <w:b w:val="false"/>
                <w:sz w:val="12"/>
              </w:rPr>
              <w:t>shares) (j)</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8/10/2021</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33</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Preferred Equity (495</w:t>
            </w:r>
            <w:r>
              <w:rPr>
                <w:rFonts w:ascii="Times New Roman" w:hAnsi="Times New Roman"/>
                <w:sz w:val="20"/>
              </w:rPr>
              <w:t> </w:t>
            </w:r>
            <w:r>
              <w:rPr>
                <w:rFonts w:ascii="Times New Roman;serif" w:hAnsi="Times New Roman;serif"/>
                <w:b w:val="false"/>
                <w:sz w:val="12"/>
              </w:rPr>
              <w:t>shares) (j)</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8/10/2021</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283"/>
              <w:ind w:left="0" w:right="0" w:hanging="0"/>
              <w:rPr>
                <w:sz w:val="4"/>
                <w:szCs w:val="4"/>
              </w:rPr>
            </w:pPr>
            <w:r>
              <w:rPr>
                <w:sz w:val="4"/>
                <w:szCs w:val="4"/>
              </w:rPr>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12,735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12,851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Cardboard Box LLC (dba Anthony's Coal Fired Pizza) (ad)</w:t>
            </w:r>
          </w:p>
        </w:tc>
        <w:tc>
          <w:tcPr>
            <w:tcW w:w="155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Restaurants</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(14,201</w:t>
            </w:r>
            <w:r>
              <w:rPr>
                <w:rFonts w:ascii="Times New Roman" w:hAnsi="Times New Roman"/>
                <w:sz w:val="20"/>
              </w:rPr>
              <w:t> </w:t>
            </w:r>
            <w:r>
              <w:rPr>
                <w:rFonts w:ascii="Times New Roman;serif" w:hAnsi="Times New Roman;serif"/>
                <w:b w:val="false"/>
                <w:sz w:val="12"/>
              </w:rPr>
              <w:t>units) (j)(ao)</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11/3/2022</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Preferred Equity (9,787</w:t>
            </w:r>
            <w:r>
              <w:rPr>
                <w:rFonts w:ascii="Times New Roman" w:hAnsi="Times New Roman"/>
                <w:sz w:val="20"/>
              </w:rPr>
              <w:t> </w:t>
            </w:r>
            <w:r>
              <w:rPr>
                <w:rFonts w:ascii="Times New Roman;serif" w:hAnsi="Times New Roman;serif"/>
                <w:b w:val="false"/>
                <w:sz w:val="12"/>
              </w:rPr>
              <w:t>units) (j)(ao)</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11/3/2022</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292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283"/>
              <w:ind w:left="0" w:right="0" w:hanging="0"/>
              <w:rPr>
                <w:sz w:val="4"/>
                <w:szCs w:val="4"/>
              </w:rPr>
            </w:pPr>
            <w:r>
              <w:rPr>
                <w:sz w:val="4"/>
                <w:szCs w:val="4"/>
              </w:rPr>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Choice Technology Solutions, LLC (dba Choice Merchant Solutions, LLC)</w:t>
            </w:r>
          </w:p>
        </w:tc>
        <w:tc>
          <w:tcPr>
            <w:tcW w:w="155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 + 7.25%) / (1.00%)</w:t>
            </w:r>
          </w:p>
        </w:tc>
        <w:tc>
          <w:tcPr>
            <w:tcW w:w="69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11.06%/0.00%</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4/1/2022</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4/1/2027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8,460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8,500</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Revolving Loan ($1,000</w:t>
            </w:r>
            <w:r>
              <w:rPr>
                <w:rFonts w:ascii="Times New Roman" w:hAnsi="Times New Roman"/>
                <w:sz w:val="20"/>
              </w:rPr>
              <w:t> </w:t>
            </w:r>
            <w:r>
              <w:rPr>
                <w:rFonts w:ascii="Times New Roman;serif" w:hAnsi="Times New Roman;serif"/>
                <w:b w:val="false"/>
                <w:sz w:val="12"/>
              </w:rPr>
              <w:t>unfunded commitment) (i)(j)</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 + 6.25%) / (1.00%)</w:t>
            </w:r>
          </w:p>
        </w:tc>
        <w:tc>
          <w:tcPr>
            <w:tcW w:w="69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10.06%/0.00%</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4/1/2022</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4/1/2027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283"/>
              <w:ind w:left="0" w:right="0" w:hanging="0"/>
              <w:rPr>
                <w:sz w:val="4"/>
                <w:szCs w:val="4"/>
              </w:rPr>
            </w:pPr>
            <w:r>
              <w:rPr>
                <w:sz w:val="4"/>
                <w:szCs w:val="4"/>
              </w:rPr>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8,460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CIH Intermediate, LLC</w:t>
            </w:r>
          </w:p>
        </w:tc>
        <w:tc>
          <w:tcPr>
            <w:tcW w:w="155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Business Services</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Subordinated Debt (k)</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10.00%/1.00%</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3/3/2022</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3/3/2028</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13,751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13,634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13,751</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(563</w:t>
            </w:r>
            <w:r>
              <w:rPr>
                <w:rFonts w:ascii="Times New Roman" w:hAnsi="Times New Roman"/>
                <w:sz w:val="20"/>
              </w:rPr>
              <w:t> </w:t>
            </w:r>
            <w:r>
              <w:rPr>
                <w:rFonts w:ascii="Times New Roman;serif" w:hAnsi="Times New Roman;serif"/>
                <w:b w:val="false"/>
                <w:sz w:val="12"/>
              </w:rPr>
              <w:t>shares) (j)</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3/3/2022</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425</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Preferred Equity (563</w:t>
            </w:r>
            <w:r>
              <w:rPr>
                <w:rFonts w:ascii="Times New Roman" w:hAnsi="Times New Roman"/>
                <w:sz w:val="20"/>
              </w:rPr>
              <w:t> </w:t>
            </w:r>
            <w:r>
              <w:rPr>
                <w:rFonts w:ascii="Times New Roman;serif" w:hAnsi="Times New Roman;serif"/>
                <w:b w:val="false"/>
                <w:sz w:val="12"/>
              </w:rPr>
              <w:t>shares) (j)</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3/3/2022</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853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283"/>
              <w:ind w:left="0" w:right="0" w:hanging="0"/>
              <w:rPr>
                <w:sz w:val="4"/>
                <w:szCs w:val="4"/>
              </w:rPr>
            </w:pPr>
            <w:r>
              <w:rPr>
                <w:sz w:val="4"/>
                <w:szCs w:val="4"/>
              </w:rPr>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14,434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15,029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Combined Systems, Inc.</w:t>
            </w:r>
          </w:p>
        </w:tc>
        <w:tc>
          <w:tcPr>
            <w:tcW w:w="155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Aerospace &amp; Defense Manufacturing</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 + 11.00%) / (2.00%)</w:t>
            </w:r>
          </w:p>
        </w:tc>
        <w:tc>
          <w:tcPr>
            <w:tcW w:w="69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17.74%/0.00%</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1/31/2020</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1/31/2025</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4,890</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 + 11.00%) / (2.00%)</w:t>
            </w:r>
          </w:p>
        </w:tc>
        <w:tc>
          <w:tcPr>
            <w:tcW w:w="69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18.75%/0.00%</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12/22/2022</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2/15/2023</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475</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Revolving Loan ($162</w:t>
            </w:r>
            <w:r>
              <w:rPr>
                <w:rFonts w:ascii="Times New Roman" w:hAnsi="Times New Roman"/>
                <w:sz w:val="20"/>
              </w:rPr>
              <w:t> </w:t>
            </w:r>
            <w:r>
              <w:rPr>
                <w:rFonts w:ascii="Times New Roman;serif" w:hAnsi="Times New Roman;serif"/>
                <w:b w:val="false"/>
                <w:sz w:val="12"/>
              </w:rPr>
              <w:t>unfunded commitment) (j)(ac)</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 + 10.00%) / (2.00%)</w:t>
            </w:r>
          </w:p>
        </w:tc>
        <w:tc>
          <w:tcPr>
            <w:tcW w:w="69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16.74%/0.00%</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1/31/2020</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1/31/2025</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3,828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3,838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283"/>
              <w:ind w:left="0" w:right="0" w:hanging="0"/>
              <w:rPr>
                <w:sz w:val="4"/>
                <w:szCs w:val="4"/>
              </w:rPr>
            </w:pPr>
            <w:r>
              <w:rPr>
                <w:sz w:val="4"/>
                <w:szCs w:val="4"/>
              </w:rPr>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Comply365, LLC</w:t>
            </w:r>
          </w:p>
        </w:tc>
        <w:tc>
          <w:tcPr>
            <w:tcW w:w="155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Aerospace &amp; Defense Manufacturing</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(1,000,000</w:t>
            </w:r>
            <w:r>
              <w:rPr>
                <w:rFonts w:ascii="Times New Roman" w:hAnsi="Times New Roman"/>
                <w:sz w:val="20"/>
              </w:rPr>
              <w:t> </w:t>
            </w:r>
            <w:r>
              <w:rPr>
                <w:rFonts w:ascii="Times New Roman;serif" w:hAnsi="Times New Roman;serif"/>
                <w:b w:val="false"/>
                <w:sz w:val="12"/>
              </w:rPr>
              <w:t>units)</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12/11/2020</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shd w:fill="auto" w:val="clear"/>
            <w:vAlign w:val="center"/>
          </w:tcPr>
          <w:p>
            <w:pPr>
              <w:pStyle w:val="TableContents"/>
              <w:spacing w:before="0" w:after="283"/>
              <w:ind w:left="0" w:right="0" w:hanging="0"/>
              <w:rPr>
                <w:sz w:val="4"/>
                <w:szCs w:val="4"/>
              </w:rPr>
            </w:pPr>
            <w:r>
              <w:rPr>
                <w:sz w:val="4"/>
                <w:szCs w:val="4"/>
              </w:rPr>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CRS Solutions Holdings, LLC (dba CRS Texas)</w:t>
            </w:r>
          </w:p>
        </w:tc>
        <w:tc>
          <w:tcPr>
            <w:tcW w:w="155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Business Services</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(Class A Units) (574,929</w:t>
            </w:r>
            <w:r>
              <w:rPr>
                <w:rFonts w:ascii="Times New Roman" w:hAnsi="Times New Roman"/>
                <w:sz w:val="20"/>
              </w:rPr>
              <w:t> </w:t>
            </w:r>
            <w:r>
              <w:rPr>
                <w:rFonts w:ascii="Times New Roman;serif" w:hAnsi="Times New Roman;serif"/>
                <w:b w:val="false"/>
                <w:sz w:val="12"/>
              </w:rPr>
              <w:t>units) (h)(j)</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6/28/2022</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shd w:fill="auto" w:val="clear"/>
            <w:vAlign w:val="center"/>
          </w:tcPr>
          <w:p>
            <w:pPr>
              <w:pStyle w:val="TableContents"/>
              <w:spacing w:before="0" w:after="283"/>
              <w:ind w:left="0" w:right="0" w:hanging="0"/>
              <w:rPr>
                <w:sz w:val="4"/>
                <w:szCs w:val="4"/>
              </w:rPr>
            </w:pPr>
            <w:r>
              <w:rPr>
                <w:sz w:val="4"/>
                <w:szCs w:val="4"/>
              </w:rPr>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Dataguise, Inc.</w:t>
            </w:r>
          </w:p>
        </w:tc>
        <w:tc>
          <w:tcPr>
            <w:tcW w:w="155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Subordinated Debt (j)</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11.00%/3.00%</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12/30/2022</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11/23/2027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20,763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20,712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20,714</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(909</w:t>
            </w:r>
            <w:r>
              <w:rPr>
                <w:rFonts w:ascii="Times New Roman" w:hAnsi="Times New Roman"/>
                <w:sz w:val="20"/>
              </w:rPr>
              <w:t> </w:t>
            </w:r>
            <w:r>
              <w:rPr>
                <w:rFonts w:ascii="Times New Roman;serif" w:hAnsi="Times New Roman;serif"/>
                <w:b w:val="false"/>
                <w:sz w:val="12"/>
              </w:rPr>
              <w:t>shares) (j)</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12/31/2020</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283"/>
              <w:ind w:left="0" w:right="0" w:hanging="0"/>
              <w:rPr>
                <w:sz w:val="4"/>
                <w:szCs w:val="4"/>
              </w:rPr>
            </w:pPr>
            <w:r>
              <w:rPr>
                <w:sz w:val="4"/>
                <w:szCs w:val="4"/>
              </w:rPr>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22,212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21,283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Diversified Search LLC</w:t>
            </w:r>
          </w:p>
        </w:tc>
        <w:tc>
          <w:tcPr>
            <w:tcW w:w="155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Business Services</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(k)(r)</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 + 6.50%) / (1.00%)</w:t>
            </w:r>
          </w:p>
        </w:tc>
        <w:tc>
          <w:tcPr>
            <w:tcW w:w="69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10.32%/0.00%</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2/7/2019</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2/7/2024</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24,155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24,041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24,155</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(573</w:t>
            </w:r>
            <w:r>
              <w:rPr>
                <w:rFonts w:ascii="Times New Roman" w:hAnsi="Times New Roman"/>
                <w:sz w:val="20"/>
              </w:rPr>
              <w:t> </w:t>
            </w:r>
            <w:r>
              <w:rPr>
                <w:rFonts w:ascii="Times New Roman;serif" w:hAnsi="Times New Roman;serif"/>
                <w:b w:val="false"/>
                <w:sz w:val="12"/>
              </w:rPr>
              <w:t>units) (h)(j)</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2/7/2019</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283"/>
              <w:ind w:left="0" w:right="0" w:hanging="0"/>
              <w:rPr>
                <w:sz w:val="4"/>
                <w:szCs w:val="4"/>
              </w:rPr>
            </w:pPr>
            <w:r>
              <w:rPr>
                <w:sz w:val="4"/>
                <w:szCs w:val="4"/>
              </w:rPr>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24,593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25,257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ECM Industries, LLC</w:t>
            </w:r>
          </w:p>
        </w:tc>
        <w:tc>
          <w:tcPr>
            <w:tcW w:w="155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Component Manufacturing</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(1,000,000</w:t>
            </w:r>
            <w:r>
              <w:rPr>
                <w:rFonts w:ascii="Times New Roman" w:hAnsi="Times New Roman"/>
                <w:sz w:val="20"/>
              </w:rPr>
              <w:t> </w:t>
            </w:r>
            <w:r>
              <w:rPr>
                <w:rFonts w:ascii="Times New Roman;serif" w:hAnsi="Times New Roman;serif"/>
                <w:b w:val="false"/>
                <w:sz w:val="12"/>
              </w:rPr>
              <w:t>units) (h)(j)</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4/30/2020</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shd w:fill="auto" w:val="clear"/>
            <w:vAlign w:val="center"/>
          </w:tcPr>
          <w:p>
            <w:pPr>
              <w:pStyle w:val="TableContents"/>
              <w:spacing w:before="0" w:after="283"/>
              <w:ind w:left="0" w:right="0" w:hanging="0"/>
              <w:rPr>
                <w:sz w:val="4"/>
                <w:szCs w:val="4"/>
              </w:rPr>
            </w:pPr>
            <w:r>
              <w:rPr>
                <w:sz w:val="4"/>
                <w:szCs w:val="4"/>
              </w:rPr>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Education Incites, LLC (dba Acceleration Academies)</w:t>
            </w:r>
          </w:p>
        </w:tc>
        <w:tc>
          <w:tcPr>
            <w:tcW w:w="155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Business Services</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12.75%/0.00%</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10/31/2022</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10/29/2027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5,971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5,971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shd w:fill="auto" w:val="clear"/>
            <w:vAlign w:val="center"/>
          </w:tcPr>
          <w:p>
            <w:pPr>
              <w:pStyle w:val="TableContents"/>
              <w:spacing w:before="0" w:after="283"/>
              <w:ind w:left="0" w:right="0" w:hanging="0"/>
              <w:rPr>
                <w:sz w:val="4"/>
                <w:szCs w:val="4"/>
              </w:rPr>
            </w:pPr>
            <w:r>
              <w:rPr>
                <w:sz w:val="4"/>
                <w:szCs w:val="4"/>
              </w:rPr>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Elements Brands, LLC</w:t>
            </w:r>
          </w:p>
        </w:tc>
        <w:tc>
          <w:tcPr>
            <w:tcW w:w="155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Products</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12.25%/0.00%</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12/31/2020</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6/30/2024</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1,775</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Revolving Loan (j)</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12.25%/0.00%</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12/31/2020</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6/30/2024</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1,490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283"/>
              <w:ind w:left="0" w:right="0" w:hanging="0"/>
              <w:rPr>
                <w:sz w:val="4"/>
                <w:szCs w:val="4"/>
              </w:rPr>
            </w:pPr>
            <w:r>
              <w:rPr>
                <w:sz w:val="4"/>
                <w:szCs w:val="4"/>
              </w:rPr>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Fishbowl Solutions, LLC</w:t>
            </w:r>
          </w:p>
        </w:tc>
        <w:tc>
          <w:tcPr>
            <w:tcW w:w="155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(ar)</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 + 7.75%) / (1.00%)</w:t>
            </w:r>
          </w:p>
        </w:tc>
        <w:tc>
          <w:tcPr>
            <w:tcW w:w="69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12.57%/0.00%</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3/25/2022</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3/25/2027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14,428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14,335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14,427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shd w:fill="auto" w:val="clear"/>
            <w:vAlign w:val="center"/>
          </w:tcPr>
          <w:p>
            <w:pPr>
              <w:pStyle w:val="TableContents"/>
              <w:spacing w:before="0" w:after="283"/>
              <w:ind w:left="0" w:right="0" w:hanging="0"/>
              <w:rPr>
                <w:sz w:val="4"/>
                <w:szCs w:val="4"/>
              </w:rPr>
            </w:pPr>
            <w:r>
              <w:rPr>
                <w:sz w:val="4"/>
                <w:szCs w:val="4"/>
              </w:rPr>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Global Plasma Solutions, Inc.</w:t>
            </w:r>
          </w:p>
        </w:tc>
        <w:tc>
          <w:tcPr>
            <w:tcW w:w="155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Component Manufacturing</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(947</w:t>
            </w:r>
            <w:r>
              <w:rPr>
                <w:rFonts w:ascii="Times New Roman" w:hAnsi="Times New Roman"/>
                <w:sz w:val="20"/>
              </w:rPr>
              <w:t> </w:t>
            </w:r>
            <w:r>
              <w:rPr>
                <w:rFonts w:ascii="Times New Roman;serif" w:hAnsi="Times New Roman;serif"/>
                <w:b w:val="false"/>
                <w:sz w:val="12"/>
              </w:rPr>
              <w:t>shares) (j)</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9/21/2018</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shd w:fill="auto" w:val="clear"/>
            <w:vAlign w:val="center"/>
          </w:tcPr>
          <w:p>
            <w:pPr>
              <w:pStyle w:val="TableContents"/>
              <w:spacing w:before="0" w:after="283"/>
              <w:ind w:left="0" w:right="0" w:hanging="0"/>
              <w:rPr>
                <w:sz w:val="4"/>
                <w:szCs w:val="4"/>
              </w:rPr>
            </w:pPr>
            <w:r>
              <w:rPr>
                <w:sz w:val="4"/>
                <w:szCs w:val="4"/>
              </w:rPr>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GP&amp;C Operations, LLC (dba Garlock Printing and Converting)</w:t>
            </w:r>
          </w:p>
        </w:tc>
        <w:tc>
          <w:tcPr>
            <w:tcW w:w="155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Component Manufacturing</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(w)</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 + 8.25%) / (1.00%)</w:t>
            </w:r>
          </w:p>
        </w:tc>
        <w:tc>
          <w:tcPr>
            <w:tcW w:w="69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13.01%/0.00%</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1/22/2021</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1/22/2026</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10,899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11,000</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(515,625</w:t>
            </w:r>
            <w:r>
              <w:rPr>
                <w:rFonts w:ascii="Times New Roman" w:hAnsi="Times New Roman"/>
                <w:sz w:val="20"/>
              </w:rPr>
              <w:t> </w:t>
            </w:r>
            <w:r>
              <w:rPr>
                <w:rFonts w:ascii="Times New Roman;serif" w:hAnsi="Times New Roman;serif"/>
                <w:b w:val="false"/>
                <w:sz w:val="12"/>
              </w:rPr>
              <w:t>units) (h)(j)</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1/22/2021</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283"/>
              <w:ind w:left="0" w:right="0" w:hanging="0"/>
              <w:rPr>
                <w:sz w:val="4"/>
                <w:szCs w:val="4"/>
              </w:rPr>
            </w:pPr>
            <w:r>
              <w:rPr>
                <w:sz w:val="4"/>
                <w:szCs w:val="4"/>
              </w:rPr>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Green Cubes Technology, LLC (dba Green Cubes)</w:t>
            </w:r>
          </w:p>
        </w:tc>
        <w:tc>
          <w:tcPr>
            <w:tcW w:w="155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firstLine="160"/>
              <w:jc w:val="left"/>
              <w:rPr/>
            </w:pPr>
            <w:r>
              <w:rPr/>
              <w:t> </w:t>
            </w:r>
          </w:p>
        </w:tc>
      </w:tr>
      <w:tr>
        <w:trPr/>
        <w:tc>
          <w:tcPr>
            <w:tcW w:w="2731"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w:t>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 + 13.00%) / (0.00%)</w:t>
            </w:r>
          </w:p>
        </w:tc>
        <w:tc>
          <w:tcPr>
            <w:tcW w:w="69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17.77%/0.00%</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12/17/2021</w:t>
            </w:r>
          </w:p>
        </w:tc>
        <w:tc>
          <w:tcPr>
            <w:tcW w:w="53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12/17/2024</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12,952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31" w:type="dxa"/>
            <w:tcBorders/>
            <w:shd w:fill="auto" w:val="clear"/>
            <w:vAlign w:val="center"/>
          </w:tcPr>
          <w:p>
            <w:pPr>
              <w:pStyle w:val="TableContents"/>
              <w:spacing w:before="0" w:after="283"/>
              <w:ind w:left="0" w:right="0" w:hanging="0"/>
              <w:rPr>
                <w:sz w:val="4"/>
                <w:szCs w:val="4"/>
              </w:rPr>
            </w:pPr>
            <w:r>
              <w:rPr>
                <w:sz w:val="4"/>
                <w:szCs w:val="4"/>
              </w:rPr>
            </w:r>
          </w:p>
        </w:tc>
        <w:tc>
          <w:tcPr>
            <w:tcW w:w="1553" w:type="dxa"/>
            <w:tcBorders/>
            <w:shd w:fill="auto" w:val="clear"/>
            <w:vAlign w:val="center"/>
          </w:tcPr>
          <w:p>
            <w:pPr>
              <w:pStyle w:val="TableContents"/>
              <w:spacing w:before="0" w:after="0"/>
              <w:ind w:left="0" w:right="0" w:hanging="0"/>
              <w:jc w:val="left"/>
              <w:rPr/>
            </w:pPr>
            <w:r>
              <w:rPr/>
              <w:t> </w:t>
            </w:r>
          </w:p>
        </w:tc>
        <w:tc>
          <w:tcPr>
            <w:tcW w:w="1017" w:type="dxa"/>
            <w:tcBorders/>
            <w:shd w:fill="auto" w:val="clear"/>
            <w:vAlign w:val="center"/>
          </w:tcPr>
          <w:p>
            <w:pPr>
              <w:pStyle w:val="TableContents"/>
              <w:spacing w:before="0" w:after="0"/>
              <w:ind w:left="0" w:right="0" w:hanging="0"/>
              <w:jc w:val="left"/>
              <w:rPr/>
            </w:pPr>
            <w:r>
              <w:rPr/>
              <w:t> </w:t>
            </w:r>
          </w:p>
        </w:tc>
        <w:tc>
          <w:tcPr>
            <w:tcW w:w="696"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3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924"/>
        <w:gridCol w:w="1370"/>
        <w:gridCol w:w="985"/>
        <w:gridCol w:w="680"/>
        <w:gridCol w:w="519"/>
        <w:gridCol w:w="519"/>
        <w:gridCol w:w="146"/>
        <w:gridCol w:w="436"/>
        <w:gridCol w:w="146"/>
        <w:gridCol w:w="146"/>
        <w:gridCol w:w="146"/>
        <w:gridCol w:w="436"/>
        <w:gridCol w:w="146"/>
        <w:gridCol w:w="146"/>
        <w:gridCol w:w="146"/>
        <w:gridCol w:w="436"/>
        <w:gridCol w:w="146"/>
        <w:gridCol w:w="146"/>
        <w:gridCol w:w="166"/>
        <w:gridCol w:w="420"/>
      </w:tblGrid>
      <w:tr>
        <w:trPr/>
        <w:tc>
          <w:tcPr>
            <w:tcW w:w="2924"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r>
      <w:tr>
        <w:trPr/>
        <w:tc>
          <w:tcPr>
            <w:tcW w:w="292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Gurobi Optimization, LLC</w:t>
            </w:r>
          </w:p>
        </w:tc>
        <w:tc>
          <w:tcPr>
            <w:tcW w:w="13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(3</w:t>
            </w:r>
            <w:r>
              <w:rPr>
                <w:rFonts w:ascii="Times New Roman" w:hAnsi="Times New Roman"/>
                <w:sz w:val="20"/>
              </w:rPr>
              <w:t> </w:t>
            </w:r>
            <w:r>
              <w:rPr>
                <w:rFonts w:ascii="Times New Roman;serif" w:hAnsi="Times New Roman;serif"/>
                <w:b w:val="false"/>
                <w:sz w:val="12"/>
              </w:rPr>
              <w:t>shares)</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12/19/2017</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shd w:fill="auto" w:val="clear"/>
            <w:vAlign w:val="center"/>
          </w:tcPr>
          <w:p>
            <w:pPr>
              <w:pStyle w:val="TableContents"/>
              <w:spacing w:before="0" w:after="283"/>
              <w:ind w:left="0" w:right="0" w:hanging="0"/>
              <w:rPr>
                <w:sz w:val="4"/>
                <w:szCs w:val="4"/>
              </w:rPr>
            </w:pPr>
            <w:r>
              <w:rPr>
                <w:sz w:val="4"/>
                <w:szCs w:val="4"/>
              </w:rPr>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r>
      <w:tr>
        <w:trPr/>
        <w:tc>
          <w:tcPr>
            <w:tcW w:w="292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Haematologic Technologies, Inc.</w:t>
            </w:r>
          </w:p>
        </w:tc>
        <w:tc>
          <w:tcPr>
            <w:tcW w:w="13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 Services</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(x)</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 + 8.25%) / (2.00%)</w:t>
            </w:r>
          </w:p>
        </w:tc>
        <w:tc>
          <w:tcPr>
            <w:tcW w:w="6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12.98%/0.00%</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10/11/2019</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10/11/2024</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5,378</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(630</w:t>
            </w:r>
            <w:r>
              <w:rPr>
                <w:rFonts w:ascii="Times New Roman" w:hAnsi="Times New Roman"/>
                <w:sz w:val="20"/>
              </w:rPr>
              <w:t> </w:t>
            </w:r>
            <w:r>
              <w:rPr>
                <w:rFonts w:ascii="Times New Roman;serif" w:hAnsi="Times New Roman;serif"/>
                <w:b w:val="false"/>
                <w:sz w:val="12"/>
              </w:rPr>
              <w:t>units) (h)(j)</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10/11/2019</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630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r>
      <w:tr>
        <w:trPr/>
        <w:tc>
          <w:tcPr>
            <w:tcW w:w="2924" w:type="dxa"/>
            <w:tcBorders/>
            <w:shd w:fill="auto" w:val="clear"/>
            <w:vAlign w:val="center"/>
          </w:tcPr>
          <w:p>
            <w:pPr>
              <w:pStyle w:val="TableContents"/>
              <w:spacing w:before="0" w:after="283"/>
              <w:ind w:left="0" w:right="0" w:hanging="0"/>
              <w:rPr>
                <w:sz w:val="4"/>
                <w:szCs w:val="4"/>
              </w:rPr>
            </w:pPr>
            <w:r>
              <w:rPr>
                <w:sz w:val="4"/>
                <w:szCs w:val="4"/>
              </w:rPr>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5,993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5,793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Hallmark Health Care Solutions, Inc.</w:t>
            </w:r>
          </w:p>
        </w:tc>
        <w:tc>
          <w:tcPr>
            <w:tcW w:w="13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 Services</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(j)(ae)</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 + 7.25%) / (1.50%)</w:t>
            </w:r>
          </w:p>
        </w:tc>
        <w:tc>
          <w:tcPr>
            <w:tcW w:w="6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10.99%/0.00%</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12/4/2020</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12/4/2025</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8,361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8,323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8,361</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(750,000</w:t>
            </w:r>
            <w:r>
              <w:rPr>
                <w:rFonts w:ascii="Times New Roman" w:hAnsi="Times New Roman"/>
                <w:sz w:val="20"/>
              </w:rPr>
              <w:t> </w:t>
            </w:r>
            <w:r>
              <w:rPr>
                <w:rFonts w:ascii="Times New Roman;serif" w:hAnsi="Times New Roman;serif"/>
                <w:b w:val="false"/>
                <w:sz w:val="12"/>
              </w:rPr>
              <w:t>units) (j)</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12/4/2020</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3,517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r>
      <w:tr>
        <w:trPr/>
        <w:tc>
          <w:tcPr>
            <w:tcW w:w="2924" w:type="dxa"/>
            <w:tcBorders/>
            <w:shd w:fill="auto" w:val="clear"/>
            <w:vAlign w:val="center"/>
          </w:tcPr>
          <w:p>
            <w:pPr>
              <w:pStyle w:val="TableContents"/>
              <w:spacing w:before="0" w:after="283"/>
              <w:ind w:left="0" w:right="0" w:hanging="0"/>
              <w:rPr>
                <w:sz w:val="4"/>
                <w:szCs w:val="4"/>
              </w:rPr>
            </w:pPr>
            <w:r>
              <w:rPr>
                <w:sz w:val="4"/>
                <w:szCs w:val="4"/>
              </w:rPr>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9,073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11,878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Healthfuse, LLC</w:t>
            </w:r>
          </w:p>
        </w:tc>
        <w:tc>
          <w:tcPr>
            <w:tcW w:w="13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 Services</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Preferred Equity (197,980</w:t>
            </w:r>
            <w:r>
              <w:rPr>
                <w:rFonts w:ascii="Times New Roman" w:hAnsi="Times New Roman"/>
                <w:sz w:val="20"/>
              </w:rPr>
              <w:t> </w:t>
            </w:r>
            <w:r>
              <w:rPr>
                <w:rFonts w:ascii="Times New Roman;serif" w:hAnsi="Times New Roman;serif"/>
                <w:b w:val="false"/>
                <w:sz w:val="12"/>
              </w:rPr>
              <w:t>units)</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11/13/2020</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shd w:fill="auto" w:val="clear"/>
            <w:vAlign w:val="center"/>
          </w:tcPr>
          <w:p>
            <w:pPr>
              <w:pStyle w:val="TableContents"/>
              <w:spacing w:before="0" w:after="283"/>
              <w:ind w:left="0" w:right="0" w:hanging="0"/>
              <w:rPr>
                <w:sz w:val="4"/>
                <w:szCs w:val="4"/>
              </w:rPr>
            </w:pPr>
            <w:r>
              <w:rPr>
                <w:sz w:val="4"/>
                <w:szCs w:val="4"/>
              </w:rPr>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r>
      <w:tr>
        <w:trPr/>
        <w:tc>
          <w:tcPr>
            <w:tcW w:w="292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Hub Acquisition Sub, LLC (dba Hub Pen)</w:t>
            </w:r>
          </w:p>
        </w:tc>
        <w:tc>
          <w:tcPr>
            <w:tcW w:w="13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Promotional products</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 (k)</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12.50%/1.00%</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3/23/2016</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12/15/2023</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25,007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25,005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25,006</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(3,750</w:t>
            </w:r>
            <w:r>
              <w:rPr>
                <w:rFonts w:ascii="Times New Roman" w:hAnsi="Times New Roman"/>
                <w:sz w:val="20"/>
              </w:rPr>
              <w:t> </w:t>
            </w:r>
            <w:r>
              <w:rPr>
                <w:rFonts w:ascii="Times New Roman;serif" w:hAnsi="Times New Roman;serif"/>
                <w:b w:val="false"/>
                <w:sz w:val="12"/>
              </w:rPr>
              <w:t>units)</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3/23/2016</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708</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Preferred Equity (868</w:t>
            </w:r>
            <w:r>
              <w:rPr>
                <w:rFonts w:ascii="Times New Roman" w:hAnsi="Times New Roman"/>
                <w:sz w:val="20"/>
              </w:rPr>
              <w:t> </w:t>
            </w:r>
            <w:r>
              <w:rPr>
                <w:rFonts w:ascii="Times New Roman;serif" w:hAnsi="Times New Roman;serif"/>
                <w:b w:val="false"/>
                <w:sz w:val="12"/>
              </w:rPr>
              <w:t>units) (j)</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10/16/2020</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r>
      <w:tr>
        <w:trPr/>
        <w:tc>
          <w:tcPr>
            <w:tcW w:w="2924" w:type="dxa"/>
            <w:tcBorders/>
            <w:shd w:fill="auto" w:val="clear"/>
            <w:vAlign w:val="center"/>
          </w:tcPr>
          <w:p>
            <w:pPr>
              <w:pStyle w:val="TableContents"/>
              <w:spacing w:before="0" w:after="283"/>
              <w:ind w:left="0" w:right="0" w:hanging="0"/>
              <w:rPr>
                <w:sz w:val="4"/>
                <w:szCs w:val="4"/>
              </w:rPr>
            </w:pPr>
            <w:r>
              <w:rPr>
                <w:sz w:val="4"/>
                <w:szCs w:val="4"/>
              </w:rPr>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25,220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25,932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IBH Holdings, LLC (fka Inflexxion, Inc.)</w:t>
            </w:r>
          </w:p>
        </w:tc>
        <w:tc>
          <w:tcPr>
            <w:tcW w:w="13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Business Services</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(150,000</w:t>
            </w:r>
            <w:r>
              <w:rPr>
                <w:rFonts w:ascii="Times New Roman" w:hAnsi="Times New Roman"/>
                <w:sz w:val="20"/>
              </w:rPr>
              <w:t> </w:t>
            </w:r>
            <w:r>
              <w:rPr>
                <w:rFonts w:ascii="Times New Roman;serif" w:hAnsi="Times New Roman;serif"/>
                <w:b w:val="false"/>
                <w:sz w:val="12"/>
              </w:rPr>
              <w:t>units)</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6/20/2018</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shd w:fill="auto" w:val="clear"/>
            <w:vAlign w:val="center"/>
          </w:tcPr>
          <w:p>
            <w:pPr>
              <w:pStyle w:val="TableContents"/>
              <w:spacing w:before="0" w:after="283"/>
              <w:ind w:left="0" w:right="0" w:hanging="0"/>
              <w:rPr>
                <w:sz w:val="4"/>
                <w:szCs w:val="4"/>
              </w:rPr>
            </w:pPr>
            <w:r>
              <w:rPr>
                <w:sz w:val="4"/>
                <w:szCs w:val="4"/>
              </w:rPr>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r>
      <w:tr>
        <w:trPr/>
        <w:tc>
          <w:tcPr>
            <w:tcW w:w="292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Ipro Tech, LLC</w:t>
            </w:r>
          </w:p>
        </w:tc>
        <w:tc>
          <w:tcPr>
            <w:tcW w:w="13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(j)(u)</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 + 7.00%) / (1.00%)</w:t>
            </w:r>
          </w:p>
        </w:tc>
        <w:tc>
          <w:tcPr>
            <w:tcW w:w="6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11.69%/1.00%</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6/30/2020</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7/28/2025</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19,773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19,083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19,773</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Preferred Equity (682,075</w:t>
            </w:r>
            <w:r>
              <w:rPr>
                <w:rFonts w:ascii="Times New Roman" w:hAnsi="Times New Roman"/>
                <w:sz w:val="20"/>
              </w:rPr>
              <w:t> </w:t>
            </w:r>
            <w:r>
              <w:rPr>
                <w:rFonts w:ascii="Times New Roman;serif" w:hAnsi="Times New Roman;serif"/>
                <w:b w:val="false"/>
                <w:sz w:val="12"/>
              </w:rPr>
              <w:t>units) (j)</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7/28/2021</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r>
      <w:tr>
        <w:trPr/>
        <w:tc>
          <w:tcPr>
            <w:tcW w:w="2924" w:type="dxa"/>
            <w:tcBorders/>
            <w:shd w:fill="auto" w:val="clear"/>
            <w:vAlign w:val="center"/>
          </w:tcPr>
          <w:p>
            <w:pPr>
              <w:pStyle w:val="TableContents"/>
              <w:spacing w:before="0" w:after="283"/>
              <w:ind w:left="0" w:right="0" w:hanging="0"/>
              <w:rPr>
                <w:sz w:val="4"/>
                <w:szCs w:val="4"/>
              </w:rPr>
            </w:pPr>
            <w:r>
              <w:rPr>
                <w:sz w:val="4"/>
                <w:szCs w:val="4"/>
              </w:rPr>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19,765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20,796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ISI PSG Holdings, LLC (dba Incentive Solutions, Inc.)</w:t>
            </w:r>
          </w:p>
        </w:tc>
        <w:tc>
          <w:tcPr>
            <w:tcW w:w="13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Business Services</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(j)(aj)</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 + 7.50%) / (0.50%)</w:t>
            </w:r>
          </w:p>
        </w:tc>
        <w:tc>
          <w:tcPr>
            <w:tcW w:w="6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11.17%/0.00%</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4/5/2021</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4/5/2026</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12,175</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(j)(an)</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 + 7.50%) / (0.50%)</w:t>
            </w:r>
          </w:p>
        </w:tc>
        <w:tc>
          <w:tcPr>
            <w:tcW w:w="6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11.17%/0.00%</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6/30/2021</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4/5/2026</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12,994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12,994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12,994</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(256,964</w:t>
            </w:r>
            <w:r>
              <w:rPr>
                <w:rFonts w:ascii="Times New Roman" w:hAnsi="Times New Roman"/>
                <w:sz w:val="20"/>
              </w:rPr>
              <w:t> </w:t>
            </w:r>
            <w:r>
              <w:rPr>
                <w:rFonts w:ascii="Times New Roman;serif" w:hAnsi="Times New Roman;serif"/>
                <w:b w:val="false"/>
                <w:sz w:val="12"/>
              </w:rPr>
              <w:t>units) (h)(j)</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4/5/2021</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666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r>
      <w:tr>
        <w:trPr/>
        <w:tc>
          <w:tcPr>
            <w:tcW w:w="2924" w:type="dxa"/>
            <w:tcBorders/>
            <w:shd w:fill="auto" w:val="clear"/>
            <w:vAlign w:val="center"/>
          </w:tcPr>
          <w:p>
            <w:pPr>
              <w:pStyle w:val="TableContents"/>
              <w:spacing w:before="0" w:after="283"/>
              <w:ind w:left="0" w:right="0" w:hanging="0"/>
              <w:rPr>
                <w:sz w:val="4"/>
                <w:szCs w:val="4"/>
              </w:rPr>
            </w:pPr>
            <w:r>
              <w:rPr>
                <w:sz w:val="4"/>
                <w:szCs w:val="4"/>
              </w:rPr>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25,600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25,835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K2 Merger Agreement Agent, LLC (fka K2 Industrial Services, Inc.) (n)</w:t>
            </w:r>
          </w:p>
        </w:tc>
        <w:tc>
          <w:tcPr>
            <w:tcW w:w="13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Industrial Cleaning &amp; Coatings</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 (j) (y)</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0.00%/10.00%</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1/28/2019</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1/28/2025</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2,123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shd w:fill="auto" w:val="clear"/>
            <w:vAlign w:val="center"/>
          </w:tcPr>
          <w:p>
            <w:pPr>
              <w:pStyle w:val="TableContents"/>
              <w:spacing w:before="0" w:after="283"/>
              <w:ind w:left="0" w:right="0" w:hanging="0"/>
              <w:rPr>
                <w:sz w:val="4"/>
                <w:szCs w:val="4"/>
              </w:rPr>
            </w:pPr>
            <w:r>
              <w:rPr>
                <w:sz w:val="4"/>
                <w:szCs w:val="4"/>
              </w:rPr>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r>
      <w:tr>
        <w:trPr/>
        <w:tc>
          <w:tcPr>
            <w:tcW w:w="292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The Kyjen Company, LLC (dba Outward Hound)</w:t>
            </w:r>
          </w:p>
        </w:tc>
        <w:tc>
          <w:tcPr>
            <w:tcW w:w="13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Products</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(855</w:t>
            </w:r>
            <w:r>
              <w:rPr>
                <w:rFonts w:ascii="Times New Roman" w:hAnsi="Times New Roman"/>
                <w:sz w:val="20"/>
              </w:rPr>
              <w:t> </w:t>
            </w:r>
            <w:r>
              <w:rPr>
                <w:rFonts w:ascii="Times New Roman;serif" w:hAnsi="Times New Roman;serif"/>
                <w:b w:val="false"/>
                <w:sz w:val="12"/>
              </w:rPr>
              <w:t>shares) (j)</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12/8/2017</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shd w:fill="auto" w:val="clear"/>
            <w:vAlign w:val="center"/>
          </w:tcPr>
          <w:p>
            <w:pPr>
              <w:pStyle w:val="TableContents"/>
              <w:spacing w:before="0" w:after="283"/>
              <w:ind w:left="0" w:right="0" w:hanging="0"/>
              <w:rPr>
                <w:sz w:val="4"/>
                <w:szCs w:val="4"/>
              </w:rPr>
            </w:pPr>
            <w:r>
              <w:rPr>
                <w:sz w:val="4"/>
                <w:szCs w:val="4"/>
              </w:rPr>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r>
      <w:tr>
        <w:trPr/>
        <w:tc>
          <w:tcPr>
            <w:tcW w:w="292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Level Education Group, LLC (dba CE4Less)</w:t>
            </w:r>
          </w:p>
        </w:tc>
        <w:tc>
          <w:tcPr>
            <w:tcW w:w="13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Business Services</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(ak)</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 + 6.75%) / (0.50%)</w:t>
            </w:r>
          </w:p>
        </w:tc>
        <w:tc>
          <w:tcPr>
            <w:tcW w:w="6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10.49%/0.00%</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4/1/2021</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4/1/2026</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5,165</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(1,000,000</w:t>
            </w:r>
            <w:r>
              <w:rPr>
                <w:rFonts w:ascii="Times New Roman" w:hAnsi="Times New Roman"/>
                <w:sz w:val="20"/>
              </w:rPr>
              <w:t> </w:t>
            </w:r>
            <w:r>
              <w:rPr>
                <w:rFonts w:ascii="Times New Roman;serif" w:hAnsi="Times New Roman;serif"/>
                <w:b w:val="false"/>
                <w:sz w:val="12"/>
              </w:rPr>
              <w:t>units) (j)</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4/1/2021</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1,263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r>
      <w:tr>
        <w:trPr/>
        <w:tc>
          <w:tcPr>
            <w:tcW w:w="2924" w:type="dxa"/>
            <w:tcBorders/>
            <w:shd w:fill="auto" w:val="clear"/>
            <w:vAlign w:val="center"/>
          </w:tcPr>
          <w:p>
            <w:pPr>
              <w:pStyle w:val="TableContents"/>
              <w:spacing w:before="0" w:after="283"/>
              <w:ind w:left="0" w:right="0" w:hanging="0"/>
              <w:rPr>
                <w:sz w:val="4"/>
                <w:szCs w:val="4"/>
              </w:rPr>
            </w:pPr>
            <w:r>
              <w:rPr>
                <w:sz w:val="4"/>
                <w:szCs w:val="4"/>
              </w:rPr>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6,428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LifeSpan Biosciences, Inc.</w:t>
            </w:r>
          </w:p>
        </w:tc>
        <w:tc>
          <w:tcPr>
            <w:tcW w:w="13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 Products</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Subordinated Debt (j)</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11.50%/0.00%</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3/19/2021</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9/19/2026</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15,946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15,418</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(100</w:t>
            </w:r>
            <w:r>
              <w:rPr>
                <w:rFonts w:ascii="Times New Roman" w:hAnsi="Times New Roman"/>
                <w:sz w:val="20"/>
              </w:rPr>
              <w:t> </w:t>
            </w:r>
            <w:r>
              <w:rPr>
                <w:rFonts w:ascii="Times New Roman;serif" w:hAnsi="Times New Roman;serif"/>
                <w:b w:val="false"/>
                <w:sz w:val="12"/>
              </w:rPr>
              <w:t>shares) (j)</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3/19/2021</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605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r>
      <w:tr>
        <w:trPr/>
        <w:tc>
          <w:tcPr>
            <w:tcW w:w="2924" w:type="dxa"/>
            <w:tcBorders/>
            <w:shd w:fill="auto" w:val="clear"/>
            <w:vAlign w:val="center"/>
          </w:tcPr>
          <w:p>
            <w:pPr>
              <w:pStyle w:val="TableContents"/>
              <w:spacing w:before="0" w:after="283"/>
              <w:ind w:left="0" w:right="0" w:hanging="0"/>
              <w:rPr>
                <w:sz w:val="4"/>
                <w:szCs w:val="4"/>
              </w:rPr>
            </w:pPr>
            <w:r>
              <w:rPr>
                <w:sz w:val="4"/>
                <w:szCs w:val="4"/>
              </w:rPr>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16,946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Magenta Buyer LLC (dba Trellix)</w:t>
            </w:r>
          </w:p>
        </w:tc>
        <w:tc>
          <w:tcPr>
            <w:tcW w:w="13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 (j)</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 + 8.25%) / (0.75%)</w:t>
            </w:r>
          </w:p>
        </w:tc>
        <w:tc>
          <w:tcPr>
            <w:tcW w:w="6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12.98%/0.00%</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7/19/2022</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7/27/2029</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6,809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7,126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shd w:fill="auto" w:val="clear"/>
            <w:vAlign w:val="center"/>
          </w:tcPr>
          <w:p>
            <w:pPr>
              <w:pStyle w:val="TableContents"/>
              <w:spacing w:before="0" w:after="283"/>
              <w:ind w:left="0" w:right="0" w:hanging="0"/>
              <w:rPr>
                <w:sz w:val="4"/>
                <w:szCs w:val="4"/>
              </w:rPr>
            </w:pPr>
            <w:r>
              <w:rPr>
                <w:sz w:val="4"/>
                <w:szCs w:val="4"/>
              </w:rPr>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r>
      <w:tr>
        <w:trPr/>
        <w:tc>
          <w:tcPr>
            <w:tcW w:w="292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MBS Opco, LLC (dba Marketron)</w:t>
            </w:r>
          </w:p>
        </w:tc>
        <w:tc>
          <w:tcPr>
            <w:tcW w:w="13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 + 8.50%) / (1.50%)</w:t>
            </w:r>
          </w:p>
        </w:tc>
        <w:tc>
          <w:tcPr>
            <w:tcW w:w="6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13.34%/0.00%</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9/29/2022</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9/28/2026</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26,873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26,873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shd w:fill="auto" w:val="clear"/>
            <w:vAlign w:val="center"/>
          </w:tcPr>
          <w:p>
            <w:pPr>
              <w:pStyle w:val="TableContents"/>
              <w:spacing w:before="0" w:after="283"/>
              <w:ind w:left="0" w:right="0" w:hanging="0"/>
              <w:rPr>
                <w:sz w:val="4"/>
                <w:szCs w:val="4"/>
              </w:rPr>
            </w:pPr>
            <w:r>
              <w:rPr>
                <w:sz w:val="4"/>
                <w:szCs w:val="4"/>
              </w:rPr>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r>
      <w:tr>
        <w:trPr/>
        <w:tc>
          <w:tcPr>
            <w:tcW w:w="292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Micronics Filtration Holdings, Inc. (dba Micronics Engineered Filtration Group, Inc.)</w:t>
            </w:r>
          </w:p>
        </w:tc>
        <w:tc>
          <w:tcPr>
            <w:tcW w:w="13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Component Manufacturing</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(k) (as)</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 + 5.50%) / (0.50%)</w:t>
            </w:r>
          </w:p>
        </w:tc>
        <w:tc>
          <w:tcPr>
            <w:tcW w:w="6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9.32%/0.00%</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2/17/2022</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2/17/2027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11,154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11,223</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(14,400</w:t>
            </w:r>
            <w:r>
              <w:rPr>
                <w:rFonts w:ascii="Times New Roman" w:hAnsi="Times New Roman"/>
                <w:sz w:val="20"/>
              </w:rPr>
              <w:t> </w:t>
            </w:r>
            <w:r>
              <w:rPr>
                <w:rFonts w:ascii="Times New Roman;serif" w:hAnsi="Times New Roman;serif"/>
                <w:b w:val="false"/>
                <w:sz w:val="12"/>
              </w:rPr>
              <w:t>units) (j)</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2/17/2022</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1,440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3,173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r>
      <w:tr>
        <w:trPr/>
        <w:tc>
          <w:tcPr>
            <w:tcW w:w="2924" w:type="dxa"/>
            <w:tcBorders/>
            <w:shd w:fill="auto" w:val="clear"/>
            <w:vAlign w:val="center"/>
          </w:tcPr>
          <w:p>
            <w:pPr>
              <w:pStyle w:val="TableContents"/>
              <w:spacing w:before="0" w:after="283"/>
              <w:ind w:left="0" w:right="0" w:hanging="0"/>
              <w:rPr>
                <w:sz w:val="4"/>
                <w:szCs w:val="4"/>
              </w:rPr>
            </w:pPr>
            <w:r>
              <w:rPr>
                <w:sz w:val="4"/>
                <w:szCs w:val="4"/>
              </w:rPr>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14,396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Mobilewalla, Inc.</w:t>
            </w:r>
          </w:p>
        </w:tc>
        <w:tc>
          <w:tcPr>
            <w:tcW w:w="13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 + 11.50%) / (0.50%)</w:t>
            </w:r>
          </w:p>
        </w:tc>
        <w:tc>
          <w:tcPr>
            <w:tcW w:w="6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16.26%/0.00%</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12/17/2021</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12/17/2024</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5,715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5,696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5,715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shd w:fill="auto" w:val="clear"/>
            <w:vAlign w:val="center"/>
          </w:tcPr>
          <w:p>
            <w:pPr>
              <w:pStyle w:val="TableContents"/>
              <w:spacing w:before="0" w:after="283"/>
              <w:ind w:left="0" w:right="0" w:hanging="0"/>
              <w:rPr>
                <w:sz w:val="4"/>
                <w:szCs w:val="4"/>
              </w:rPr>
            </w:pPr>
            <w:r>
              <w:rPr>
                <w:sz w:val="4"/>
                <w:szCs w:val="4"/>
              </w:rPr>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r>
      <w:tr>
        <w:trPr/>
        <w:tc>
          <w:tcPr>
            <w:tcW w:w="292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Netbase Solutions, Inc. (dba Netbase Quid)</w:t>
            </w:r>
          </w:p>
        </w:tc>
        <w:tc>
          <w:tcPr>
            <w:tcW w:w="13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First Lien Debt ($3,300</w:t>
            </w:r>
            <w:r>
              <w:rPr>
                <w:rFonts w:ascii="Times New Roman" w:hAnsi="Times New Roman"/>
                <w:sz w:val="20"/>
              </w:rPr>
              <w:t> </w:t>
            </w:r>
            <w:r>
              <w:rPr>
                <w:rFonts w:ascii="Times New Roman;serif" w:hAnsi="Times New Roman;serif"/>
                <w:b w:val="false"/>
                <w:sz w:val="12"/>
              </w:rPr>
              <w:t>unfunded commitment) (i)(k)(ap)</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(P + 4.00%) / (3.25%)</w:t>
            </w:r>
          </w:p>
        </w:tc>
        <w:tc>
          <w:tcPr>
            <w:tcW w:w="6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11.50%/0.00%</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11/18/2021</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11/18/2025</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16,708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16,618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16,852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shd w:fill="auto" w:val="clear"/>
            <w:vAlign w:val="center"/>
          </w:tcPr>
          <w:p>
            <w:pPr>
              <w:pStyle w:val="TableContents"/>
              <w:spacing w:before="0" w:after="283"/>
              <w:ind w:left="0" w:right="0" w:hanging="0"/>
              <w:rPr>
                <w:sz w:val="4"/>
                <w:szCs w:val="4"/>
              </w:rPr>
            </w:pPr>
            <w:r>
              <w:rPr>
                <w:sz w:val="4"/>
                <w:szCs w:val="4"/>
              </w:rPr>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r>
      <w:tr>
        <w:trPr/>
        <w:tc>
          <w:tcPr>
            <w:tcW w:w="292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NGT Acquisition Holdings, LLC (dba Techniks Industries)</w:t>
            </w:r>
          </w:p>
        </w:tc>
        <w:tc>
          <w:tcPr>
            <w:tcW w:w="13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Component Manufacturing</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(378</w:t>
            </w:r>
            <w:r>
              <w:rPr>
                <w:rFonts w:ascii="Times New Roman" w:hAnsi="Times New Roman"/>
                <w:sz w:val="20"/>
              </w:rPr>
              <w:t> </w:t>
            </w:r>
            <w:r>
              <w:rPr>
                <w:rFonts w:ascii="Times New Roman;serif" w:hAnsi="Times New Roman;serif"/>
                <w:b w:val="false"/>
                <w:sz w:val="12"/>
              </w:rPr>
              <w:t>units) (j)</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5/24/2017</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shd w:fill="auto" w:val="clear"/>
            <w:vAlign w:val="center"/>
          </w:tcPr>
          <w:p>
            <w:pPr>
              <w:pStyle w:val="TableContents"/>
              <w:spacing w:before="0" w:after="283"/>
              <w:ind w:left="0" w:right="0" w:hanging="0"/>
              <w:rPr>
                <w:sz w:val="4"/>
                <w:szCs w:val="4"/>
              </w:rPr>
            </w:pPr>
            <w:r>
              <w:rPr>
                <w:sz w:val="4"/>
                <w:szCs w:val="4"/>
              </w:rPr>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r>
      <w:tr>
        <w:trPr/>
        <w:tc>
          <w:tcPr>
            <w:tcW w:w="292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OnePath Systems, LLC</w:t>
            </w:r>
          </w:p>
        </w:tc>
        <w:tc>
          <w:tcPr>
            <w:tcW w:w="13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(s)</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 + 7.50%) / (1.00%)</w:t>
            </w:r>
          </w:p>
        </w:tc>
        <w:tc>
          <w:tcPr>
            <w:tcW w:w="6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12.08%/0.00%</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9/30/2022</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9/30/2027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10,922</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(732,542</w:t>
            </w:r>
            <w:r>
              <w:rPr>
                <w:rFonts w:ascii="Times New Roman" w:hAnsi="Times New Roman"/>
                <w:sz w:val="20"/>
              </w:rPr>
              <w:t> </w:t>
            </w:r>
            <w:r>
              <w:rPr>
                <w:rFonts w:ascii="Times New Roman;serif" w:hAnsi="Times New Roman;serif"/>
                <w:b w:val="false"/>
                <w:sz w:val="12"/>
              </w:rPr>
              <w:t>shares) (j)</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9/30/2022</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r>
      <w:tr>
        <w:trPr/>
        <w:tc>
          <w:tcPr>
            <w:tcW w:w="2924" w:type="dxa"/>
            <w:tcBorders/>
            <w:shd w:fill="auto" w:val="clear"/>
            <w:vAlign w:val="center"/>
          </w:tcPr>
          <w:p>
            <w:pPr>
              <w:pStyle w:val="TableContents"/>
              <w:spacing w:before="0" w:after="283"/>
              <w:ind w:left="0" w:right="0" w:hanging="0"/>
              <w:rPr>
                <w:sz w:val="4"/>
                <w:szCs w:val="4"/>
              </w:rPr>
            </w:pPr>
            <w:r>
              <w:rPr>
                <w:sz w:val="4"/>
                <w:szCs w:val="4"/>
              </w:rPr>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Palmetto Moon, LLC</w:t>
            </w:r>
          </w:p>
        </w:tc>
        <w:tc>
          <w:tcPr>
            <w:tcW w:w="13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Retail</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(499</w:t>
            </w:r>
            <w:r>
              <w:rPr>
                <w:rFonts w:ascii="Times New Roman" w:hAnsi="Times New Roman"/>
                <w:sz w:val="20"/>
              </w:rPr>
              <w:t> </w:t>
            </w:r>
            <w:r>
              <w:rPr>
                <w:rFonts w:ascii="Times New Roman;serif" w:hAnsi="Times New Roman;serif"/>
                <w:b w:val="false"/>
                <w:sz w:val="12"/>
              </w:rPr>
              <w:t>units) (j)</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11/3/2016</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shd w:fill="auto" w:val="clear"/>
            <w:vAlign w:val="center"/>
          </w:tcPr>
          <w:p>
            <w:pPr>
              <w:pStyle w:val="TableContents"/>
              <w:spacing w:before="0" w:after="283"/>
              <w:ind w:left="0" w:right="0" w:hanging="0"/>
              <w:rPr>
                <w:sz w:val="4"/>
                <w:szCs w:val="4"/>
              </w:rPr>
            </w:pPr>
            <w:r>
              <w:rPr>
                <w:sz w:val="4"/>
                <w:szCs w:val="4"/>
              </w:rPr>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r>
      <w:tr>
        <w:trPr/>
        <w:tc>
          <w:tcPr>
            <w:tcW w:w="292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Pinnergy, Ltd.</w:t>
            </w:r>
          </w:p>
        </w:tc>
        <w:tc>
          <w:tcPr>
            <w:tcW w:w="13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Oil &amp; Gas Services</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Subordinated Debt (j)</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9.00%/0.00%</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6/30/2022</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6/30/2027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12,933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shd w:fill="auto" w:val="clear"/>
            <w:vAlign w:val="center"/>
          </w:tcPr>
          <w:p>
            <w:pPr>
              <w:pStyle w:val="TableContents"/>
              <w:spacing w:before="0" w:after="283"/>
              <w:ind w:left="0" w:right="0" w:hanging="0"/>
              <w:rPr>
                <w:sz w:val="4"/>
                <w:szCs w:val="4"/>
              </w:rPr>
            </w:pPr>
            <w:r>
              <w:rPr>
                <w:sz w:val="4"/>
                <w:szCs w:val="4"/>
              </w:rPr>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r>
      <w:tr>
        <w:trPr/>
        <w:tc>
          <w:tcPr>
            <w:tcW w:w="292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Pool &amp; Electrical Products, LLC</w:t>
            </w:r>
          </w:p>
        </w:tc>
        <w:tc>
          <w:tcPr>
            <w:tcW w:w="13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Specialty Distribution</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(15,000</w:t>
            </w:r>
            <w:r>
              <w:rPr>
                <w:rFonts w:ascii="Times New Roman" w:hAnsi="Times New Roman"/>
                <w:sz w:val="20"/>
              </w:rPr>
              <w:t> </w:t>
            </w:r>
            <w:r>
              <w:rPr>
                <w:rFonts w:ascii="Times New Roman;serif" w:hAnsi="Times New Roman;serif"/>
                <w:b w:val="false"/>
                <w:sz w:val="12"/>
              </w:rPr>
              <w:t>units) (h)(j)</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10/28/2020</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shd w:fill="auto" w:val="clear"/>
            <w:vAlign w:val="center"/>
          </w:tcPr>
          <w:p>
            <w:pPr>
              <w:pStyle w:val="TableContents"/>
              <w:spacing w:before="0" w:after="283"/>
              <w:ind w:left="0" w:right="0" w:hanging="0"/>
              <w:rPr>
                <w:sz w:val="4"/>
                <w:szCs w:val="4"/>
              </w:rPr>
            </w:pPr>
            <w:r>
              <w:rPr>
                <w:sz w:val="4"/>
                <w:szCs w:val="4"/>
              </w:rPr>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r>
      <w:tr>
        <w:trPr/>
        <w:tc>
          <w:tcPr>
            <w:tcW w:w="292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Power Grid Components, Inc.</w:t>
            </w:r>
          </w:p>
        </w:tc>
        <w:tc>
          <w:tcPr>
            <w:tcW w:w="13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Specialty Distribution</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 (k)</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11.00%/0.50%</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4/12/2018</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12/2/2025</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17,734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17,689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17,734</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Preferred Equity (392</w:t>
            </w:r>
            <w:r>
              <w:rPr>
                <w:rFonts w:ascii="Times New Roman" w:hAnsi="Times New Roman"/>
                <w:sz w:val="20"/>
              </w:rPr>
              <w:t> </w:t>
            </w:r>
            <w:r>
              <w:rPr>
                <w:rFonts w:ascii="Times New Roman;serif" w:hAnsi="Times New Roman;serif"/>
                <w:b w:val="false"/>
                <w:sz w:val="12"/>
              </w:rPr>
              <w:t>shares) (j)</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4/12/2018</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624</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Preferred Equity (48</w:t>
            </w:r>
            <w:r>
              <w:rPr>
                <w:rFonts w:ascii="Times New Roman" w:hAnsi="Times New Roman"/>
                <w:sz w:val="20"/>
              </w:rPr>
              <w:t> </w:t>
            </w:r>
            <w:r>
              <w:rPr>
                <w:rFonts w:ascii="Times New Roman;serif" w:hAnsi="Times New Roman;serif"/>
                <w:b w:val="false"/>
                <w:sz w:val="12"/>
              </w:rPr>
              <w:t>shares) (j)</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12/2/2019</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77</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(10,622</w:t>
            </w:r>
            <w:r>
              <w:rPr>
                <w:rFonts w:ascii="Times New Roman" w:hAnsi="Times New Roman"/>
                <w:sz w:val="20"/>
              </w:rPr>
              <w:t> </w:t>
            </w:r>
            <w:r>
              <w:rPr>
                <w:rFonts w:ascii="Times New Roman;serif" w:hAnsi="Times New Roman;serif"/>
                <w:b w:val="false"/>
                <w:sz w:val="12"/>
              </w:rPr>
              <w:t>shares) (j)</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4/12/2018</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1,776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r>
      <w:tr>
        <w:trPr/>
        <w:tc>
          <w:tcPr>
            <w:tcW w:w="2924" w:type="dxa"/>
            <w:tcBorders/>
            <w:shd w:fill="auto" w:val="clear"/>
            <w:vAlign w:val="center"/>
          </w:tcPr>
          <w:p>
            <w:pPr>
              <w:pStyle w:val="TableContents"/>
              <w:spacing w:before="0" w:after="283"/>
              <w:ind w:left="0" w:right="0" w:hanging="0"/>
              <w:rPr>
                <w:sz w:val="4"/>
                <w:szCs w:val="4"/>
              </w:rPr>
            </w:pPr>
            <w:r>
              <w:rPr>
                <w:sz w:val="4"/>
                <w:szCs w:val="4"/>
              </w:rPr>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18,591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20,211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PowerGrid Services Acquisition, LLC</w:t>
            </w:r>
          </w:p>
        </w:tc>
        <w:tc>
          <w:tcPr>
            <w:tcW w:w="13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Utilities: Services</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 (j)</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 + 9.50%) / (1.00%)</w:t>
            </w:r>
          </w:p>
        </w:tc>
        <w:tc>
          <w:tcPr>
            <w:tcW w:w="6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14.23%/0.00%</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9/21/2021</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3/21/2029</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10,831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10,786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10,831</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(5,341</w:t>
            </w:r>
            <w:r>
              <w:rPr>
                <w:rFonts w:ascii="Times New Roman" w:hAnsi="Times New Roman"/>
                <w:sz w:val="20"/>
              </w:rPr>
              <w:t> </w:t>
            </w:r>
            <w:r>
              <w:rPr>
                <w:rFonts w:ascii="Times New Roman;serif" w:hAnsi="Times New Roman;serif"/>
                <w:b w:val="false"/>
                <w:sz w:val="12"/>
              </w:rPr>
              <w:t>units) (h)(j)</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9/21/2021</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r>
      <w:tr>
        <w:trPr/>
        <w:tc>
          <w:tcPr>
            <w:tcW w:w="2924" w:type="dxa"/>
            <w:tcBorders/>
            <w:shd w:fill="auto" w:val="clear"/>
            <w:vAlign w:val="center"/>
          </w:tcPr>
          <w:p>
            <w:pPr>
              <w:pStyle w:val="TableContents"/>
              <w:spacing w:before="0" w:after="283"/>
              <w:ind w:left="0" w:right="0" w:hanging="0"/>
              <w:rPr>
                <w:sz w:val="4"/>
                <w:szCs w:val="4"/>
              </w:rPr>
            </w:pPr>
            <w:r>
              <w:rPr>
                <w:sz w:val="4"/>
                <w:szCs w:val="4"/>
              </w:rPr>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11,320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11,419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Prime AE Group, Inc.</w:t>
            </w:r>
          </w:p>
        </w:tc>
        <w:tc>
          <w:tcPr>
            <w:tcW w:w="13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Business Services</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 + 6.75%) / (2.00%)</w:t>
            </w:r>
          </w:p>
        </w:tc>
        <w:tc>
          <w:tcPr>
            <w:tcW w:w="6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11.59%/0.00%</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11/25/2019</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11/25/2024</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5,760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5,833</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Preferred Equity (900,000</w:t>
            </w:r>
            <w:r>
              <w:rPr>
                <w:rFonts w:ascii="Times New Roman" w:hAnsi="Times New Roman"/>
                <w:sz w:val="20"/>
              </w:rPr>
              <w:t> </w:t>
            </w:r>
            <w:r>
              <w:rPr>
                <w:rFonts w:ascii="Times New Roman;serif" w:hAnsi="Times New Roman;serif"/>
                <w:b w:val="false"/>
                <w:sz w:val="12"/>
              </w:rPr>
              <w:t>shares) (j)</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11/25/2019</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r>
      <w:tr>
        <w:trPr/>
        <w:tc>
          <w:tcPr>
            <w:tcW w:w="2924" w:type="dxa"/>
            <w:tcBorders/>
            <w:shd w:fill="auto" w:val="clear"/>
            <w:vAlign w:val="center"/>
          </w:tcPr>
          <w:p>
            <w:pPr>
              <w:pStyle w:val="TableContents"/>
              <w:spacing w:before="0" w:after="283"/>
              <w:ind w:left="0" w:right="0" w:hanging="0"/>
              <w:rPr>
                <w:sz w:val="4"/>
                <w:szCs w:val="4"/>
              </w:rPr>
            </w:pPr>
            <w:r>
              <w:rPr>
                <w:sz w:val="4"/>
                <w:szCs w:val="4"/>
              </w:rPr>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6,660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42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Quest Software US Holdings Inc.</w:t>
            </w:r>
          </w:p>
        </w:tc>
        <w:tc>
          <w:tcPr>
            <w:tcW w:w="13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firstLine="160"/>
              <w:jc w:val="left"/>
              <w:rPr/>
            </w:pPr>
            <w:r>
              <w:rPr/>
              <w:t> </w:t>
            </w:r>
          </w:p>
        </w:tc>
      </w:tr>
      <w:tr>
        <w:trPr/>
        <w:tc>
          <w:tcPr>
            <w:tcW w:w="2924"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 (j)</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 + 7.50%) / (0.50%)</w:t>
            </w:r>
          </w:p>
        </w:tc>
        <w:tc>
          <w:tcPr>
            <w:tcW w:w="68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11.79%/0.00%</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3/1/2022</w:t>
            </w:r>
          </w:p>
        </w:tc>
        <w:tc>
          <w:tcPr>
            <w:tcW w:w="51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2/1/2030</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19,360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15,002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420" w:type="dxa"/>
            <w:tcBorders/>
            <w:shd w:fill="auto" w:val="clear"/>
            <w:vAlign w:val="center"/>
          </w:tcPr>
          <w:p>
            <w:pPr>
              <w:pStyle w:val="TableContents"/>
              <w:spacing w:before="0" w:after="0"/>
              <w:ind w:left="0" w:right="0" w:firstLine="160"/>
              <w:jc w:val="left"/>
              <w:rPr>
                <w:rFonts w:ascii="Times New Roman;serif" w:hAnsi="Times New Roman;serif"/>
                <w:b w:val="false"/>
                <w:sz w:val="12"/>
              </w:rPr>
            </w:pPr>
            <w:r>
              <w:rPr>
                <w:rFonts w:ascii="Times New Roman;serif" w:hAnsi="Times New Roman;serif"/>
                <w:b w:val="false"/>
                <w:sz w:val="12"/>
              </w:rPr>
              <w:t>%</w:t>
            </w:r>
          </w:p>
        </w:tc>
      </w:tr>
      <w:tr>
        <w:trPr/>
        <w:tc>
          <w:tcPr>
            <w:tcW w:w="2924" w:type="dxa"/>
            <w:tcBorders/>
            <w:shd w:fill="auto" w:val="clear"/>
            <w:vAlign w:val="center"/>
          </w:tcPr>
          <w:p>
            <w:pPr>
              <w:pStyle w:val="TableContents"/>
              <w:spacing w:before="0" w:after="0"/>
              <w:ind w:left="160" w:right="0" w:hanging="0"/>
              <w:jc w:val="left"/>
              <w:rPr/>
            </w:pPr>
            <w:r>
              <w:rPr/>
              <w:t> </w:t>
            </w:r>
          </w:p>
        </w:tc>
        <w:tc>
          <w:tcPr>
            <w:tcW w:w="1370" w:type="dxa"/>
            <w:tcBorders/>
            <w:shd w:fill="auto" w:val="clear"/>
            <w:vAlign w:val="center"/>
          </w:tcPr>
          <w:p>
            <w:pPr>
              <w:pStyle w:val="TableContents"/>
              <w:spacing w:before="0" w:after="0"/>
              <w:ind w:left="0" w:right="0" w:hanging="0"/>
              <w:jc w:val="left"/>
              <w:rPr/>
            </w:pPr>
            <w:r>
              <w:rPr/>
              <w:t> </w:t>
            </w:r>
          </w:p>
        </w:tc>
        <w:tc>
          <w:tcPr>
            <w:tcW w:w="985" w:type="dxa"/>
            <w:tcBorders/>
            <w:shd w:fill="auto" w:val="clear"/>
            <w:vAlign w:val="center"/>
          </w:tcPr>
          <w:p>
            <w:pPr>
              <w:pStyle w:val="TableContents"/>
              <w:spacing w:before="0" w:after="0"/>
              <w:ind w:left="0" w:right="0" w:hanging="0"/>
              <w:jc w:val="left"/>
              <w:rPr/>
            </w:pPr>
            <w:r>
              <w:rPr/>
              <w:t> </w:t>
            </w:r>
          </w:p>
        </w:tc>
        <w:tc>
          <w:tcPr>
            <w:tcW w:w="680"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19"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12" w:type="dxa"/>
            <w:gridSpan w:val="2"/>
            <w:tcBorders/>
            <w:shd w:fill="auto" w:val="clear"/>
            <w:vAlign w:val="center"/>
          </w:tcPr>
          <w:p>
            <w:pPr>
              <w:pStyle w:val="TableContents"/>
              <w:spacing w:before="0" w:after="0"/>
              <w:ind w:left="0" w:right="0" w:hanging="0"/>
              <w:jc w:val="left"/>
              <w:rPr/>
            </w:pPr>
            <w:r>
              <w:rPr/>
              <w:t> </w:t>
            </w:r>
          </w:p>
        </w:tc>
        <w:tc>
          <w:tcPr>
            <w:tcW w:w="420"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786"/>
        <w:gridCol w:w="1289"/>
        <w:gridCol w:w="924"/>
        <w:gridCol w:w="650"/>
        <w:gridCol w:w="493"/>
        <w:gridCol w:w="493"/>
        <w:gridCol w:w="146"/>
        <w:gridCol w:w="436"/>
        <w:gridCol w:w="146"/>
        <w:gridCol w:w="146"/>
        <w:gridCol w:w="166"/>
        <w:gridCol w:w="496"/>
        <w:gridCol w:w="151"/>
        <w:gridCol w:w="146"/>
        <w:gridCol w:w="166"/>
        <w:gridCol w:w="496"/>
        <w:gridCol w:w="146"/>
        <w:gridCol w:w="146"/>
        <w:gridCol w:w="286"/>
        <w:gridCol w:w="497"/>
      </w:tblGrid>
      <w:tr>
        <w:trPr/>
        <w:tc>
          <w:tcPr>
            <w:tcW w:w="2786"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r>
      <w:tr>
        <w:trPr/>
        <w:tc>
          <w:tcPr>
            <w:tcW w:w="2786"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R1 Holdings, LLC (dba RoadOne IntermodaLogistics)</w:t>
            </w:r>
          </w:p>
        </w:tc>
        <w:tc>
          <w:tcPr>
            <w:tcW w:w="128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Transportation services</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First Lien Debt ($2,489</w:t>
            </w:r>
            <w:r>
              <w:rPr>
                <w:rFonts w:ascii="Times New Roman" w:hAnsi="Times New Roman"/>
                <w:sz w:val="20"/>
              </w:rPr>
              <w:t> </w:t>
            </w:r>
            <w:r>
              <w:rPr>
                <w:rFonts w:ascii="Times New Roman;serif" w:hAnsi="Times New Roman;serif"/>
                <w:b w:val="false"/>
                <w:sz w:val="12"/>
              </w:rPr>
              <w:t>unfunded commitment) (j)(ac)</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 + 6.25%) / (1.00%)</w:t>
            </w:r>
          </w:p>
        </w:tc>
        <w:tc>
          <w:tcPr>
            <w:tcW w:w="6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10.83%/0.00%</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12/30/2022</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12/30/2028</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5,511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5,309</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5,309</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Subordinated Debt ($417</w:t>
            </w:r>
            <w:r>
              <w:rPr>
                <w:rFonts w:ascii="Times New Roman" w:hAnsi="Times New Roman"/>
                <w:sz w:val="20"/>
              </w:rPr>
              <w:t> </w:t>
            </w:r>
            <w:r>
              <w:rPr>
                <w:rFonts w:ascii="Times New Roman;serif" w:hAnsi="Times New Roman;serif"/>
                <w:b w:val="false"/>
                <w:sz w:val="12"/>
              </w:rPr>
              <w:t>unfunded commitment) (j)(ac)</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8.75%/5.00%</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12/30/2022</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6/30/2029</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1,287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1,287</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(280,000</w:t>
            </w:r>
            <w:r>
              <w:rPr>
                <w:rFonts w:ascii="Times New Roman" w:hAnsi="Times New Roman"/>
                <w:sz w:val="20"/>
              </w:rPr>
              <w:t> </w:t>
            </w:r>
            <w:r>
              <w:rPr>
                <w:rFonts w:ascii="Times New Roman;serif" w:hAnsi="Times New Roman;serif"/>
                <w:b w:val="false"/>
                <w:sz w:val="12"/>
              </w:rPr>
              <w:t>units) ($70</w:t>
            </w:r>
            <w:r>
              <w:rPr>
                <w:rFonts w:ascii="Times New Roman" w:hAnsi="Times New Roman"/>
                <w:sz w:val="20"/>
              </w:rPr>
              <w:t> </w:t>
            </w:r>
            <w:r>
              <w:rPr>
                <w:rFonts w:ascii="Times New Roman;serif" w:hAnsi="Times New Roman;serif"/>
                <w:b w:val="false"/>
                <w:sz w:val="12"/>
              </w:rPr>
              <w:t>unfunded commitment) (j)</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12/30/2022</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hanging="0"/>
              <w:jc w:val="left"/>
              <w:rPr/>
            </w:pPr>
            <w:r>
              <w:rPr/>
              <w:t> </w:t>
            </w:r>
          </w:p>
        </w:tc>
      </w:tr>
      <w:tr>
        <w:trPr/>
        <w:tc>
          <w:tcPr>
            <w:tcW w:w="2786" w:type="dxa"/>
            <w:tcBorders/>
            <w:shd w:fill="auto" w:val="clear"/>
            <w:vAlign w:val="center"/>
          </w:tcPr>
          <w:p>
            <w:pPr>
              <w:pStyle w:val="TableContents"/>
              <w:spacing w:before="0" w:after="283"/>
              <w:ind w:left="0" w:right="0" w:hanging="0"/>
              <w:rPr>
                <w:sz w:val="4"/>
                <w:szCs w:val="4"/>
              </w:rPr>
            </w:pPr>
            <w:r>
              <w:rPr>
                <w:sz w:val="4"/>
                <w:szCs w:val="4"/>
              </w:rPr>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6,876</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6,876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49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Rhino Assembly Company, LLC</w:t>
            </w:r>
          </w:p>
        </w:tc>
        <w:tc>
          <w:tcPr>
            <w:tcW w:w="128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Specialty Distribution</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 (k)</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11.50%/0.00%</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8/11/2017</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2/11/2026</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14,851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14,837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14,851</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(Class A Units) (10,915</w:t>
            </w:r>
            <w:r>
              <w:rPr>
                <w:rFonts w:ascii="Times New Roman" w:hAnsi="Times New Roman"/>
                <w:sz w:val="20"/>
              </w:rPr>
              <w:t> </w:t>
            </w:r>
            <w:r>
              <w:rPr>
                <w:rFonts w:ascii="Times New Roman;serif" w:hAnsi="Times New Roman;serif"/>
                <w:b w:val="false"/>
                <w:sz w:val="12"/>
              </w:rPr>
              <w:t>units) (h)(j)</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8/11/2017</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2,379</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Preferred Equity (Units N/A) (h)(j)</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12/10/2020</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307</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(Class F Units) (710</w:t>
            </w:r>
            <w:r>
              <w:rPr>
                <w:rFonts w:ascii="Times New Roman" w:hAnsi="Times New Roman"/>
                <w:sz w:val="20"/>
              </w:rPr>
              <w:t> </w:t>
            </w:r>
            <w:r>
              <w:rPr>
                <w:rFonts w:ascii="Times New Roman;serif" w:hAnsi="Times New Roman;serif"/>
                <w:b w:val="false"/>
                <w:sz w:val="12"/>
              </w:rPr>
              <w:t>units) (h)(j)</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12/10/2020</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hanging="0"/>
              <w:jc w:val="left"/>
              <w:rPr/>
            </w:pPr>
            <w:r>
              <w:rPr/>
              <w:t> </w:t>
            </w:r>
          </w:p>
        </w:tc>
      </w:tr>
      <w:tr>
        <w:trPr/>
        <w:tc>
          <w:tcPr>
            <w:tcW w:w="2786" w:type="dxa"/>
            <w:tcBorders/>
            <w:shd w:fill="auto" w:val="clear"/>
            <w:vAlign w:val="center"/>
          </w:tcPr>
          <w:p>
            <w:pPr>
              <w:pStyle w:val="TableContents"/>
              <w:spacing w:before="0" w:after="283"/>
              <w:ind w:left="0" w:right="0" w:hanging="0"/>
              <w:rPr>
                <w:sz w:val="4"/>
                <w:szCs w:val="4"/>
              </w:rPr>
            </w:pPr>
            <w:r>
              <w:rPr>
                <w:sz w:val="4"/>
                <w:szCs w:val="4"/>
              </w:rPr>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16,230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17,537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49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Road Safety Services, Inc.</w:t>
            </w:r>
          </w:p>
        </w:tc>
        <w:tc>
          <w:tcPr>
            <w:tcW w:w="128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Business Services</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32" w:type="dxa"/>
            <w:gridSpan w:val="2"/>
            <w:tcBorders/>
            <w:shd w:fill="auto" w:val="clear"/>
            <w:vAlign w:val="center"/>
          </w:tcPr>
          <w:p>
            <w:pPr>
              <w:pStyle w:val="TableContents"/>
              <w:spacing w:before="0" w:after="0"/>
              <w:ind w:left="0" w:right="0" w:hanging="0"/>
              <w:jc w:val="center"/>
              <w:rPr/>
            </w:pPr>
            <w:r>
              <w:rPr/>
              <w:t> </w:t>
            </w:r>
          </w:p>
        </w:tc>
        <w:tc>
          <w:tcPr>
            <w:tcW w:w="497" w:type="dxa"/>
            <w:tcBorders/>
            <w:shd w:fill="auto" w:val="clear"/>
            <w:vAlign w:val="center"/>
          </w:tcPr>
          <w:p>
            <w:pPr>
              <w:pStyle w:val="TableContents"/>
              <w:spacing w:before="0" w:after="0"/>
              <w:ind w:left="0" w:right="0" w:firstLine="160"/>
              <w:jc w:val="center"/>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11.25%/2.00%</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9/18/2018</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9/18/2025</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15,842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15,810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15,842</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(779</w:t>
            </w:r>
            <w:r>
              <w:rPr>
                <w:rFonts w:ascii="Times New Roman" w:hAnsi="Times New Roman"/>
                <w:sz w:val="20"/>
              </w:rPr>
              <w:t> </w:t>
            </w:r>
            <w:r>
              <w:rPr>
                <w:rFonts w:ascii="Times New Roman;serif" w:hAnsi="Times New Roman;serif"/>
                <w:b w:val="false"/>
                <w:sz w:val="12"/>
              </w:rPr>
              <w:t>units)</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9/18/2018</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1,121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1,558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hanging="0"/>
              <w:jc w:val="left"/>
              <w:rPr/>
            </w:pPr>
            <w:r>
              <w:rPr/>
              <w:t> </w:t>
            </w:r>
          </w:p>
        </w:tc>
      </w:tr>
      <w:tr>
        <w:trPr/>
        <w:tc>
          <w:tcPr>
            <w:tcW w:w="2786" w:type="dxa"/>
            <w:tcBorders/>
            <w:shd w:fill="auto" w:val="clear"/>
            <w:vAlign w:val="center"/>
          </w:tcPr>
          <w:p>
            <w:pPr>
              <w:pStyle w:val="TableContents"/>
              <w:spacing w:before="0" w:after="283"/>
              <w:ind w:left="0" w:right="0" w:hanging="0"/>
              <w:rPr>
                <w:sz w:val="4"/>
                <w:szCs w:val="4"/>
              </w:rPr>
            </w:pPr>
            <w:r>
              <w:rPr>
                <w:sz w:val="4"/>
                <w:szCs w:val="4"/>
              </w:rPr>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16,931</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w:t>
            </w:r>
          </w:p>
        </w:tc>
        <w:tc>
          <w:tcPr>
            <w:tcW w:w="49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Sonicwall US Holdings, Inc.</w:t>
            </w:r>
          </w:p>
        </w:tc>
        <w:tc>
          <w:tcPr>
            <w:tcW w:w="128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 (j)</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 + 7.50%) / (0.00%)</w:t>
            </w:r>
          </w:p>
        </w:tc>
        <w:tc>
          <w:tcPr>
            <w:tcW w:w="6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12.20%/0.00%</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9/6/2022</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5/18/2026</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4,508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4,733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49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shd w:fill="auto" w:val="clear"/>
            <w:vAlign w:val="center"/>
          </w:tcPr>
          <w:p>
            <w:pPr>
              <w:pStyle w:val="TableContents"/>
              <w:spacing w:before="0" w:after="283"/>
              <w:ind w:left="0" w:right="0" w:hanging="0"/>
              <w:rPr>
                <w:sz w:val="4"/>
                <w:szCs w:val="4"/>
              </w:rPr>
            </w:pPr>
            <w:r>
              <w:rPr>
                <w:sz w:val="4"/>
                <w:szCs w:val="4"/>
              </w:rPr>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hanging="0"/>
              <w:jc w:val="left"/>
              <w:rPr/>
            </w:pPr>
            <w:r>
              <w:rPr/>
              <w:t> </w:t>
            </w:r>
          </w:p>
        </w:tc>
      </w:tr>
      <w:tr>
        <w:trPr/>
        <w:tc>
          <w:tcPr>
            <w:tcW w:w="2786"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Suited Connector LLC</w:t>
            </w:r>
          </w:p>
        </w:tc>
        <w:tc>
          <w:tcPr>
            <w:tcW w:w="128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32" w:type="dxa"/>
            <w:gridSpan w:val="2"/>
            <w:tcBorders/>
            <w:shd w:fill="auto" w:val="clear"/>
            <w:vAlign w:val="center"/>
          </w:tcPr>
          <w:p>
            <w:pPr>
              <w:pStyle w:val="TableContents"/>
              <w:spacing w:before="0" w:after="0"/>
              <w:ind w:left="0" w:right="0" w:hanging="0"/>
              <w:jc w:val="center"/>
              <w:rPr/>
            </w:pPr>
            <w:r>
              <w:rPr/>
              <w:t> </w:t>
            </w:r>
          </w:p>
        </w:tc>
        <w:tc>
          <w:tcPr>
            <w:tcW w:w="497" w:type="dxa"/>
            <w:tcBorders/>
            <w:shd w:fill="auto" w:val="clear"/>
            <w:vAlign w:val="center"/>
          </w:tcPr>
          <w:p>
            <w:pPr>
              <w:pStyle w:val="TableContents"/>
              <w:spacing w:before="0" w:after="0"/>
              <w:ind w:left="0" w:right="0" w:firstLine="160"/>
              <w:jc w:val="center"/>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 (j)</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12.00%/0.00%</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10/29/2021</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6/1/2028</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15,933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10,726</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(7,500</w:t>
            </w:r>
            <w:r>
              <w:rPr>
                <w:rFonts w:ascii="Times New Roman" w:hAnsi="Times New Roman"/>
                <w:sz w:val="20"/>
              </w:rPr>
              <w:t> </w:t>
            </w:r>
            <w:r>
              <w:rPr>
                <w:rFonts w:ascii="Times New Roman;serif" w:hAnsi="Times New Roman;serif"/>
                <w:b w:val="false"/>
                <w:sz w:val="12"/>
              </w:rPr>
              <w:t>units) (h)(j)</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12/1/2021</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hanging="0"/>
              <w:jc w:val="left"/>
              <w:rPr/>
            </w:pPr>
            <w:r>
              <w:rPr/>
              <w:t> </w:t>
            </w:r>
          </w:p>
        </w:tc>
      </w:tr>
      <w:tr>
        <w:trPr/>
        <w:tc>
          <w:tcPr>
            <w:tcW w:w="2786" w:type="dxa"/>
            <w:tcBorders/>
            <w:shd w:fill="auto" w:val="clear"/>
            <w:vAlign w:val="center"/>
          </w:tcPr>
          <w:p>
            <w:pPr>
              <w:pStyle w:val="TableContents"/>
              <w:spacing w:before="0" w:after="283"/>
              <w:ind w:left="0" w:right="0" w:hanging="0"/>
              <w:rPr>
                <w:sz w:val="4"/>
                <w:szCs w:val="4"/>
              </w:rPr>
            </w:pPr>
            <w:r>
              <w:rPr>
                <w:sz w:val="4"/>
                <w:szCs w:val="4"/>
              </w:rPr>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16,683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10,738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49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Tedia Company, LLC</w:t>
            </w:r>
          </w:p>
        </w:tc>
        <w:tc>
          <w:tcPr>
            <w:tcW w:w="128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 Products</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 + 7.75%) / (1.00%)</w:t>
            </w:r>
          </w:p>
        </w:tc>
        <w:tc>
          <w:tcPr>
            <w:tcW w:w="6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11.57%/0.00%</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3/4/2022</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3/4/2027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15,600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15,527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15,600</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Revolving Loan ($2,400</w:t>
            </w:r>
            <w:r>
              <w:rPr>
                <w:rFonts w:ascii="Times New Roman" w:hAnsi="Times New Roman"/>
                <w:sz w:val="20"/>
              </w:rPr>
              <w:t> </w:t>
            </w:r>
            <w:r>
              <w:rPr>
                <w:rFonts w:ascii="Times New Roman;serif" w:hAnsi="Times New Roman;serif"/>
                <w:b w:val="false"/>
                <w:sz w:val="12"/>
              </w:rPr>
              <w:t>unfunded commitment) (j)(i)</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 + 7.75%) / (1.00%)</w:t>
            </w:r>
          </w:p>
        </w:tc>
        <w:tc>
          <w:tcPr>
            <w:tcW w:w="6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11.57%/0.00%</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3/4/2022</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3/4/2027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1,581</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1,600</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Delayed Draw Commitment ($3,000</w:t>
            </w:r>
            <w:r>
              <w:rPr>
                <w:rFonts w:ascii="Times New Roman" w:hAnsi="Times New Roman"/>
                <w:sz w:val="20"/>
              </w:rPr>
              <w:t> </w:t>
            </w:r>
            <w:r>
              <w:rPr>
                <w:rFonts w:ascii="Times New Roman;serif" w:hAnsi="Times New Roman;serif"/>
                <w:b w:val="false"/>
                <w:sz w:val="12"/>
              </w:rPr>
              <w:t>unfunded commitment) (j)(ac)</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 + 7.75%) / (1.00%)</w:t>
            </w:r>
          </w:p>
        </w:tc>
        <w:tc>
          <w:tcPr>
            <w:tcW w:w="6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11.57%/0.00%</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3/4/2022</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3/4/2027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Subordinated Debt (j)</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7.25%/7.25%</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3/4/2022</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9/4/2027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2,643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3,750</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Preferred Equity (Series A) (1,000</w:t>
            </w:r>
            <w:r>
              <w:rPr>
                <w:rFonts w:ascii="Times New Roman" w:hAnsi="Times New Roman"/>
                <w:sz w:val="20"/>
              </w:rPr>
              <w:t> </w:t>
            </w:r>
            <w:r>
              <w:rPr>
                <w:rFonts w:ascii="Times New Roman;serif" w:hAnsi="Times New Roman;serif"/>
                <w:b w:val="false"/>
                <w:sz w:val="12"/>
              </w:rPr>
              <w:t>units) (h)(j)</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3/4/2022</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1,792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hanging="0"/>
              <w:jc w:val="left"/>
              <w:rPr/>
            </w:pPr>
            <w:r>
              <w:rPr/>
              <w:t> </w:t>
            </w:r>
          </w:p>
        </w:tc>
      </w:tr>
      <w:tr>
        <w:trPr/>
        <w:tc>
          <w:tcPr>
            <w:tcW w:w="2786" w:type="dxa"/>
            <w:tcBorders/>
            <w:shd w:fill="auto" w:val="clear"/>
            <w:vAlign w:val="center"/>
          </w:tcPr>
          <w:p>
            <w:pPr>
              <w:pStyle w:val="TableContents"/>
              <w:spacing w:before="0" w:after="283"/>
              <w:ind w:left="0" w:right="0" w:hanging="0"/>
              <w:rPr>
                <w:sz w:val="4"/>
                <w:szCs w:val="4"/>
              </w:rPr>
            </w:pPr>
            <w:r>
              <w:rPr>
                <w:sz w:val="4"/>
                <w:szCs w:val="4"/>
              </w:rPr>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20,737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22,742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w:t>
            </w:r>
          </w:p>
        </w:tc>
        <w:tc>
          <w:tcPr>
            <w:tcW w:w="49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Tiger Calcium Services Inc. (aw)</w:t>
            </w:r>
          </w:p>
        </w:tc>
        <w:tc>
          <w:tcPr>
            <w:tcW w:w="128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Transportation services</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 (j) (ao)</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12.50%/0.00%</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12/21/2022</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5/31/2025</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12,438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12,438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w:t>
            </w:r>
          </w:p>
        </w:tc>
        <w:tc>
          <w:tcPr>
            <w:tcW w:w="49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shd w:fill="auto" w:val="clear"/>
            <w:vAlign w:val="center"/>
          </w:tcPr>
          <w:p>
            <w:pPr>
              <w:pStyle w:val="TableContents"/>
              <w:spacing w:before="0" w:after="283"/>
              <w:ind w:left="0" w:right="0" w:hanging="0"/>
              <w:rPr>
                <w:sz w:val="4"/>
                <w:szCs w:val="4"/>
              </w:rPr>
            </w:pPr>
            <w:r>
              <w:rPr>
                <w:sz w:val="4"/>
                <w:szCs w:val="4"/>
              </w:rPr>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hanging="0"/>
              <w:jc w:val="left"/>
              <w:rPr/>
            </w:pPr>
            <w:r>
              <w:rPr/>
              <w:t> </w:t>
            </w:r>
          </w:p>
        </w:tc>
      </w:tr>
      <w:tr>
        <w:trPr/>
        <w:tc>
          <w:tcPr>
            <w:tcW w:w="2786"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UBEO, LLC</w:t>
            </w:r>
          </w:p>
        </w:tc>
        <w:tc>
          <w:tcPr>
            <w:tcW w:w="128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Business Services</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(705,000</w:t>
            </w:r>
            <w:r>
              <w:rPr>
                <w:rFonts w:ascii="Times New Roman" w:hAnsi="Times New Roman"/>
                <w:sz w:val="20"/>
              </w:rPr>
              <w:t> </w:t>
            </w:r>
            <w:r>
              <w:rPr>
                <w:rFonts w:ascii="Times New Roman;serif" w:hAnsi="Times New Roman;serif"/>
                <w:b w:val="false"/>
                <w:sz w:val="12"/>
              </w:rPr>
              <w:t>units) (h)(j)</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4/3/2018</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655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49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shd w:fill="auto" w:val="clear"/>
            <w:vAlign w:val="center"/>
          </w:tcPr>
          <w:p>
            <w:pPr>
              <w:pStyle w:val="TableContents"/>
              <w:spacing w:before="0" w:after="283"/>
              <w:ind w:left="0" w:right="0" w:hanging="0"/>
              <w:rPr>
                <w:sz w:val="4"/>
                <w:szCs w:val="4"/>
              </w:rPr>
            </w:pPr>
            <w:r>
              <w:rPr>
                <w:sz w:val="4"/>
                <w:szCs w:val="4"/>
              </w:rPr>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hanging="0"/>
              <w:jc w:val="left"/>
              <w:rPr/>
            </w:pPr>
            <w:r>
              <w:rPr/>
              <w:t> </w:t>
            </w:r>
          </w:p>
        </w:tc>
      </w:tr>
      <w:tr>
        <w:trPr/>
        <w:tc>
          <w:tcPr>
            <w:tcW w:w="2786"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United Biologics, LLC</w:t>
            </w:r>
          </w:p>
        </w:tc>
        <w:tc>
          <w:tcPr>
            <w:tcW w:w="128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Healthcare Services</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Preferred Equity (98,377</w:t>
            </w:r>
            <w:r>
              <w:rPr>
                <w:rFonts w:ascii="Times New Roman" w:hAnsi="Times New Roman"/>
                <w:sz w:val="20"/>
              </w:rPr>
              <w:t> </w:t>
            </w:r>
            <w:r>
              <w:rPr>
                <w:rFonts w:ascii="Times New Roman;serif" w:hAnsi="Times New Roman;serif"/>
                <w:b w:val="false"/>
                <w:sz w:val="12"/>
              </w:rPr>
              <w:t>units) (h)(j)</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4/1/2012</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1,008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Warrant (57,469</w:t>
            </w:r>
            <w:r>
              <w:rPr>
                <w:rFonts w:ascii="Times New Roman" w:hAnsi="Times New Roman"/>
                <w:sz w:val="20"/>
              </w:rPr>
              <w:t> </w:t>
            </w:r>
            <w:r>
              <w:rPr>
                <w:rFonts w:ascii="Times New Roman;serif" w:hAnsi="Times New Roman;serif"/>
                <w:b w:val="false"/>
                <w:sz w:val="12"/>
              </w:rPr>
              <w:t>units) (j)(m)</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3/5/2012</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565</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hanging="0"/>
              <w:jc w:val="left"/>
              <w:rPr/>
            </w:pPr>
            <w:r>
              <w:rPr/>
              <w:t> </w:t>
            </w:r>
          </w:p>
        </w:tc>
      </w:tr>
      <w:tr>
        <w:trPr/>
        <w:tc>
          <w:tcPr>
            <w:tcW w:w="2786" w:type="dxa"/>
            <w:tcBorders/>
            <w:shd w:fill="auto" w:val="clear"/>
            <w:vAlign w:val="center"/>
          </w:tcPr>
          <w:p>
            <w:pPr>
              <w:pStyle w:val="TableContents"/>
              <w:spacing w:before="0" w:after="283"/>
              <w:ind w:left="0" w:right="0" w:hanging="0"/>
              <w:rPr>
                <w:sz w:val="4"/>
                <w:szCs w:val="4"/>
              </w:rPr>
            </w:pPr>
            <w:r>
              <w:rPr>
                <w:sz w:val="4"/>
                <w:szCs w:val="4"/>
              </w:rPr>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1,573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49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Virginia Tile Company, LLC</w:t>
            </w:r>
          </w:p>
        </w:tc>
        <w:tc>
          <w:tcPr>
            <w:tcW w:w="128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Specialty Distribution</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(17</w:t>
            </w:r>
            <w:r>
              <w:rPr>
                <w:rFonts w:ascii="Times New Roman" w:hAnsi="Times New Roman"/>
                <w:sz w:val="20"/>
              </w:rPr>
              <w:t> </w:t>
            </w:r>
            <w:r>
              <w:rPr>
                <w:rFonts w:ascii="Times New Roman;serif" w:hAnsi="Times New Roman;serif"/>
                <w:b w:val="false"/>
                <w:sz w:val="12"/>
              </w:rPr>
              <w:t>units) (j)</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12/19/2014</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79</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w:t>
            </w:r>
          </w:p>
        </w:tc>
        <w:tc>
          <w:tcPr>
            <w:tcW w:w="49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shd w:fill="auto" w:val="clear"/>
            <w:vAlign w:val="center"/>
          </w:tcPr>
          <w:p>
            <w:pPr>
              <w:pStyle w:val="TableContents"/>
              <w:spacing w:before="0" w:after="283"/>
              <w:ind w:left="0" w:right="0" w:hanging="0"/>
              <w:rPr>
                <w:sz w:val="4"/>
                <w:szCs w:val="4"/>
              </w:rPr>
            </w:pPr>
            <w:r>
              <w:rPr>
                <w:sz w:val="4"/>
                <w:szCs w:val="4"/>
              </w:rPr>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hanging="0"/>
              <w:jc w:val="left"/>
              <w:rPr/>
            </w:pPr>
            <w:r>
              <w:rPr/>
              <w:t> </w:t>
            </w:r>
          </w:p>
        </w:tc>
      </w:tr>
      <w:tr>
        <w:trPr/>
        <w:tc>
          <w:tcPr>
            <w:tcW w:w="2786"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Virtex Enterprises, LP</w:t>
            </w:r>
          </w:p>
        </w:tc>
        <w:tc>
          <w:tcPr>
            <w:tcW w:w="128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Component Manufacturing</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 + 9.75%) / (1.00%)</w:t>
            </w:r>
          </w:p>
        </w:tc>
        <w:tc>
          <w:tcPr>
            <w:tcW w:w="6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14.48%/0.00%</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4/13/2022</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10/13/2027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10,906</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5,887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49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shd w:fill="auto" w:val="clear"/>
            <w:vAlign w:val="center"/>
          </w:tcPr>
          <w:p>
            <w:pPr>
              <w:pStyle w:val="TableContents"/>
              <w:spacing w:before="0" w:after="283"/>
              <w:ind w:left="0" w:right="0" w:hanging="0"/>
              <w:rPr>
                <w:sz w:val="4"/>
                <w:szCs w:val="4"/>
              </w:rPr>
            </w:pPr>
            <w:r>
              <w:rPr>
                <w:sz w:val="4"/>
                <w:szCs w:val="4"/>
              </w:rPr>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hanging="0"/>
              <w:jc w:val="left"/>
              <w:rPr/>
            </w:pPr>
            <w:r>
              <w:rPr/>
              <w:t> </w:t>
            </w:r>
          </w:p>
        </w:tc>
      </w:tr>
      <w:tr>
        <w:trPr/>
        <w:tc>
          <w:tcPr>
            <w:tcW w:w="2786"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Western's Smokehouse, LLC</w:t>
            </w:r>
          </w:p>
        </w:tc>
        <w:tc>
          <w:tcPr>
            <w:tcW w:w="128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Consumer Products</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(j)(ab)</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 + 6.50%) / (1.50%)</w:t>
            </w:r>
          </w:p>
        </w:tc>
        <w:tc>
          <w:tcPr>
            <w:tcW w:w="6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11.21%/0.00%</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2/28/2020</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12/23/2024</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9,554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9,615</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Delayed Draw Commitment ($2,702</w:t>
            </w:r>
            <w:r>
              <w:rPr>
                <w:rFonts w:ascii="Times New Roman" w:hAnsi="Times New Roman"/>
                <w:sz w:val="20"/>
              </w:rPr>
              <w:t> </w:t>
            </w:r>
            <w:r>
              <w:rPr>
                <w:rFonts w:ascii="Times New Roman;serif" w:hAnsi="Times New Roman;serif"/>
                <w:b w:val="false"/>
                <w:sz w:val="12"/>
              </w:rPr>
              <w:t>unfunded commitment) (j)(i)(ax)</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 + 5.00%) / (1.50%)</w:t>
            </w:r>
          </w:p>
        </w:tc>
        <w:tc>
          <w:tcPr>
            <w:tcW w:w="6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9.71%/0.00%</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6/29/2022</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12/23/2024</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798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791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798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hanging="0"/>
              <w:jc w:val="left"/>
              <w:rPr/>
            </w:pPr>
            <w:r>
              <w:rPr/>
              <w:t> </w:t>
            </w:r>
          </w:p>
        </w:tc>
      </w:tr>
      <w:tr>
        <w:trPr/>
        <w:tc>
          <w:tcPr>
            <w:tcW w:w="2786" w:type="dxa"/>
            <w:tcBorders/>
            <w:shd w:fill="auto" w:val="clear"/>
            <w:vAlign w:val="center"/>
          </w:tcPr>
          <w:p>
            <w:pPr>
              <w:pStyle w:val="TableContents"/>
              <w:spacing w:before="0" w:after="283"/>
              <w:ind w:left="0" w:right="0" w:hanging="0"/>
              <w:rPr>
                <w:sz w:val="4"/>
                <w:szCs w:val="4"/>
              </w:rPr>
            </w:pPr>
            <w:r>
              <w:rPr>
                <w:sz w:val="4"/>
                <w:szCs w:val="4"/>
              </w:rPr>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10,345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10,413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49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Winona Foods, Inc.</w:t>
            </w:r>
          </w:p>
        </w:tc>
        <w:tc>
          <w:tcPr>
            <w:tcW w:w="128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Specialty Distribution</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(j)(am)</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 + 12.00%) / (1.00%)</w:t>
            </w:r>
          </w:p>
        </w:tc>
        <w:tc>
          <w:tcPr>
            <w:tcW w:w="6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16.75%/0.00%</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4/1/2021</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4/1/2026</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3,907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4,000</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 + 13.00%) / (1.00%)</w:t>
            </w:r>
          </w:p>
        </w:tc>
        <w:tc>
          <w:tcPr>
            <w:tcW w:w="6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17.75%/0.00%</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4/1/2021</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4/1/2026</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6,966</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hanging="0"/>
              <w:jc w:val="left"/>
              <w:rPr/>
            </w:pPr>
            <w:r>
              <w:rPr/>
              <w:t> </w:t>
            </w:r>
          </w:p>
        </w:tc>
      </w:tr>
      <w:tr>
        <w:trPr/>
        <w:tc>
          <w:tcPr>
            <w:tcW w:w="2786" w:type="dxa"/>
            <w:tcBorders/>
            <w:shd w:fill="auto" w:val="clear"/>
            <w:vAlign w:val="center"/>
          </w:tcPr>
          <w:p>
            <w:pPr>
              <w:pStyle w:val="TableContents"/>
              <w:spacing w:before="0" w:after="283"/>
              <w:ind w:left="0" w:right="0" w:hanging="0"/>
              <w:rPr>
                <w:sz w:val="4"/>
                <w:szCs w:val="4"/>
              </w:rPr>
            </w:pPr>
            <w:r>
              <w:rPr>
                <w:sz w:val="4"/>
                <w:szCs w:val="4"/>
              </w:rPr>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10,873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49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Wonderware Holdings, LLC (dba CORE Business Technologies)</w:t>
            </w:r>
          </w:p>
        </w:tc>
        <w:tc>
          <w:tcPr>
            <w:tcW w:w="128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Information Technology Services</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(k)(z)</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 + 7.25%) / (1.00%)</w:t>
            </w:r>
          </w:p>
        </w:tc>
        <w:tc>
          <w:tcPr>
            <w:tcW w:w="6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11.97%/0.00%</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2/10/2021</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2/9/2026</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8,316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8,279</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8,316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w:t>
            </w:r>
          </w:p>
        </w:tc>
        <w:tc>
          <w:tcPr>
            <w:tcW w:w="49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shd w:fill="auto" w:val="clear"/>
            <w:vAlign w:val="center"/>
          </w:tcPr>
          <w:p>
            <w:pPr>
              <w:pStyle w:val="TableContents"/>
              <w:spacing w:before="0" w:after="283"/>
              <w:ind w:left="0" w:right="0" w:hanging="0"/>
              <w:rPr>
                <w:sz w:val="4"/>
                <w:szCs w:val="4"/>
              </w:rPr>
            </w:pPr>
            <w:r>
              <w:rPr>
                <w:sz w:val="4"/>
                <w:szCs w:val="4"/>
              </w:rPr>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hanging="0"/>
              <w:jc w:val="left"/>
              <w:rPr/>
            </w:pPr>
            <w:r>
              <w:rPr/>
              <w:t> </w:t>
            </w:r>
          </w:p>
        </w:tc>
      </w:tr>
      <w:tr>
        <w:trPr/>
        <w:tc>
          <w:tcPr>
            <w:tcW w:w="2786"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Worldwide Express Operations, LLC</w:t>
            </w:r>
          </w:p>
        </w:tc>
        <w:tc>
          <w:tcPr>
            <w:tcW w:w="128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Transportation services</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Second Lien Debt (j)</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 + 7.00%) / (0.75%)</w:t>
            </w:r>
          </w:p>
        </w:tc>
        <w:tc>
          <w:tcPr>
            <w:tcW w:w="6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11.73%/0.00%</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8/2/2021</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7/26/2029</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27,497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26,398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26,534</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Common Equity (795,000units) (j)</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7/21/2021</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795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942</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(752,380</w:t>
            </w:r>
            <w:r>
              <w:rPr>
                <w:rFonts w:ascii="Times New Roman" w:hAnsi="Times New Roman"/>
                <w:sz w:val="20"/>
              </w:rPr>
              <w:t> </w:t>
            </w:r>
            <w:r>
              <w:rPr>
                <w:rFonts w:ascii="Times New Roman;serif" w:hAnsi="Times New Roman;serif"/>
                <w:b w:val="false"/>
                <w:sz w:val="12"/>
              </w:rPr>
              <w:t>units) (h)(j)</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7/26/2021</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225</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hanging="0"/>
              <w:jc w:val="left"/>
              <w:rPr/>
            </w:pPr>
            <w:r>
              <w:rPr/>
              <w:t> </w:t>
            </w:r>
          </w:p>
        </w:tc>
      </w:tr>
      <w:tr>
        <w:trPr/>
        <w:tc>
          <w:tcPr>
            <w:tcW w:w="2786" w:type="dxa"/>
            <w:tcBorders/>
            <w:shd w:fill="auto" w:val="clear"/>
            <w:vAlign w:val="center"/>
          </w:tcPr>
          <w:p>
            <w:pPr>
              <w:pStyle w:val="TableContents"/>
              <w:spacing w:before="0" w:after="283"/>
              <w:ind w:left="0" w:right="0" w:hanging="0"/>
              <w:rPr>
                <w:sz w:val="4"/>
                <w:szCs w:val="4"/>
              </w:rPr>
            </w:pPr>
            <w:r>
              <w:rPr>
                <w:sz w:val="4"/>
                <w:szCs w:val="4"/>
              </w:rPr>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27,418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28,368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w:t>
            </w:r>
          </w:p>
        </w:tc>
        <w:tc>
          <w:tcPr>
            <w:tcW w:w="49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shd w:fill="auto" w:val="clear"/>
            <w:vAlign w:val="center"/>
          </w:tcPr>
          <w:p>
            <w:pPr>
              <w:pStyle w:val="TableContents"/>
              <w:spacing w:before="0" w:after="0"/>
              <w:ind w:left="0" w:right="0" w:hanging="0"/>
              <w:jc w:val="left"/>
              <w:rPr>
                <w:rFonts w:ascii="Times New Roman;serif" w:hAnsi="Times New Roman;serif"/>
                <w:b w:val="false"/>
                <w:i/>
                <w:sz w:val="12"/>
              </w:rPr>
            </w:pPr>
            <w:r>
              <w:rPr>
                <w:rFonts w:ascii="Times New Roman;serif" w:hAnsi="Times New Roman;serif"/>
                <w:b w:val="false"/>
                <w:i/>
                <w:sz w:val="12"/>
              </w:rPr>
              <w:t>Zonkd, LLC</w:t>
            </w:r>
          </w:p>
        </w:tc>
        <w:tc>
          <w:tcPr>
            <w:tcW w:w="128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Component Manufacturing</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First Lien Debt (j)</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(L + 10.00%) / (1.00%)</w:t>
            </w:r>
          </w:p>
        </w:tc>
        <w:tc>
          <w:tcPr>
            <w:tcW w:w="65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15.76%/0.00%</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3/18/2022</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3/18/2027</w:t>
            </w:r>
          </w:p>
        </w:tc>
        <w:tc>
          <w:tcPr>
            <w:tcW w:w="14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4,807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4,610</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 w:hAnsi="Times New Roman"/>
                <w:sz w:val="20"/>
              </w:rPr>
            </w:pPr>
            <w:r>
              <w:rPr>
                <w:rFonts w:ascii="Times New Roman;serif" w:hAnsi="Times New Roman;serif"/>
                <w:b w:val="false"/>
                <w:sz w:val="12"/>
              </w:rPr>
              <w:t>Common Equity (4,987</w:t>
            </w:r>
            <w:r>
              <w:rPr>
                <w:rFonts w:ascii="Times New Roman" w:hAnsi="Times New Roman"/>
                <w:sz w:val="20"/>
              </w:rPr>
              <w:t> </w:t>
            </w:r>
            <w:r>
              <w:rPr>
                <w:rFonts w:ascii="Times New Roman;serif" w:hAnsi="Times New Roman;serif"/>
                <w:b w:val="false"/>
                <w:sz w:val="12"/>
              </w:rPr>
              <w:t>units) (h)(j)</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3/18/2022</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169</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hanging="0"/>
              <w:jc w:val="left"/>
              <w:rPr/>
            </w:pPr>
            <w:r>
              <w:rPr/>
              <w:t> </w:t>
            </w:r>
          </w:p>
        </w:tc>
      </w:tr>
      <w:tr>
        <w:trPr/>
        <w:tc>
          <w:tcPr>
            <w:tcW w:w="2786" w:type="dxa"/>
            <w:tcBorders/>
            <w:shd w:fill="auto" w:val="clear"/>
            <w:vAlign w:val="center"/>
          </w:tcPr>
          <w:p>
            <w:pPr>
              <w:pStyle w:val="TableContents"/>
              <w:spacing w:before="0" w:after="283"/>
              <w:ind w:left="0" w:right="0" w:hanging="0"/>
              <w:rPr>
                <w:sz w:val="4"/>
                <w:szCs w:val="4"/>
              </w:rPr>
            </w:pPr>
            <w:r>
              <w:rPr>
                <w:sz w:val="4"/>
                <w:szCs w:val="4"/>
              </w:rPr>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4,976</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4,618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w:t>
            </w:r>
          </w:p>
        </w:tc>
        <w:tc>
          <w:tcPr>
            <w:tcW w:w="49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shd w:fill="auto" w:val="clear"/>
            <w:vAlign w:val="center"/>
          </w:tcPr>
          <w:p>
            <w:pPr>
              <w:pStyle w:val="TableContents"/>
              <w:spacing w:before="0" w:after="283"/>
              <w:ind w:left="0" w:right="0" w:hanging="0"/>
              <w:rPr>
                <w:sz w:val="4"/>
                <w:szCs w:val="4"/>
              </w:rPr>
            </w:pPr>
            <w:r>
              <w:rPr>
                <w:sz w:val="4"/>
                <w:szCs w:val="4"/>
              </w:rPr>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hanging="0"/>
              <w:jc w:val="left"/>
              <w:rPr/>
            </w:pPr>
            <w:r>
              <w:rPr/>
              <w:t> </w:t>
            </w:r>
          </w:p>
        </w:tc>
      </w:tr>
      <w:tr>
        <w:trPr/>
        <w:tc>
          <w:tcPr>
            <w:tcW w:w="278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Non-control/Non-affiliate Investments</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754,974</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758,739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158</w:t>
            </w:r>
          </w:p>
        </w:tc>
        <w:tc>
          <w:tcPr>
            <w:tcW w:w="49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shd w:fill="auto" w:val="clear"/>
            <w:vAlign w:val="center"/>
          </w:tcPr>
          <w:p>
            <w:pPr>
              <w:pStyle w:val="TableContents"/>
              <w:spacing w:before="0" w:after="283"/>
              <w:ind w:left="0" w:right="0" w:hanging="0"/>
              <w:rPr>
                <w:sz w:val="4"/>
                <w:szCs w:val="4"/>
              </w:rPr>
            </w:pPr>
            <w:r>
              <w:rPr>
                <w:sz w:val="4"/>
                <w:szCs w:val="4"/>
              </w:rPr>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hanging="0"/>
              <w:jc w:val="left"/>
              <w:rPr/>
            </w:pPr>
            <w:r>
              <w:rPr/>
              <w:t> </w:t>
            </w:r>
          </w:p>
        </w:tc>
      </w:tr>
      <w:tr>
        <w:trPr/>
        <w:tc>
          <w:tcPr>
            <w:tcW w:w="278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Investments</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828,693</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860,329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179</w:t>
            </w:r>
          </w:p>
        </w:tc>
        <w:tc>
          <w:tcPr>
            <w:tcW w:w="49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shd w:fill="auto" w:val="clear"/>
            <w:vAlign w:val="center"/>
          </w:tcPr>
          <w:p>
            <w:pPr>
              <w:pStyle w:val="TableContents"/>
              <w:spacing w:before="0" w:after="283"/>
              <w:ind w:left="0" w:right="0" w:hanging="0"/>
              <w:rPr>
                <w:sz w:val="4"/>
                <w:szCs w:val="4"/>
              </w:rPr>
            </w:pPr>
            <w:r>
              <w:rPr>
                <w:sz w:val="4"/>
                <w:szCs w:val="4"/>
              </w:rPr>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hanging="0"/>
              <w:jc w:val="left"/>
              <w:rPr/>
            </w:pPr>
            <w:r>
              <w:rPr/>
              <w:t> </w:t>
            </w:r>
          </w:p>
        </w:tc>
      </w:tr>
      <w:tr>
        <w:trPr/>
        <w:tc>
          <w:tcPr>
            <w:tcW w:w="278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Money market funds (included in cash and cash equivalents)</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firstLine="160"/>
              <w:jc w:val="left"/>
              <w:rPr/>
            </w:pPr>
            <w:r>
              <w:rPr/>
              <w:t> </w:t>
            </w:r>
          </w:p>
        </w:tc>
      </w:tr>
      <w:tr>
        <w:trPr/>
        <w:tc>
          <w:tcPr>
            <w:tcW w:w="2786" w:type="dxa"/>
            <w:tcBorders/>
            <w:shd w:fill="auto" w:val="clear"/>
            <w:vAlign w:val="center"/>
          </w:tcPr>
          <w:p>
            <w:pPr>
              <w:pStyle w:val="TableContents"/>
              <w:spacing w:before="0" w:after="0"/>
              <w:ind w:left="160" w:right="0" w:hanging="0"/>
              <w:jc w:val="left"/>
              <w:rPr>
                <w:rFonts w:ascii="Times New Roman;serif" w:hAnsi="Times New Roman;serif"/>
                <w:b w:val="false"/>
                <w:sz w:val="12"/>
              </w:rPr>
            </w:pPr>
            <w:r>
              <w:rPr>
                <w:rFonts w:ascii="Times New Roman;serif" w:hAnsi="Times New Roman;serif"/>
                <w:b w:val="false"/>
                <w:sz w:val="12"/>
              </w:rPr>
              <w:t>Goldman Sachs Financial Square Treasury Obligation Institution CUSIP (38141W323) (ad)</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61,076</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61,076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w:t>
            </w:r>
          </w:p>
        </w:tc>
        <w:tc>
          <w:tcPr>
            <w:tcW w:w="497" w:type="dxa"/>
            <w:tcBorders/>
            <w:shd w:fill="auto" w:val="clear"/>
            <w:vAlign w:val="center"/>
          </w:tcPr>
          <w:p>
            <w:pPr>
              <w:pStyle w:val="TableContents"/>
              <w:spacing w:before="0" w:after="0"/>
              <w:ind w:left="0" w:right="0" w:firstLine="24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shd w:fill="auto" w:val="clear"/>
            <w:vAlign w:val="center"/>
          </w:tcPr>
          <w:p>
            <w:pPr>
              <w:pStyle w:val="TableContents"/>
              <w:spacing w:before="0" w:after="0"/>
              <w:ind w:left="240" w:right="0" w:hanging="0"/>
              <w:jc w:val="left"/>
              <w:rPr>
                <w:rFonts w:ascii="Times New Roman;serif" w:hAnsi="Times New Roman;serif"/>
                <w:b/>
                <w:sz w:val="12"/>
              </w:rPr>
            </w:pPr>
            <w:r>
              <w:rPr>
                <w:rFonts w:ascii="Times New Roman;serif" w:hAnsi="Times New Roman;serif"/>
                <w:b/>
                <w:sz w:val="12"/>
              </w:rPr>
              <w:t>Total money market funds</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61,076</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61,076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13</w:t>
            </w:r>
          </w:p>
        </w:tc>
        <w:tc>
          <w:tcPr>
            <w:tcW w:w="49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Total Investments and Money Market Funds</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889,769</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921,405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192</w:t>
            </w:r>
          </w:p>
        </w:tc>
        <w:tc>
          <w:tcPr>
            <w:tcW w:w="497" w:type="dxa"/>
            <w:tcBorders/>
            <w:shd w:fill="auto" w:val="clear"/>
            <w:vAlign w:val="center"/>
          </w:tcPr>
          <w:p>
            <w:pPr>
              <w:pStyle w:val="TableContents"/>
              <w:spacing w:before="0" w:after="0"/>
              <w:ind w:left="0" w:right="0" w:firstLine="160"/>
              <w:jc w:val="left"/>
              <w:rPr>
                <w:rFonts w:ascii="Times New Roman;serif" w:hAnsi="Times New Roman;serif"/>
                <w:b w:val="false"/>
                <w:sz w:val="12"/>
              </w:rPr>
            </w:pPr>
            <w:r>
              <w:rPr>
                <w:rFonts w:ascii="Times New Roman;serif" w:hAnsi="Times New Roman;serif"/>
                <w:b w:val="false"/>
                <w:sz w:val="12"/>
              </w:rPr>
              <w:t>%</w:t>
            </w:r>
          </w:p>
        </w:tc>
      </w:tr>
      <w:tr>
        <w:trPr/>
        <w:tc>
          <w:tcPr>
            <w:tcW w:w="2786" w:type="dxa"/>
            <w:tcBorders/>
            <w:shd w:fill="auto" w:val="clear"/>
            <w:vAlign w:val="center"/>
          </w:tcPr>
          <w:p>
            <w:pPr>
              <w:pStyle w:val="TableContents"/>
              <w:spacing w:before="0" w:after="0"/>
              <w:ind w:left="160" w:right="0" w:hanging="0"/>
              <w:jc w:val="left"/>
              <w:rPr/>
            </w:pPr>
            <w:r>
              <w:rPr/>
              <w:t> </w:t>
            </w:r>
          </w:p>
        </w:tc>
        <w:tc>
          <w:tcPr>
            <w:tcW w:w="1289" w:type="dxa"/>
            <w:tcBorders/>
            <w:shd w:fill="auto" w:val="clear"/>
            <w:vAlign w:val="center"/>
          </w:tcPr>
          <w:p>
            <w:pPr>
              <w:pStyle w:val="TableContents"/>
              <w:spacing w:before="0" w:after="0"/>
              <w:ind w:left="0" w:right="0" w:hanging="0"/>
              <w:jc w:val="left"/>
              <w:rPr/>
            </w:pPr>
            <w:r>
              <w:rPr/>
              <w:t> </w:t>
            </w:r>
          </w:p>
        </w:tc>
        <w:tc>
          <w:tcPr>
            <w:tcW w:w="924" w:type="dxa"/>
            <w:tcBorders/>
            <w:shd w:fill="auto" w:val="clear"/>
            <w:vAlign w:val="center"/>
          </w:tcPr>
          <w:p>
            <w:pPr>
              <w:pStyle w:val="TableContents"/>
              <w:spacing w:before="0" w:after="0"/>
              <w:ind w:left="0" w:right="0" w:hanging="0"/>
              <w:jc w:val="left"/>
              <w:rPr/>
            </w:pPr>
            <w:r>
              <w:rPr/>
              <w:t> </w:t>
            </w:r>
          </w:p>
        </w:tc>
        <w:tc>
          <w:tcPr>
            <w:tcW w:w="650"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493" w:type="dxa"/>
            <w:tcBorders/>
            <w:shd w:fill="auto" w:val="clear"/>
            <w:vAlign w:val="center"/>
          </w:tcPr>
          <w:p>
            <w:pPr>
              <w:pStyle w:val="TableContents"/>
              <w:spacing w:before="0" w:after="0"/>
              <w:ind w:left="0" w:right="0" w:hanging="0"/>
              <w:jc w:val="left"/>
              <w:rPr/>
            </w:pPr>
            <w:r>
              <w:rPr/>
              <w:t> </w:t>
            </w:r>
          </w:p>
        </w:tc>
        <w:tc>
          <w:tcPr>
            <w:tcW w:w="58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2" w:type="dxa"/>
            <w:gridSpan w:val="2"/>
            <w:tcBorders/>
            <w:shd w:fill="auto" w:val="clear"/>
            <w:vAlign w:val="center"/>
          </w:tcPr>
          <w:p>
            <w:pPr>
              <w:pStyle w:val="TableContents"/>
              <w:spacing w:before="0" w:after="0"/>
              <w:ind w:left="0" w:right="0" w:hanging="0"/>
              <w:jc w:val="left"/>
              <w:rPr/>
            </w:pPr>
            <w:r>
              <w:rPr/>
              <w:t> </w:t>
            </w:r>
          </w:p>
        </w:tc>
        <w:tc>
          <w:tcPr>
            <w:tcW w:w="497" w:type="dxa"/>
            <w:tcBorders/>
            <w:shd w:fill="auto" w:val="clear"/>
            <w:vAlign w:val="center"/>
          </w:tcPr>
          <w:p>
            <w:pPr>
              <w:pStyle w:val="TableContents"/>
              <w:spacing w:before="0" w:after="0"/>
              <w:ind w:left="0" w:right="0" w:hanging="0"/>
              <w:jc w:val="left"/>
              <w:rPr/>
            </w:pPr>
            <w:r>
              <w:rPr/>
              <w:t> </w:t>
            </w:r>
          </w:p>
        </w:tc>
      </w:tr>
    </w:tbl>
    <w:p>
      <w:pPr>
        <w:pStyle w:val="TextBody"/>
        <w:pBdr>
          <w:bottom w:val="double" w:sz="6" w:space="1" w:color="000000"/>
        </w:pBdr>
        <w:spacing w:before="0" w:after="0"/>
        <w:jc w:val="left"/>
        <w:rPr/>
      </w:pPr>
      <w:r>
        <w:rPr/>
        <w:t> </w:t>
      </w:r>
    </w:p>
    <w:p>
      <w:pPr>
        <w:pStyle w:val="TextBody"/>
        <w:spacing w:before="0" w:after="0"/>
        <w:jc w:val="left"/>
        <w:rPr>
          <w:rFonts w:ascii="Times New Roman;serif" w:hAnsi="Times New Roman;serif"/>
          <w:b w:val="false"/>
          <w:sz w:val="12"/>
        </w:rPr>
      </w:pPr>
      <w:r>
        <w:rPr>
          <w:rFonts w:ascii="Times New Roman;serif" w:hAnsi="Times New Roman;serif"/>
          <w:b w:val="false"/>
          <w:sz w:val="12"/>
        </w:rPr>
        <w:t>(a) See Note 3 to the consolidated financial statements for portfolio composition by geographic location.</w:t>
      </w:r>
    </w:p>
    <w:p>
      <w:pPr>
        <w:pStyle w:val="TextBody"/>
        <w:spacing w:before="0" w:after="0"/>
        <w:jc w:val="left"/>
        <w:rPr>
          <w:rFonts w:ascii="Times New Roman;serif" w:hAnsi="Times New Roman;serif"/>
          <w:b w:val="false"/>
          <w:sz w:val="12"/>
        </w:rPr>
      </w:pPr>
      <w:r>
        <w:rPr>
          <w:rFonts w:ascii="Times New Roman;serif" w:hAnsi="Times New Roman;serif"/>
          <w:b w:val="false"/>
          <w:sz w:val="12"/>
        </w:rPr>
        <w:t>(b) Equity ownership may be held in shares or units of companies related to the portfolio companies.</w:t>
      </w:r>
    </w:p>
    <w:p>
      <w:pPr>
        <w:pStyle w:val="TextBody"/>
        <w:spacing w:before="0" w:after="0"/>
        <w:jc w:val="left"/>
        <w:rPr>
          <w:rFonts w:ascii="Times New Roman;serif" w:hAnsi="Times New Roman;serif"/>
          <w:b w:val="false"/>
          <w:sz w:val="12"/>
        </w:rPr>
      </w:pPr>
      <w:r>
        <w:rPr>
          <w:rFonts w:ascii="Times New Roman;serif" w:hAnsi="Times New Roman;serif"/>
          <w:b w:val="false"/>
          <w:sz w:val="12"/>
        </w:rPr>
        <w:t>(c) All debt investments are income producing, unless otherwise indicated. Equity investments are non-income producing unless otherwise noted.</w:t>
      </w:r>
    </w:p>
    <w:p>
      <w:pPr>
        <w:pStyle w:val="TextBody"/>
        <w:spacing w:before="0" w:after="0"/>
        <w:jc w:val="left"/>
        <w:rPr>
          <w:rFonts w:ascii="Times New Roman;serif" w:hAnsi="Times New Roman;serif"/>
          <w:b w:val="false"/>
          <w:sz w:val="12"/>
        </w:rPr>
      </w:pPr>
      <w:r>
        <w:rPr>
          <w:rFonts w:ascii="Times New Roman;serif" w:hAnsi="Times New Roman;serif"/>
          <w:b w:val="false"/>
          <w:sz w:val="12"/>
        </w:rPr>
        <w:t>(d) Variable rate investments bear interest at a rate indexed to LIBOR (L), Prime (P) or SOFR (S), which are reset monthly, bimonthly, quarterly, or semi-annually. Certain variable rate investments also include a LIBOR, Prime or SOFR interest rate floor. For each investment, the Company has provided the spread over the reference rate and the LIBOR, Prime or SOFR floor, if any, as of December 31, 2022.</w:t>
      </w:r>
    </w:p>
    <w:p>
      <w:pPr>
        <w:pStyle w:val="TextBody"/>
        <w:spacing w:before="0" w:after="0"/>
        <w:jc w:val="left"/>
        <w:rPr>
          <w:rFonts w:ascii="Times New Roman;serif" w:hAnsi="Times New Roman;serif"/>
          <w:b w:val="false"/>
          <w:sz w:val="12"/>
        </w:rPr>
      </w:pPr>
      <w:r>
        <w:rPr>
          <w:rFonts w:ascii="Times New Roman;serif" w:hAnsi="Times New Roman;serif"/>
          <w:b w:val="false"/>
          <w:sz w:val="12"/>
        </w:rPr>
        <w:t>(e) Rate includes the cash interest or dividend rate and paid-in-kind interest or dividend rate, if any, as of December 31, 2022. Generally, payment-in-kind interest can be paid-in-kind or all in cash.</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12"/>
        </w:rPr>
      </w:pPr>
      <w:r>
        <w:rPr>
          <w:rFonts w:ascii="Times New Roman;serif" w:hAnsi="Times New Roman;serif"/>
          <w:b w:val="false"/>
          <w:sz w:val="12"/>
        </w:rPr>
        <w:t>(f) Investment date represents the date of the initial investment in the security.</w:t>
      </w:r>
    </w:p>
    <w:p>
      <w:pPr>
        <w:pStyle w:val="TextBody"/>
        <w:spacing w:before="0" w:after="0"/>
        <w:jc w:val="left"/>
        <w:rPr>
          <w:rFonts w:ascii="Times New Roman;serif" w:hAnsi="Times New Roman;serif"/>
          <w:b w:val="false"/>
          <w:sz w:val="12"/>
        </w:rPr>
      </w:pPr>
      <w:r>
        <w:rPr>
          <w:rFonts w:ascii="Times New Roman;serif" w:hAnsi="Times New Roman;serif"/>
          <w:b w:val="false"/>
          <w:sz w:val="12"/>
        </w:rPr>
        <w:t>(g) Except as otherwise noted, the Company’s investment portfolio is comprised of debt and equity securities of privately held companies for which quoted prices falling within the categories of Level 1 and Level 2 inputs are not available. Therefore, the Company values all of its portfolio investments at fair value, as determined in good faith by the board of directors, using significant unobservable Level 3 inputs.</w:t>
      </w:r>
    </w:p>
    <w:p>
      <w:pPr>
        <w:pStyle w:val="TextBody"/>
        <w:spacing w:before="0" w:after="0"/>
        <w:jc w:val="left"/>
        <w:rPr>
          <w:rFonts w:ascii="Times New Roman;serif" w:hAnsi="Times New Roman;serif"/>
          <w:b w:val="false"/>
          <w:sz w:val="12"/>
        </w:rPr>
      </w:pPr>
      <w:r>
        <w:rPr>
          <w:rFonts w:ascii="Times New Roman;serif" w:hAnsi="Times New Roman;serif"/>
          <w:b w:val="false"/>
          <w:sz w:val="12"/>
        </w:rPr>
        <w:t>(h) Investment is held by a taxable subsidiary of the Company.</w:t>
      </w:r>
    </w:p>
    <w:p>
      <w:pPr>
        <w:pStyle w:val="TextBody"/>
        <w:spacing w:before="0" w:after="0"/>
        <w:jc w:val="left"/>
        <w:rPr>
          <w:rFonts w:ascii="Times New Roman;serif" w:hAnsi="Times New Roman;serif"/>
          <w:b w:val="false"/>
          <w:sz w:val="12"/>
        </w:rPr>
      </w:pPr>
      <w:r>
        <w:rPr>
          <w:rFonts w:ascii="Times New Roman;serif" w:hAnsi="Times New Roman;serif"/>
          <w:b w:val="false"/>
          <w:sz w:val="12"/>
        </w:rPr>
        <w:t>(i) The disclosed commitment represents the unfunded amount as of December 31, 2022. The Company is earning 0.50% interest on the unfunded balance of the commitment. The interest rate disclosed represents the rate which will be earned if the commitment is funded.</w:t>
      </w:r>
    </w:p>
    <w:p>
      <w:pPr>
        <w:pStyle w:val="TextBody"/>
        <w:spacing w:before="0" w:after="0"/>
        <w:jc w:val="left"/>
        <w:rPr>
          <w:rFonts w:ascii="Times New Roman;serif" w:hAnsi="Times New Roman;serif"/>
          <w:b w:val="false"/>
          <w:sz w:val="12"/>
        </w:rPr>
      </w:pPr>
      <w:r>
        <w:rPr>
          <w:rFonts w:ascii="Times New Roman;serif" w:hAnsi="Times New Roman;serif"/>
          <w:b w:val="false"/>
          <w:sz w:val="12"/>
        </w:rPr>
        <w:t>(j) Investment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pStyle w:val="TextBody"/>
        <w:spacing w:before="0" w:after="0"/>
        <w:jc w:val="left"/>
        <w:rPr>
          <w:rFonts w:ascii="Times New Roman;serif" w:hAnsi="Times New Roman;serif"/>
          <w:b w:val="false"/>
          <w:sz w:val="12"/>
        </w:rPr>
      </w:pPr>
      <w:r>
        <w:rPr>
          <w:rFonts w:ascii="Times New Roman;serif" w:hAnsi="Times New Roman;serif"/>
          <w:b w:val="false"/>
          <w:sz w:val="12"/>
        </w:rPr>
        <w:t>(k) The portion of the investment not held by the Funds is pledged as collateral for the Credit Facility and, as a result, is not directly available to the creditors of the Company to satisfy any obligations of the Company other than the Company's obligations under the Credit Facility (see Note 6 to the consolidated financial statements).</w:t>
      </w:r>
    </w:p>
    <w:p>
      <w:pPr>
        <w:pStyle w:val="TextBody"/>
        <w:spacing w:before="0" w:after="0"/>
        <w:jc w:val="left"/>
        <w:rPr>
          <w:rFonts w:ascii="Times New Roman;serif" w:hAnsi="Times New Roman;serif"/>
          <w:b w:val="false"/>
          <w:sz w:val="12"/>
        </w:rPr>
      </w:pPr>
      <w:r>
        <w:rPr>
          <w:rFonts w:ascii="Times New Roman;serif" w:hAnsi="Times New Roman;serif"/>
          <w:b w:val="false"/>
          <w:sz w:val="12"/>
        </w:rPr>
        <w:t>(l) As defined in the 1940 Act, the Company is deemed to be an "Affiliated Person" of this portfolio company because it owns 5% or more of the portfolio company's outstanding voting securities or it has the power to exercise control over the management or policies of such portfolio company. Transactions in which the issuer was an Affiliated Person are detailed in Note 3 to the consolidated financial statements.</w:t>
      </w:r>
    </w:p>
    <w:p>
      <w:pPr>
        <w:pStyle w:val="TextBody"/>
        <w:spacing w:before="0" w:after="0"/>
        <w:jc w:val="left"/>
        <w:rPr>
          <w:rFonts w:ascii="Times New Roman;serif" w:hAnsi="Times New Roman;serif"/>
          <w:b w:val="false"/>
          <w:sz w:val="12"/>
        </w:rPr>
      </w:pPr>
      <w:r>
        <w:rPr>
          <w:rFonts w:ascii="Times New Roman;serif" w:hAnsi="Times New Roman;serif"/>
          <w:b w:val="false"/>
          <w:sz w:val="12"/>
        </w:rPr>
        <w:t>(m) Warrants entitle the Company to purchase a predetermined number of shares or units of common equity, and are non-income producing. The purchase price and number of shares are subject to adjustment under certain conditions until the expiration date, if any.</w:t>
      </w:r>
    </w:p>
    <w:p>
      <w:pPr>
        <w:pStyle w:val="TextBody"/>
        <w:spacing w:before="0" w:after="0"/>
        <w:jc w:val="left"/>
        <w:rPr>
          <w:rFonts w:ascii="Times New Roman;serif" w:hAnsi="Times New Roman;serif"/>
          <w:b w:val="false"/>
          <w:sz w:val="12"/>
        </w:rPr>
      </w:pPr>
      <w:r>
        <w:rPr>
          <w:rFonts w:ascii="Times New Roman;serif" w:hAnsi="Times New Roman;serif"/>
          <w:b w:val="false"/>
          <w:sz w:val="12"/>
        </w:rPr>
        <w:t>(n) Investment in portfolio company that has sold its operations and is in the process of winding down.</w:t>
      </w:r>
    </w:p>
    <w:p>
      <w:pPr>
        <w:pStyle w:val="TextBody"/>
        <w:spacing w:before="0" w:after="0"/>
        <w:jc w:val="left"/>
        <w:rPr>
          <w:rFonts w:ascii="Times New Roman" w:hAnsi="Times New Roman"/>
          <w:sz w:val="20"/>
        </w:rPr>
      </w:pPr>
      <w:r>
        <w:rPr>
          <w:rFonts w:ascii="Times New Roman;serif" w:hAnsi="Times New Roman;serif"/>
          <w:b w:val="false"/>
          <w:sz w:val="12"/>
        </w:rPr>
        <w:t>(o) The Company sold a participating interest of approximately $0.3</w:t>
      </w:r>
      <w:r>
        <w:rPr>
          <w:rFonts w:ascii="Times New Roman" w:hAnsi="Times New Roman"/>
          <w:sz w:val="20"/>
        </w:rPr>
        <w:t xml:space="preserve"> </w:t>
      </w:r>
      <w:r>
        <w:rPr>
          <w:rFonts w:ascii="Times New Roman;serif" w:hAnsi="Times New Roman;serif"/>
          <w:b w:val="false"/>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spacing w:before="0" w:after="0"/>
        <w:jc w:val="left"/>
        <w:rPr>
          <w:rFonts w:ascii="Times New Roman;serif" w:hAnsi="Times New Roman;serif"/>
          <w:b w:val="false"/>
          <w:sz w:val="12"/>
        </w:rPr>
      </w:pPr>
      <w:r>
        <w:rPr>
          <w:rFonts w:ascii="Times New Roman;serif" w:hAnsi="Times New Roman;serif"/>
          <w:b w:val="false"/>
          <w:sz w:val="12"/>
        </w:rPr>
        <w:t>(p) In addition to the interest earned based on the stated interest rate of this security, the Company is entitled to receive an additional interest amount of 3.76%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0" w:after="0"/>
        <w:jc w:val="left"/>
        <w:rPr>
          <w:rFonts w:ascii="Times New Roman;serif" w:hAnsi="Times New Roman;serif"/>
          <w:b w:val="false"/>
          <w:sz w:val="12"/>
        </w:rPr>
      </w:pPr>
      <w:r>
        <w:rPr>
          <w:rFonts w:ascii="Times New Roman;serif" w:hAnsi="Times New Roman;serif"/>
          <w:b w:val="false"/>
          <w:sz w:val="12"/>
        </w:rPr>
        <w:t>(q) Warrant entitles the Company to purchase 4.79% of the outstanding principal of Junior Subordinated Notes prior to exercise, and is non-income producing.</w:t>
      </w:r>
    </w:p>
    <w:p>
      <w:pPr>
        <w:pStyle w:val="TextBody"/>
        <w:spacing w:before="0" w:after="0"/>
        <w:jc w:val="left"/>
        <w:rPr>
          <w:rFonts w:ascii="Times New Roman;serif" w:hAnsi="Times New Roman;serif"/>
          <w:b w:val="false"/>
          <w:sz w:val="12"/>
        </w:rPr>
      </w:pPr>
      <w:r>
        <w:rPr>
          <w:rFonts w:ascii="Times New Roman;serif" w:hAnsi="Times New Roman;serif"/>
          <w:b w:val="false"/>
          <w:sz w:val="12"/>
        </w:rPr>
        <w:t>(r) In addition to the interest earned based on the stated interest rate of this security, the Company is entitled to receive an additional interest amount of 4.24%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0" w:after="0"/>
        <w:jc w:val="left"/>
        <w:rPr>
          <w:rFonts w:ascii="Times New Roman;serif" w:hAnsi="Times New Roman;serif"/>
          <w:b w:val="false"/>
          <w:sz w:val="12"/>
        </w:rPr>
      </w:pPr>
      <w:r>
        <w:rPr>
          <w:rFonts w:ascii="Times New Roman;serif" w:hAnsi="Times New Roman;serif"/>
          <w:b w:val="false"/>
          <w:sz w:val="12"/>
        </w:rPr>
        <w:t>(s) In addition to the interest earned based on the stated interest rate of this security, the Company is entitled to receive an additional interest amount of 2.32%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0" w:after="0"/>
        <w:jc w:val="left"/>
        <w:rPr>
          <w:rFonts w:ascii="Times New Roman;serif" w:hAnsi="Times New Roman;serif"/>
          <w:b w:val="false"/>
          <w:sz w:val="12"/>
        </w:rPr>
      </w:pPr>
      <w:r>
        <w:rPr>
          <w:rFonts w:ascii="Times New Roman;serif" w:hAnsi="Times New Roman;serif"/>
          <w:b w:val="false"/>
          <w:sz w:val="12"/>
        </w:rPr>
        <w:t>(t) As defined in the 1940 Act, the Company is deemed to be both an “Affiliated Person” of and “Control” this portfolio company because it owns 25% or more of the portfolio company’s outstanding voting securities or it has the power to exercise control over the management or policies of such portfolio company. Transactions in which the issuer was both an Affiliated Person and a portfolio company that the Company is deemed to Control are detailed in Note 3 to the consolidated financial statements.</w:t>
      </w:r>
    </w:p>
    <w:p>
      <w:pPr>
        <w:pStyle w:val="TextBody"/>
        <w:spacing w:before="0" w:after="0"/>
        <w:jc w:val="left"/>
        <w:rPr>
          <w:rFonts w:ascii="Times New Roman;serif" w:hAnsi="Times New Roman;serif"/>
          <w:b w:val="false"/>
          <w:sz w:val="12"/>
        </w:rPr>
      </w:pPr>
      <w:r>
        <w:rPr>
          <w:rFonts w:ascii="Times New Roman;serif" w:hAnsi="Times New Roman;serif"/>
          <w:b w:val="false"/>
          <w:sz w:val="12"/>
        </w:rPr>
        <w:t>(u) In addition to the interest earned based on the stated interest rate of this security, the Company is entitled to receive an additional cash interest amount of 2.93% and PIK interest amount of 0.98%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0" w:after="0"/>
        <w:jc w:val="left"/>
        <w:rPr>
          <w:rFonts w:ascii="Times New Roman;serif" w:hAnsi="Times New Roman;serif"/>
          <w:b w:val="false"/>
          <w:sz w:val="12"/>
        </w:rPr>
      </w:pPr>
      <w:r>
        <w:rPr>
          <w:rFonts w:ascii="Times New Roman;serif" w:hAnsi="Times New Roman;serif"/>
          <w:b w:val="false"/>
          <w:sz w:val="12"/>
        </w:rPr>
        <w:t>(v) In addition to the interest earned based on the stated interest rate of this security, the Company is entitled to receive an additional interest amount of 3.11%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0" w:after="0"/>
        <w:jc w:val="left"/>
        <w:rPr>
          <w:rFonts w:ascii="Times New Roman;serif" w:hAnsi="Times New Roman;serif"/>
          <w:b w:val="false"/>
          <w:sz w:val="12"/>
        </w:rPr>
      </w:pPr>
      <w:r>
        <w:rPr>
          <w:rFonts w:ascii="Times New Roman;serif" w:hAnsi="Times New Roman;serif"/>
          <w:b w:val="false"/>
          <w:sz w:val="12"/>
        </w:rPr>
        <w:t>(w) In addition to the interest earned based on the stated interest rate of this security, the Company is entitled to receive an additional interest amount of 7.11%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0" w:after="0"/>
        <w:jc w:val="left"/>
        <w:rPr>
          <w:rFonts w:ascii="Times New Roman;serif" w:hAnsi="Times New Roman;serif"/>
          <w:b w:val="false"/>
          <w:sz w:val="12"/>
        </w:rPr>
      </w:pPr>
      <w:r>
        <w:rPr>
          <w:rFonts w:ascii="Times New Roman;serif" w:hAnsi="Times New Roman;serif"/>
          <w:b w:val="false"/>
          <w:sz w:val="12"/>
        </w:rPr>
        <w:t>(x) In addition to the interest earned based on the stated interest rate of this security, the Company is entitled to receive an additional interest amount of 2.73%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0" w:after="0"/>
        <w:jc w:val="left"/>
        <w:rPr>
          <w:rFonts w:ascii="Times New Roman;serif" w:hAnsi="Times New Roman;serif"/>
          <w:b w:val="false"/>
          <w:sz w:val="12"/>
        </w:rPr>
      </w:pPr>
      <w:r>
        <w:rPr>
          <w:rFonts w:ascii="Times New Roman;serif" w:hAnsi="Times New Roman;serif"/>
          <w:b w:val="false"/>
          <w:sz w:val="12"/>
        </w:rPr>
        <w:t>(y) Investment was on non-accrual status as of December 31, 2022.</w:t>
      </w:r>
    </w:p>
    <w:p>
      <w:pPr>
        <w:pStyle w:val="TextBody"/>
        <w:spacing w:before="0" w:after="0"/>
        <w:jc w:val="left"/>
        <w:rPr>
          <w:rFonts w:ascii="Times New Roman;serif" w:hAnsi="Times New Roman;serif"/>
          <w:b w:val="false"/>
          <w:sz w:val="12"/>
        </w:rPr>
      </w:pPr>
      <w:r>
        <w:rPr>
          <w:rFonts w:ascii="Times New Roman;serif" w:hAnsi="Times New Roman;serif"/>
          <w:b w:val="false"/>
          <w:sz w:val="12"/>
        </w:rPr>
        <w:t>(z) In addition to the interest earned based on the stated interest rate of this security, the Company is entitled to receive an additional interest amount of 4.45%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0" w:after="0"/>
        <w:jc w:val="left"/>
        <w:rPr>
          <w:rFonts w:ascii="Times New Roman" w:hAnsi="Times New Roman"/>
          <w:sz w:val="20"/>
        </w:rPr>
      </w:pPr>
      <w:r>
        <w:rPr>
          <w:rFonts w:ascii="Times New Roman;serif" w:hAnsi="Times New Roman;serif"/>
          <w:b w:val="false"/>
          <w:sz w:val="12"/>
        </w:rPr>
        <w:t>(aa) The Company sold a participating interest of approximately $4.0</w:t>
      </w:r>
      <w:r>
        <w:rPr>
          <w:rFonts w:ascii="Times New Roman" w:hAnsi="Times New Roman"/>
          <w:sz w:val="20"/>
        </w:rPr>
        <w:t xml:space="preserve"> </w:t>
      </w:r>
      <w:r>
        <w:rPr>
          <w:rFonts w:ascii="Times New Roman;serif" w:hAnsi="Times New Roman;serif"/>
          <w:b w:val="false"/>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spacing w:before="0" w:after="0"/>
        <w:jc w:val="left"/>
        <w:rPr>
          <w:rFonts w:ascii="Times New Roman;serif" w:hAnsi="Times New Roman;serif"/>
          <w:b w:val="false"/>
          <w:sz w:val="12"/>
        </w:rPr>
      </w:pPr>
      <w:r>
        <w:rPr>
          <w:rFonts w:ascii="Times New Roman;serif" w:hAnsi="Times New Roman;serif"/>
          <w:b w:val="false"/>
          <w:sz w:val="12"/>
        </w:rPr>
        <w:t>(ab) In addition to the interest earned based on the stated interest rate of this security, the Company is entitled to receive an additional interest amount of 1.77%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0" w:after="0"/>
        <w:jc w:val="left"/>
        <w:rPr>
          <w:rFonts w:ascii="Times New Roman;serif" w:hAnsi="Times New Roman;serif"/>
          <w:b w:val="false"/>
          <w:sz w:val="12"/>
        </w:rPr>
      </w:pPr>
      <w:r>
        <w:rPr>
          <w:rFonts w:ascii="Times New Roman;serif" w:hAnsi="Times New Roman;serif"/>
          <w:b w:val="false"/>
          <w:sz w:val="12"/>
        </w:rPr>
        <w:t>(ac) The disclosed commitment represents the unfunded amount as of December 31, 2022. The Company is earning 1.00% interest on the unfunded balance of the commitment. The interest rate disclosed represents the rate earned on the outstanding, funded balance of the commitment.</w:t>
      </w:r>
    </w:p>
    <w:p>
      <w:pPr>
        <w:pStyle w:val="TextBody"/>
        <w:spacing w:before="0" w:after="0"/>
        <w:jc w:val="left"/>
        <w:rPr>
          <w:rFonts w:ascii="Times New Roman;serif" w:hAnsi="Times New Roman;serif"/>
          <w:b w:val="false"/>
          <w:sz w:val="12"/>
        </w:rPr>
      </w:pPr>
      <w:r>
        <w:rPr>
          <w:rFonts w:ascii="Times New Roman;serif" w:hAnsi="Times New Roman;serif"/>
          <w:b w:val="false"/>
          <w:sz w:val="12"/>
        </w:rPr>
        <w:t>(ad) This investment is classified as a Level 1 investment. For further detail on the fair value measurements, see Note 4 to the consolidated financial statements.</w:t>
      </w:r>
    </w:p>
    <w:p>
      <w:pPr>
        <w:pStyle w:val="TextBody"/>
        <w:spacing w:before="0" w:after="0"/>
        <w:jc w:val="left"/>
        <w:rPr>
          <w:rFonts w:ascii="Times New Roman;serif" w:hAnsi="Times New Roman;serif"/>
          <w:b w:val="false"/>
          <w:sz w:val="12"/>
        </w:rPr>
      </w:pPr>
      <w:r>
        <w:rPr>
          <w:rFonts w:ascii="Times New Roman;serif" w:hAnsi="Times New Roman;serif"/>
          <w:b w:val="false"/>
          <w:sz w:val="12"/>
        </w:rPr>
        <w:t>(ae) In addition to the interest earned based on the stated interest rate of this security, the Company is entitled to receive an additional interest amount of 3.53%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0" w:after="0"/>
        <w:jc w:val="left"/>
        <w:rPr>
          <w:rFonts w:ascii="Times New Roman;serif" w:hAnsi="Times New Roman;serif"/>
          <w:b w:val="false"/>
          <w:sz w:val="12"/>
        </w:rPr>
      </w:pPr>
      <w:r>
        <w:rPr>
          <w:rFonts w:ascii="Times New Roman;serif" w:hAnsi="Times New Roman;serif"/>
          <w:b w:val="false"/>
          <w:sz w:val="12"/>
        </w:rPr>
        <w:t>(af) In addition to the interest earned based on the stated interest rate of this security, the Company is entitled to receive an additional interest amount of 3.28%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0" w:after="0"/>
        <w:jc w:val="left"/>
        <w:rPr>
          <w:rFonts w:ascii="Times New Roman;serif" w:hAnsi="Times New Roman;serif"/>
          <w:b w:val="false"/>
          <w:sz w:val="12"/>
        </w:rPr>
      </w:pPr>
      <w:r>
        <w:rPr>
          <w:rFonts w:ascii="Times New Roman;serif" w:hAnsi="Times New Roman;serif"/>
          <w:b w:val="false"/>
          <w:sz w:val="12"/>
        </w:rPr>
        <w:t>(ag) In addition to the interest earned based on the stated interest rate of this security, the Company is entitled to receive an additional interest amount of 4.54%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0" w:after="0"/>
        <w:jc w:val="left"/>
        <w:rPr>
          <w:rFonts w:ascii="Times New Roman;serif" w:hAnsi="Times New Roman;serif"/>
          <w:b w:val="false"/>
          <w:sz w:val="12"/>
        </w:rPr>
      </w:pPr>
      <w:r>
        <w:rPr>
          <w:rFonts w:ascii="Times New Roman;serif" w:hAnsi="Times New Roman;serif"/>
          <w:b w:val="false"/>
          <w:sz w:val="12"/>
        </w:rPr>
        <w:t>(ah) In addition to the interest earned based on the stated interest rate of this security, the Company is entitled to receive an additional interest amount of 1.63%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0" w:after="0"/>
        <w:jc w:val="left"/>
        <w:rPr>
          <w:rFonts w:ascii="Times New Roman;serif" w:hAnsi="Times New Roman;serif"/>
          <w:b w:val="false"/>
          <w:sz w:val="12"/>
        </w:rPr>
      </w:pPr>
      <w:r>
        <w:rPr>
          <w:rFonts w:ascii="Times New Roman;serif" w:hAnsi="Times New Roman;serif"/>
          <w:b w:val="false"/>
          <w:sz w:val="12"/>
        </w:rPr>
        <w:t>(ai) In addition to the interest earned based on the stated interest rate of this security, the Company is entitled to receive an additional interest amount of 4.65%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0" w:after="0"/>
        <w:jc w:val="left"/>
        <w:rPr>
          <w:rFonts w:ascii="Times New Roman;serif" w:hAnsi="Times New Roman;serif"/>
          <w:b w:val="false"/>
          <w:sz w:val="12"/>
        </w:rPr>
      </w:pPr>
      <w:r>
        <w:rPr>
          <w:rFonts w:ascii="Times New Roman;serif" w:hAnsi="Times New Roman;serif"/>
          <w:b w:val="false"/>
          <w:sz w:val="12"/>
        </w:rPr>
        <w:t>(aj) In addition to the interest earned based on the stated interest rate of this security, the Company is entitled to receive an additional interest amount of 4.11%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0" w:after="0"/>
        <w:jc w:val="left"/>
        <w:rPr>
          <w:rFonts w:ascii="Times New Roman;serif" w:hAnsi="Times New Roman;serif"/>
          <w:b w:val="false"/>
          <w:sz w:val="12"/>
        </w:rPr>
      </w:pPr>
      <w:r>
        <w:rPr>
          <w:rFonts w:ascii="Times New Roman;serif" w:hAnsi="Times New Roman;serif"/>
          <w:b w:val="false"/>
          <w:sz w:val="12"/>
        </w:rPr>
        <w:t>(ak) In addition to the interest earned based on the stated interest rate of this security, the Company is entitled to receive an additional interest amount of 4.83%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0" w:after="0"/>
        <w:jc w:val="left"/>
        <w:rPr>
          <w:rFonts w:ascii="Times New Roman;serif" w:hAnsi="Times New Roman;serif"/>
          <w:b w:val="false"/>
          <w:sz w:val="12"/>
        </w:rPr>
      </w:pPr>
      <w:r>
        <w:rPr>
          <w:rFonts w:ascii="Times New Roman;serif" w:hAnsi="Times New Roman;serif"/>
          <w:b w:val="false"/>
          <w:sz w:val="12"/>
        </w:rPr>
        <w:t>(al) In addition to the interest earned based on the stated interest rate of this security, the Company is entitled to receive an additional interest amount of 5.62%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0" w:after="0"/>
        <w:jc w:val="left"/>
        <w:rPr>
          <w:rFonts w:ascii="Times New Roman;serif" w:hAnsi="Times New Roman;serif"/>
          <w:b w:val="false"/>
          <w:sz w:val="12"/>
        </w:rPr>
      </w:pPr>
      <w:r>
        <w:rPr>
          <w:rFonts w:ascii="Times New Roman;serif" w:hAnsi="Times New Roman;serif"/>
          <w:b w:val="false"/>
          <w:sz w:val="12"/>
        </w:rPr>
        <w:t>(am) In addition to the interest earned based on the stated interest rate of this security, the Company is entitled to receive an additional interest amount of 5.72%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0" w:after="0"/>
        <w:jc w:val="left"/>
        <w:rPr>
          <w:rFonts w:ascii="Times New Roman" w:hAnsi="Times New Roman"/>
          <w:sz w:val="20"/>
        </w:rPr>
      </w:pPr>
      <w:r>
        <w:rPr>
          <w:rFonts w:ascii="Times New Roman;serif" w:hAnsi="Times New Roman;serif"/>
          <w:b w:val="false"/>
          <w:sz w:val="12"/>
        </w:rPr>
        <w:t>(an) The Company sold a participating interest of approximately $13.5</w:t>
      </w:r>
      <w:r>
        <w:rPr>
          <w:rFonts w:ascii="Times New Roman" w:hAnsi="Times New Roman"/>
          <w:sz w:val="20"/>
        </w:rPr>
        <w:t xml:space="preserve"> </w:t>
      </w:r>
      <w:r>
        <w:rPr>
          <w:rFonts w:ascii="Times New Roman;serif" w:hAnsi="Times New Roman;serif"/>
          <w:b w:val="false"/>
          <w:sz w:val="12"/>
        </w:rPr>
        <w:t>million in aggregate principal amount of the portfolio company’s first lien senior secured term loan. As the transaction did not qualify as a “true sale” in accordance with U.S. generally accepted accounting principles (“GAAP”), the Company recorded a corresponding secured borrowing in the Consolidated Statements of Assets and Liabilities.</w:t>
      </w:r>
    </w:p>
    <w:p>
      <w:pPr>
        <w:pStyle w:val="TextBody"/>
        <w:spacing w:before="0" w:after="0"/>
        <w:jc w:val="left"/>
        <w:rPr>
          <w:rFonts w:ascii="Times New Roman;serif" w:hAnsi="Times New Roman;serif"/>
          <w:b w:val="false"/>
          <w:sz w:val="12"/>
        </w:rPr>
      </w:pPr>
      <w:r>
        <w:rPr>
          <w:rFonts w:ascii="Times New Roman;serif" w:hAnsi="Times New Roman;serif"/>
          <w:b w:val="false"/>
          <w:sz w:val="12"/>
        </w:rPr>
        <w:t>(ao) The investment is treated as a non-qualifying asset under Section 55(a) of the Investment Company Act of 1940, as amended (the “1940 Act”). Under the 1940 Act, the Company can not acquire any non-qualifying asset unless, at the time the acquisition is made, qualifying assets represent at least 70% of the Company's total assets. As of December 31, 2022, total non-qualifying assets at fair value represented 1.36% of the Company's total assets calculated in accordance with the 1940 Act.</w:t>
      </w:r>
    </w:p>
    <w:p>
      <w:pPr>
        <w:pStyle w:val="TextBody"/>
        <w:spacing w:before="0" w:after="0"/>
        <w:jc w:val="left"/>
        <w:rPr>
          <w:rFonts w:ascii="Times New Roman;serif" w:hAnsi="Times New Roman;serif"/>
          <w:b w:val="false"/>
          <w:sz w:val="12"/>
        </w:rPr>
      </w:pPr>
      <w:r>
        <w:rPr>
          <w:rFonts w:ascii="Times New Roman;serif" w:hAnsi="Times New Roman;serif"/>
          <w:b w:val="false"/>
          <w:sz w:val="12"/>
        </w:rPr>
        <w:t>(ap) In addition to the interest earned based on the stated interest rate of this security, the Company is entitled to receive an additional cash interest amount of 1.25%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0" w:after="0"/>
        <w:jc w:val="left"/>
        <w:rPr>
          <w:rFonts w:ascii="Times New Roman;serif" w:hAnsi="Times New Roman;serif"/>
          <w:b w:val="false"/>
          <w:sz w:val="12"/>
        </w:rPr>
      </w:pPr>
      <w:r>
        <w:rPr>
          <w:rFonts w:ascii="Times New Roman;serif" w:hAnsi="Times New Roman;serif"/>
          <w:b w:val="false"/>
          <w:sz w:val="12"/>
        </w:rPr>
        <w:t>(aq) In addition to the interest earned based on the stated interest rate of this security, the Company is entitled to receive an additional interest amount of 4.68%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0" w:after="0"/>
        <w:jc w:val="left"/>
        <w:rPr>
          <w:rFonts w:ascii="Times New Roman;serif" w:hAnsi="Times New Roman;serif"/>
          <w:b w:val="false"/>
          <w:sz w:val="12"/>
        </w:rPr>
      </w:pPr>
      <w:r>
        <w:rPr>
          <w:rFonts w:ascii="Times New Roman;serif" w:hAnsi="Times New Roman;serif"/>
          <w:b w:val="false"/>
          <w:sz w:val="12"/>
        </w:rPr>
        <w:t>(ar) In addition to the interest earned based on the stated interest rate of this security, the Company is entitled to receive an additional interest amount of 2.72%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0" w:after="0"/>
        <w:jc w:val="left"/>
        <w:rPr>
          <w:rFonts w:ascii="Times New Roman;serif" w:hAnsi="Times New Roman;serif"/>
          <w:b w:val="false"/>
          <w:sz w:val="12"/>
        </w:rPr>
      </w:pPr>
      <w:r>
        <w:rPr>
          <w:rFonts w:ascii="Times New Roman;serif" w:hAnsi="Times New Roman;serif"/>
          <w:b w:val="false"/>
          <w:sz w:val="12"/>
        </w:rPr>
        <w:t>(as) In addition to the interest earned based on the stated interest rate of this security, the Company is entitled to receive an additional interest amount of 4.76%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0" w:after="0"/>
        <w:jc w:val="left"/>
        <w:rPr>
          <w:rFonts w:ascii="Times New Roman;serif" w:hAnsi="Times New Roman;serif"/>
          <w:b w:val="false"/>
          <w:sz w:val="12"/>
        </w:rPr>
      </w:pPr>
      <w:r>
        <w:rPr>
          <w:rFonts w:ascii="Times New Roman;serif" w:hAnsi="Times New Roman;serif"/>
          <w:b w:val="false"/>
          <w:sz w:val="12"/>
        </w:rPr>
        <w:t>(at) In addition to the interest earned based on the stated interest rate of this security, the Company is entitled to receive an additional interest amount of 2.21%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val="false"/>
          <w:sz w:val="12"/>
        </w:rPr>
      </w:pPr>
      <w:r>
        <w:rPr>
          <w:rFonts w:ascii="Times New Roman;serif" w:hAnsi="Times New Roman;serif"/>
          <w:b w:val="false"/>
          <w:sz w:val="12"/>
        </w:rPr>
        <w:t>(au) In addition to the interest earned based on the stated interest rate of this security, the Company is entitled to receive an additional interest amount of 3.26%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0" w:after="0"/>
        <w:jc w:val="left"/>
        <w:rPr>
          <w:rFonts w:ascii="Times New Roman;serif" w:hAnsi="Times New Roman;serif"/>
          <w:b w:val="false"/>
          <w:sz w:val="12"/>
        </w:rPr>
      </w:pPr>
      <w:r>
        <w:rPr>
          <w:rFonts w:ascii="Times New Roman;serif" w:hAnsi="Times New Roman;serif"/>
          <w:b w:val="false"/>
          <w:sz w:val="12"/>
        </w:rPr>
        <w:t>(av) In addition to the interest earned based on the stated interest rate of this security, the Company is entitled to receive an additional interest amount of 3.50%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0" w:after="0"/>
        <w:jc w:val="left"/>
        <w:rPr>
          <w:rFonts w:ascii="Times New Roman;serif" w:hAnsi="Times New Roman;serif"/>
          <w:b w:val="false"/>
          <w:sz w:val="12"/>
        </w:rPr>
      </w:pPr>
      <w:r>
        <w:rPr>
          <w:rFonts w:ascii="Times New Roman;serif" w:hAnsi="Times New Roman;serif"/>
          <w:b w:val="false"/>
          <w:sz w:val="12"/>
        </w:rPr>
        <w:t>(aw) The headquarters of this portfolio company is located in Canada.</w:t>
      </w:r>
    </w:p>
    <w:p>
      <w:pPr>
        <w:pStyle w:val="TextBody"/>
        <w:spacing w:before="0" w:after="0"/>
        <w:jc w:val="left"/>
        <w:rPr>
          <w:rFonts w:ascii="Times New Roman;serif" w:hAnsi="Times New Roman;serif"/>
          <w:b w:val="false"/>
          <w:sz w:val="12"/>
        </w:rPr>
      </w:pPr>
      <w:r>
        <w:rPr>
          <w:rFonts w:ascii="Times New Roman;serif" w:hAnsi="Times New Roman;serif"/>
          <w:b w:val="false"/>
          <w:sz w:val="12"/>
        </w:rPr>
        <w:t>(ax) In addition to the interest earned based on the stated interest rate of this security, the Company is entitled to receive an additional interest amount of 5.75% on its “last out” tranche of the portfolio company’s senior term debt, which was previously syndicated into “first out” and “last out” tranches, whereby the “first out” tranche will have priority as to the “last out” tranche with respect to payments of principal, interest and any other amounts due thereunder.</w:t>
      </w:r>
    </w:p>
    <w:p>
      <w:pPr>
        <w:pStyle w:val="TextBody"/>
        <w:spacing w:before="0" w:after="0"/>
        <w:jc w:val="center"/>
        <w:rPr>
          <w:rFonts w:ascii="Times New Roman;serif" w:hAnsi="Times New Roman;serif"/>
          <w:b w:val="false"/>
          <w:i/>
          <w:sz w:val="12"/>
        </w:rPr>
      </w:pPr>
      <w:r>
        <w:rPr>
          <w:rFonts w:ascii="Times New Roman;serif" w:hAnsi="Times New Roman;serif"/>
          <w:b w:val="false"/>
          <w:i/>
          <w:sz w:val="12"/>
        </w:rPr>
        <w:t>See Notes to Consolidated Financial Statements.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spacing w:before="180" w:after="0"/>
        <w:jc w:val="both"/>
        <w:rPr>
          <w:rFonts w:ascii="Times New Roman;serif" w:hAnsi="Times New Roman;serif"/>
          <w:b/>
          <w:sz w:val="20"/>
        </w:rPr>
      </w:pPr>
      <w:bookmarkStart w:id="9" w:name="notes_consolidated_financial_statements"/>
      <w:bookmarkEnd w:id="9"/>
      <w:r>
        <w:rPr>
          <w:rFonts w:ascii="Times New Roman;serif" w:hAnsi="Times New Roman;serif"/>
          <w:b/>
          <w:sz w:val="20"/>
        </w:rPr>
        <w:t>Note 1. Organization and Nature of Business</w:t>
      </w:r>
    </w:p>
    <w:p>
      <w:pPr>
        <w:pStyle w:val="TextBody"/>
        <w:spacing w:before="180" w:after="0"/>
        <w:jc w:val="both"/>
        <w:rPr>
          <w:rFonts w:ascii="Times New Roman" w:hAnsi="Times New Roman"/>
          <w:sz w:val="20"/>
        </w:rPr>
      </w:pPr>
      <w:r>
        <w:rPr>
          <w:rFonts w:ascii="Times New Roman;serif" w:hAnsi="Times New Roman;serif"/>
          <w:b w:val="false"/>
          <w:sz w:val="20"/>
        </w:rPr>
        <w:t>Fidus Investment Corporation (“FIC,” and together with its subsidiaries, the “Company”), a Maryland corporation, operates as an externally managed, closed-end, non-diversified business development company (“BDC”) under the Investment Company Act of 1940, as amended (“1940 Act”). FIC completed its initial public offering, or IPO, in June 2011. In addition, for U.S. federal income tax purposes, the Company has elected, and intends to qualify annually, to be treated as a regulated investment company (“RIC”) under Subchapter M of the Internal Revenue Code of 1986, as amended (the “Code”).</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Times New Roman;serif" w:hAnsi="Times New Roman;serif"/>
          <w:b w:val="false"/>
          <w:sz w:val="20"/>
        </w:rPr>
        <w:t>The Company provides customized debt and equity financing solutions to lower middle-market companies, and may make investments directly or through its two wholly-owned investment company subsidiaries, Fidus Mezzanine Capital II, L.P. (“Fund II”) and Fidus Mezzanine Capital III, L.P. (“Fund III”) (collectively, Fund II and Fund III are referred to as the “Funds”). The Funds are licensed by the U.S. Small Business Administration (the “SBA”) as small business investment companies (“SBIC”). The SBIC licenses allow the Funds to obtain leverage by issuing SBA-guaranteed debentures (“SBA debentures”), subject to the issuance of leverage commitments by the SBA and other customary procedures. As SBICs, the Funds are subject to regulations of and oversight by the SBA under the Small Business Investment Act of 1958, as amended (the “SBIC Act”), concerning, among other things, the size and nature of the companies in which they may invest and the structure of those investments.</w:t>
      </w:r>
      <w:r>
        <w:rPr>
          <w:rFonts w:ascii="Times New Roman" w:hAnsi="Times New Roman"/>
          <w:sz w:val="20"/>
        </w:rPr>
        <w:t xml:space="preserve"> </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We believe that utilizing both FIC and the Funds as investment vehicles provides us with access to a broader array of investment opportunities. Given our access to lower cost capital through the SBA’s SBIC debenture program, we expect that we will continue to make investments through the Funds until the earlier of the end of the Funds' investment period, if applicable, or the Funds reach their borrowing limit under the program. For two or more SBICs under common control, the maximum amount of outstanding SBA debentures cannot exceed $350,000.</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Fund II and Fund III are not registered under the 1940 Act and rely on the exclusion from the definition of investment company contained in Section 3(c)(7) of the 1940 Act.</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The Company pays a quarterly base management fee and an incentive fee to Fidus Investment Advisors, LLC, our investment advisor (the “Investment Advisor” or “Fidus Investment Advisors”) under an investment advisory agreement (the “Investment Advisory Agreement”).</w:t>
      </w:r>
    </w:p>
    <w:p>
      <w:pPr>
        <w:pStyle w:val="TextBody"/>
        <w:spacing w:before="180" w:after="0"/>
        <w:jc w:val="left"/>
        <w:rPr>
          <w:rFonts w:ascii="Times New Roman;serif" w:hAnsi="Times New Roman;serif"/>
          <w:b/>
          <w:sz w:val="20"/>
        </w:rPr>
      </w:pPr>
      <w:r>
        <w:rPr>
          <w:rFonts w:ascii="Times New Roman;serif" w:hAnsi="Times New Roman;serif"/>
          <w:b/>
          <w:sz w:val="20"/>
        </w:rPr>
        <w:t>Note 2. Significant Accounting Policies</w:t>
      </w:r>
    </w:p>
    <w:p>
      <w:pPr>
        <w:pStyle w:val="TextBody"/>
        <w:spacing w:before="180" w:after="0"/>
        <w:jc w:val="both"/>
        <w:rPr>
          <w:rFonts w:ascii="Times New Roman" w:hAnsi="Times New Roman"/>
          <w:sz w:val="20"/>
        </w:rPr>
      </w:pPr>
      <w:r>
        <w:rPr>
          <w:rFonts w:ascii="Times New Roman;serif" w:hAnsi="Times New Roman;serif"/>
          <w:b w:val="false"/>
          <w:i/>
          <w:sz w:val="20"/>
        </w:rPr>
        <w:t>Basis of presentation:</w:t>
      </w:r>
      <w:r>
        <w:rPr>
          <w:rFonts w:ascii="Times New Roman" w:hAnsi="Times New Roman"/>
          <w:sz w:val="20"/>
        </w:rPr>
        <w:t xml:space="preserve"> </w:t>
      </w:r>
      <w:r>
        <w:rPr>
          <w:rFonts w:ascii="Times New Roman;serif" w:hAnsi="Times New Roman;serif"/>
          <w:b w:val="false"/>
          <w:sz w:val="20"/>
        </w:rPr>
        <w:t xml:space="preserve">The accompanying consolidated financial statements of the Company have been prepared in accordance with generally accepted accounting principles in the United States of America (“GAAP”) pursuant to the requirements for reporting on Form 10-Q, Accounting Standards Codification (“ASC”) 946, </w:t>
      </w:r>
      <w:r>
        <w:rPr>
          <w:rFonts w:ascii="Times New Roman;serif" w:hAnsi="Times New Roman;serif"/>
          <w:b w:val="false"/>
          <w:i/>
          <w:sz w:val="20"/>
        </w:rPr>
        <w:t xml:space="preserve">Financial Services – Investment Companies </w:t>
      </w:r>
      <w:r>
        <w:rPr>
          <w:rFonts w:ascii="Times New Roman;serif" w:hAnsi="Times New Roman;serif"/>
          <w:b w:val="false"/>
          <w:sz w:val="20"/>
        </w:rPr>
        <w:t>(“ASC 946”), and Articles 6 or 10 of Regulation S-X. In the opinion of management, the consolidated financial statements reflect all adjustments and reclassifications that are necessary for the fair presentation of financial results as of and for the periods presented. Certain prior period amounts have been reclassified to conform to the current period presentation. The current period’s results of operation are not necessarily indicative of results that ultimately may be achieved for the year. Therefore, the unaudited financial statements and notes should be read in conjunction with the audited financial statements and notes thereto for the year ended December 31, 2022.</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During fiscal year ended December 31, 2022, the Company elected to change the manner in which it presents residual investments in portfolio companies that have sold their operations and are in the process of winding down. These investments similar to escrow receivables are now included in prepaid expenses and other assets whereas previously they were included as a component of investments, at fair value, on the consolidated statements of assets and liabilities until the security was legally extinguished or relinquished. There is no change in historical net increase in net assets resulting from operations due to this change in presentation.</w:t>
      </w:r>
    </w:p>
    <w:p>
      <w:pPr>
        <w:pStyle w:val="TextBody"/>
        <w:spacing w:before="180" w:after="0"/>
        <w:jc w:val="both"/>
        <w:rPr>
          <w:rFonts w:ascii="Times New Roman" w:hAnsi="Times New Roman"/>
          <w:sz w:val="20"/>
        </w:rPr>
      </w:pPr>
      <w:r>
        <w:rPr>
          <w:rFonts w:ascii="Times New Roman;serif" w:hAnsi="Times New Roman;serif"/>
          <w:b w:val="false"/>
          <w:i/>
          <w:sz w:val="20"/>
        </w:rPr>
        <w:t>Use of estimates:</w:t>
      </w:r>
      <w:r>
        <w:rPr>
          <w:rFonts w:ascii="Times New Roman" w:hAnsi="Times New Roman"/>
          <w:sz w:val="20"/>
        </w:rPr>
        <w:t xml:space="preserve"> </w:t>
      </w:r>
      <w:r>
        <w:rPr>
          <w:rFonts w:ascii="Times New Roman;serif" w:hAnsi="Times New Roman;serif"/>
          <w:b w:val="false"/>
          <w:sz w:val="20"/>
        </w:rPr>
        <w:t>The preparation of the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pStyle w:val="TextBody"/>
        <w:spacing w:before="180" w:after="0"/>
        <w:jc w:val="both"/>
        <w:rPr>
          <w:rFonts w:ascii="Times New Roman" w:hAnsi="Times New Roman"/>
          <w:sz w:val="20"/>
        </w:rPr>
      </w:pPr>
      <w:r>
        <w:rPr>
          <w:rFonts w:ascii="Times New Roman;serif" w:hAnsi="Times New Roman;serif"/>
          <w:b w:val="false"/>
          <w:i/>
          <w:sz w:val="20"/>
        </w:rPr>
        <w:t>Consolidation:</w:t>
      </w:r>
      <w:r>
        <w:rPr>
          <w:rFonts w:ascii="Times New Roman" w:hAnsi="Times New Roman"/>
          <w:sz w:val="20"/>
        </w:rPr>
        <w:t xml:space="preserve"> </w:t>
      </w:r>
      <w:r>
        <w:rPr>
          <w:rFonts w:ascii="Times New Roman;serif" w:hAnsi="Times New Roman;serif"/>
          <w:b w:val="false"/>
          <w:sz w:val="20"/>
        </w:rPr>
        <w:t>Pursuant to Article 6 of Regulation S-X and ASC 946, the Company will generally not consolidate its investments in a company other than an investment company subsidiary or a controlled operating company whose business consists of providing services to the Company. As a result, the consolidated financial statements of the Company include only the accounts of the Company and its wholly-owned subsidiaries, including the Funds. All significant intercompany balances and transactions have been eliminated.</w:t>
      </w:r>
    </w:p>
    <w:p>
      <w:pPr>
        <w:pStyle w:val="TextBody"/>
        <w:spacing w:before="180" w:after="0"/>
        <w:jc w:val="both"/>
        <w:rPr>
          <w:rFonts w:ascii="Times New Roman" w:hAnsi="Times New Roman"/>
          <w:sz w:val="20"/>
        </w:rPr>
      </w:pPr>
      <w:r>
        <w:rPr>
          <w:rFonts w:ascii="Times New Roman;serif" w:hAnsi="Times New Roman;serif"/>
          <w:b w:val="false"/>
          <w:i/>
          <w:sz w:val="20"/>
        </w:rPr>
        <w:t>Investment risks:</w:t>
      </w:r>
      <w:r>
        <w:rPr>
          <w:rFonts w:ascii="Times New Roman" w:hAnsi="Times New Roman"/>
          <w:sz w:val="20"/>
        </w:rPr>
        <w:t xml:space="preserve"> </w:t>
      </w:r>
      <w:r>
        <w:rPr>
          <w:rFonts w:ascii="Times New Roman;serif" w:hAnsi="Times New Roman;serif"/>
          <w:b w:val="false"/>
          <w:sz w:val="20"/>
        </w:rPr>
        <w:t>The Company’s investments are subject to a variety of risks. These risks may include, but are not limited to the following:</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spacing w:before="0" w:after="0"/>
        <w:jc w:val="both"/>
        <w:rPr/>
      </w:pPr>
      <w:r>
        <w:rPr/>
        <w:t>•</w:t>
      </w:r>
    </w:p>
    <w:p>
      <w:pPr>
        <w:pStyle w:val="TextBody"/>
        <w:spacing w:before="0" w:after="0"/>
        <w:jc w:val="both"/>
        <w:rPr>
          <w:rFonts w:ascii="Times New Roman;serif" w:hAnsi="Times New Roman;serif"/>
          <w:sz w:val="20"/>
        </w:rPr>
      </w:pPr>
      <w:r>
        <w:rPr>
          <w:rFonts w:ascii="Times New Roman;serif" w:hAnsi="Times New Roman;serif"/>
          <w:b w:val="false"/>
          <w:i/>
          <w:sz w:val="20"/>
        </w:rPr>
        <w:t xml:space="preserve">Market risk - </w:t>
      </w:r>
      <w:r>
        <w:rPr>
          <w:rFonts w:ascii="Times New Roman;serif" w:hAnsi="Times New Roman;serif"/>
          <w:b w:val="false"/>
          <w:sz w:val="20"/>
        </w:rPr>
        <w:t>In contrast to investment-grade bonds (the market prices of which change primarily as a reaction to changes in interest rates), the market prices of high-yield bonds (which are also affected by changes in interest rates) are influenced much more by credit factors and financial results of the issuer as well as general economic factors that influence the financial markets as a whole. The portfolio companies in which the Company invests may be unseasoned, unprofitable and/or have little established operating history or earnings. These companies may also lack technical, marketing, financial, and other resources or may be dependent upon the success of one product or service, a unique distribution channel, or the effectiveness of a manager or management team, as compared to larger, more established entities. The failure of a single product, service or distribution channel, or the loss or the ineffectiveness of a key executive or executives within the management team may have a materially adverse impact on such companies. Furthermore, these companies may be more vulnerable to competition and to overall economic conditions than larger, more established entities.</w:t>
      </w:r>
    </w:p>
    <w:p>
      <w:pPr>
        <w:pStyle w:val="TextBody"/>
        <w:spacing w:before="180" w:after="0"/>
        <w:jc w:val="both"/>
        <w:rPr/>
      </w:pPr>
      <w:r>
        <w:rPr/>
        <w:t>•</w:t>
      </w:r>
    </w:p>
    <w:p>
      <w:pPr>
        <w:pStyle w:val="TextBody"/>
        <w:spacing w:before="180" w:after="0"/>
        <w:jc w:val="both"/>
        <w:rPr>
          <w:rFonts w:ascii="Times New Roman;serif" w:hAnsi="Times New Roman;serif"/>
          <w:sz w:val="20"/>
        </w:rPr>
      </w:pPr>
      <w:r>
        <w:rPr>
          <w:rFonts w:ascii="Times New Roman;serif" w:hAnsi="Times New Roman;serif"/>
          <w:b w:val="false"/>
          <w:i/>
          <w:sz w:val="20"/>
        </w:rPr>
        <w:t xml:space="preserve">Credit risk - </w:t>
      </w:r>
      <w:r>
        <w:rPr>
          <w:rFonts w:ascii="Times New Roman;serif" w:hAnsi="Times New Roman;serif"/>
          <w:b w:val="false"/>
          <w:sz w:val="20"/>
        </w:rPr>
        <w:t xml:space="preserve">Credit risk represents the risk that the Company would incur if the counterparties failed to perform pursuant to the terms of their agreements with the Company. Issues of high-yield debt securities in which the Company invests are more likely to default on interest or principal than are issues of investment-grade securities. </w:t>
      </w:r>
    </w:p>
    <w:p>
      <w:pPr>
        <w:pStyle w:val="TextBody"/>
        <w:spacing w:before="180" w:after="0"/>
        <w:jc w:val="both"/>
        <w:rPr/>
      </w:pPr>
      <w:r>
        <w:rPr/>
        <w:t>•</w:t>
      </w:r>
    </w:p>
    <w:p>
      <w:pPr>
        <w:pStyle w:val="TextBody"/>
        <w:spacing w:before="180" w:after="0"/>
        <w:jc w:val="both"/>
        <w:rPr>
          <w:rFonts w:ascii="Times New Roman;serif" w:hAnsi="Times New Roman;serif"/>
          <w:sz w:val="20"/>
        </w:rPr>
      </w:pPr>
      <w:r>
        <w:rPr>
          <w:rFonts w:ascii="Times New Roman;serif" w:hAnsi="Times New Roman;serif"/>
          <w:b w:val="false"/>
          <w:i/>
          <w:sz w:val="20"/>
        </w:rPr>
        <w:t xml:space="preserve">Liquidity risk - </w:t>
      </w:r>
      <w:r>
        <w:rPr>
          <w:rFonts w:ascii="Times New Roman;serif" w:hAnsi="Times New Roman;serif"/>
          <w:b w:val="false"/>
          <w:sz w:val="20"/>
        </w:rPr>
        <w:t xml:space="preserve">Liquidity risk represents the possibility that the Company may not be able to sell its investments quickly or at a reasonable price (given the lack of an established market). </w:t>
      </w:r>
    </w:p>
    <w:p>
      <w:pPr>
        <w:pStyle w:val="TextBody"/>
        <w:spacing w:before="180" w:after="0"/>
        <w:jc w:val="both"/>
        <w:rPr/>
      </w:pPr>
      <w:r>
        <w:rPr/>
        <w:t>•</w:t>
      </w:r>
    </w:p>
    <w:p>
      <w:pPr>
        <w:pStyle w:val="TextBody"/>
        <w:spacing w:before="180" w:after="0"/>
        <w:jc w:val="both"/>
        <w:rPr>
          <w:rFonts w:ascii="Times New Roman;serif" w:hAnsi="Times New Roman;serif"/>
          <w:sz w:val="20"/>
        </w:rPr>
      </w:pPr>
      <w:r>
        <w:rPr>
          <w:rFonts w:ascii="Times New Roman;serif" w:hAnsi="Times New Roman;serif"/>
          <w:b w:val="false"/>
          <w:i/>
          <w:sz w:val="20"/>
        </w:rPr>
        <w:t xml:space="preserve">Interest rate risk - </w:t>
      </w:r>
      <w:r>
        <w:rPr>
          <w:rFonts w:ascii="Times New Roman;serif" w:hAnsi="Times New Roman;serif"/>
          <w:b w:val="false"/>
          <w:sz w:val="20"/>
        </w:rPr>
        <w:t xml:space="preserve">Interest rate risk represents the likelihood that a change in interest rates could have an adverse impact on the fair value of an interest-bearing financial instrument. </w:t>
      </w:r>
    </w:p>
    <w:p>
      <w:pPr>
        <w:pStyle w:val="TextBody"/>
        <w:spacing w:before="180" w:after="0"/>
        <w:jc w:val="both"/>
        <w:rPr/>
      </w:pPr>
      <w:r>
        <w:rPr/>
        <w:t>•</w:t>
      </w:r>
    </w:p>
    <w:p>
      <w:pPr>
        <w:pStyle w:val="TextBody"/>
        <w:spacing w:before="180" w:after="0"/>
        <w:jc w:val="both"/>
        <w:rPr>
          <w:rFonts w:ascii="Times New Roman;serif" w:hAnsi="Times New Roman;serif"/>
          <w:sz w:val="20"/>
        </w:rPr>
      </w:pPr>
      <w:r>
        <w:rPr>
          <w:rFonts w:ascii="Times New Roman;serif" w:hAnsi="Times New Roman;serif"/>
          <w:b w:val="false"/>
          <w:i/>
          <w:sz w:val="20"/>
        </w:rPr>
        <w:t xml:space="preserve">Prepayment risk - </w:t>
      </w:r>
      <w:r>
        <w:rPr>
          <w:rFonts w:ascii="Times New Roman;serif" w:hAnsi="Times New Roman;serif"/>
          <w:b w:val="false"/>
          <w:sz w:val="20"/>
        </w:rPr>
        <w:t>Certain of the Company’s debt investments allow for prepayment of principal without penalty. Downward changes in market interest rates may cause prepayments to occur at a faster than expected rate, thereby effectively shortening the maturity of the debt investments and making the instrument less likely to be an income producing instrument through the stated maturity date.</w:t>
      </w:r>
    </w:p>
    <w:p>
      <w:pPr>
        <w:pStyle w:val="TextBody"/>
        <w:spacing w:before="180" w:after="0"/>
        <w:jc w:val="both"/>
        <w:rPr/>
      </w:pPr>
      <w:r>
        <w:rPr/>
        <w:t>•</w:t>
      </w:r>
    </w:p>
    <w:p>
      <w:pPr>
        <w:pStyle w:val="TextBody"/>
        <w:spacing w:before="180" w:after="283"/>
        <w:jc w:val="both"/>
        <w:rPr>
          <w:rFonts w:ascii="Times New Roman;serif" w:hAnsi="Times New Roman;serif"/>
          <w:sz w:val="20"/>
        </w:rPr>
      </w:pPr>
      <w:r>
        <w:rPr>
          <w:rFonts w:ascii="Times New Roman;serif" w:hAnsi="Times New Roman;serif"/>
          <w:b w:val="false"/>
          <w:i/>
          <w:sz w:val="20"/>
        </w:rPr>
        <w:t xml:space="preserve">Off-Balance sheet risk - </w:t>
      </w:r>
      <w:r>
        <w:rPr>
          <w:rFonts w:ascii="Times New Roman;serif" w:hAnsi="Times New Roman;serif"/>
          <w:b w:val="false"/>
          <w:sz w:val="20"/>
        </w:rPr>
        <w:t>Some of the Company’s financial instruments contain off-balance sheet risk. Generally, these financial instruments represent future commitments to purchase other financial instruments at defined terms at defined future dates. See Note 7 for further details.</w:t>
      </w:r>
    </w:p>
    <w:p>
      <w:pPr>
        <w:pStyle w:val="TextBody"/>
        <w:spacing w:before="180" w:after="0"/>
        <w:jc w:val="both"/>
        <w:rPr>
          <w:rFonts w:ascii="Times New Roman" w:hAnsi="Times New Roman"/>
          <w:sz w:val="20"/>
        </w:rPr>
      </w:pPr>
      <w:r>
        <w:rPr>
          <w:rFonts w:ascii="Times New Roman;serif" w:hAnsi="Times New Roman;serif"/>
          <w:b w:val="false"/>
          <w:i/>
          <w:sz w:val="20"/>
        </w:rPr>
        <w:t>Fair value of financial instruments:</w:t>
      </w:r>
      <w:r>
        <w:rPr>
          <w:rFonts w:ascii="Times New Roman" w:hAnsi="Times New Roman"/>
          <w:sz w:val="20"/>
        </w:rPr>
        <w:t xml:space="preserve"> </w:t>
      </w:r>
      <w:r>
        <w:rPr>
          <w:rFonts w:ascii="Times New Roman;serif" w:hAnsi="Times New Roman;serif"/>
          <w:b w:val="false"/>
          <w:sz w:val="20"/>
        </w:rPr>
        <w:t xml:space="preserve">The Company measures and discloses fair value with respect to substantially all of its financial instruments in accordance with ASC Topic 820 — </w:t>
      </w:r>
      <w:r>
        <w:rPr>
          <w:rFonts w:ascii="Times New Roman;serif" w:hAnsi="Times New Roman;serif"/>
          <w:b w:val="false"/>
          <w:i/>
          <w:sz w:val="20"/>
        </w:rPr>
        <w:t>Fair Value Measurements and Disclosures</w:t>
      </w:r>
      <w:r>
        <w:rPr>
          <w:rFonts w:ascii="Times New Roman" w:hAnsi="Times New Roman"/>
          <w:sz w:val="20"/>
        </w:rPr>
        <w:t xml:space="preserve"> </w:t>
      </w:r>
      <w:r>
        <w:rPr>
          <w:rFonts w:ascii="Times New Roman;serif" w:hAnsi="Times New Roman;serif"/>
          <w:b w:val="false"/>
          <w:sz w:val="20"/>
        </w:rPr>
        <w:t>(“ASC Topic 820”). ASC Topic 820 defines fair value, establishes a framework used to measure fair value, and requires disclosures for fair value measurements, including the categorization of financial instruments into a three-level hierarchy based on the transparency of valuation inputs. See Note 4 to the consolidated financial statements for further discussion regarding the fair value measurements and hierarchy.</w:t>
      </w:r>
    </w:p>
    <w:p>
      <w:pPr>
        <w:pStyle w:val="TextBody"/>
        <w:spacing w:before="180" w:after="0"/>
        <w:jc w:val="both"/>
        <w:rPr>
          <w:rFonts w:ascii="Times New Roman" w:hAnsi="Times New Roman"/>
          <w:sz w:val="20"/>
        </w:rPr>
      </w:pPr>
      <w:r>
        <w:rPr>
          <w:rFonts w:ascii="Times New Roman;serif" w:hAnsi="Times New Roman;serif"/>
          <w:b w:val="false"/>
          <w:i/>
          <w:sz w:val="20"/>
        </w:rPr>
        <w:t>Investment classification:</w:t>
      </w:r>
      <w:r>
        <w:rPr>
          <w:rFonts w:ascii="Times New Roman" w:hAnsi="Times New Roman"/>
          <w:sz w:val="20"/>
        </w:rPr>
        <w:t xml:space="preserve"> </w:t>
      </w:r>
      <w:r>
        <w:rPr>
          <w:rFonts w:ascii="Times New Roman;serif" w:hAnsi="Times New Roman;serif"/>
          <w:b w:val="false"/>
          <w:sz w:val="20"/>
        </w:rPr>
        <w:t>The Company classifies its investments in accordance with the requirements of the 1940 Act. Under the 1940 Act, “Control Investments” are defined as investments in those companies where the Company owns more than 25% of the voting securities of such company or has rights to maintain greater than 50% of the board representation. Under the 1940 Act, “Affiliate Investments” are defined as investments in those companies where the Company owns between 5% and 25% of the voting securities of such company. “Non-Control/Non-Affiliate Investments” are those that neither qualify as Control Investments nor Affiliate Investments.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Times New Roman;serif" w:hAnsi="Times New Roman;serif"/>
          <w:b w:val="false"/>
          <w:i/>
          <w:sz w:val="20"/>
        </w:rPr>
        <w:t>Segments:</w:t>
      </w:r>
      <w:r>
        <w:rPr>
          <w:rFonts w:ascii="Times New Roman" w:hAnsi="Times New Roman"/>
          <w:sz w:val="20"/>
        </w:rPr>
        <w:t xml:space="preserve"> </w:t>
      </w:r>
      <w:r>
        <w:rPr>
          <w:rFonts w:ascii="Times New Roman;serif" w:hAnsi="Times New Roman;serif"/>
          <w:b w:val="false"/>
          <w:sz w:val="20"/>
        </w:rPr>
        <w:t xml:space="preserve">In accordance with ASC Topic 280 — </w:t>
      </w:r>
      <w:r>
        <w:rPr>
          <w:rFonts w:ascii="Times New Roman;serif" w:hAnsi="Times New Roman;serif"/>
          <w:b w:val="false"/>
          <w:i/>
          <w:sz w:val="20"/>
        </w:rPr>
        <w:t>Segment Reporting</w:t>
      </w:r>
      <w:r>
        <w:rPr>
          <w:rFonts w:ascii="Times New Roman;serif" w:hAnsi="Times New Roman;serif"/>
          <w:b w:val="false"/>
          <w:sz w:val="20"/>
        </w:rPr>
        <w:t>, the Company has determined that it has a single</w:t>
      </w:r>
      <w:r>
        <w:rPr>
          <w:rFonts w:ascii="Times New Roman" w:hAnsi="Times New Roman"/>
          <w:sz w:val="20"/>
        </w:rPr>
        <w:t xml:space="preserve"> </w:t>
      </w:r>
      <w:r>
        <w:rPr>
          <w:rFonts w:ascii="Times New Roman;serif" w:hAnsi="Times New Roman;serif"/>
          <w:b w:val="false"/>
          <w:sz w:val="20"/>
        </w:rPr>
        <w:t>reporting segment and operating</w:t>
      </w:r>
      <w:r>
        <w:rPr>
          <w:rFonts w:ascii="Times New Roman" w:hAnsi="Times New Roman"/>
          <w:sz w:val="20"/>
        </w:rPr>
        <w:t xml:space="preserve"> </w:t>
      </w:r>
      <w:r>
        <w:rPr>
          <w:rFonts w:ascii="Times New Roman;serif" w:hAnsi="Times New Roman;serif"/>
          <w:b w:val="false"/>
          <w:sz w:val="20"/>
        </w:rPr>
        <w:t>unit structure.</w:t>
      </w:r>
    </w:p>
    <w:p>
      <w:pPr>
        <w:pStyle w:val="TextBody"/>
        <w:spacing w:before="180" w:after="0"/>
        <w:jc w:val="both"/>
        <w:rPr>
          <w:rFonts w:ascii="Times New Roman" w:hAnsi="Times New Roman"/>
          <w:sz w:val="20"/>
        </w:rPr>
      </w:pPr>
      <w:r>
        <w:rPr>
          <w:rFonts w:ascii="Times New Roman;serif" w:hAnsi="Times New Roman;serif"/>
          <w:b w:val="false"/>
          <w:i/>
          <w:sz w:val="20"/>
        </w:rPr>
        <w:t>Cash and cash equivalents:</w:t>
      </w:r>
      <w:r>
        <w:rPr>
          <w:rFonts w:ascii="Times New Roman" w:hAnsi="Times New Roman"/>
          <w:sz w:val="20"/>
        </w:rPr>
        <w:t xml:space="preserve"> </w:t>
      </w:r>
      <w:r>
        <w:rPr>
          <w:rFonts w:ascii="Times New Roman;serif" w:hAnsi="Times New Roman;serif"/>
          <w:b w:val="false"/>
          <w:sz w:val="20"/>
        </w:rPr>
        <w:t>Cash and cash equivalents are highly liquid investments with an original maturity of three months or less at the date of acquisition. The Company places its cash in financial institutions and, at times, such balances may be in excess of the Federal Deposit Insurance Corporation insurance limits. The Company does not believe its cash balances are exposed to any significant credit risk.</w:t>
      </w:r>
    </w:p>
    <w:p>
      <w:pPr>
        <w:pStyle w:val="TextBody"/>
        <w:spacing w:before="180" w:after="0"/>
        <w:jc w:val="both"/>
        <w:rPr>
          <w:rFonts w:ascii="Times New Roman" w:hAnsi="Times New Roman"/>
          <w:sz w:val="20"/>
        </w:rPr>
      </w:pPr>
      <w:r>
        <w:rPr>
          <w:rFonts w:ascii="Times New Roman;serif" w:hAnsi="Times New Roman;serif"/>
          <w:b w:val="false"/>
          <w:i/>
          <w:sz w:val="20"/>
        </w:rPr>
        <w:t>Deferred financing costs:</w:t>
      </w:r>
      <w:r>
        <w:rPr>
          <w:rFonts w:ascii="Times New Roman" w:hAnsi="Times New Roman"/>
          <w:sz w:val="20"/>
        </w:rPr>
        <w:t xml:space="preserve"> </w:t>
      </w:r>
      <w:r>
        <w:rPr>
          <w:rFonts w:ascii="Times New Roman;serif" w:hAnsi="Times New Roman;serif"/>
          <w:b w:val="false"/>
          <w:sz w:val="20"/>
        </w:rPr>
        <w:t>Deferred financing costs consist of fees and expenses paid in connection with the SBA debentures, the Credit Facility and the Notes (as defined in Note 6). Deferred financing costs are capitalized and amortized to interest and financing expenses over the term of the debt agreement using the effective interest method. Unamortized deferred financing costs are presented as an offset to the corresponding debt liabilities on the consolidated statements of assets and liabilities.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spacing w:before="180" w:after="0"/>
        <w:jc w:val="both"/>
        <w:rPr>
          <w:rFonts w:ascii="Times New Roman" w:hAnsi="Times New Roman"/>
          <w:sz w:val="20"/>
        </w:rPr>
      </w:pPr>
      <w:r>
        <w:rPr>
          <w:rFonts w:ascii="Times New Roman;serif" w:hAnsi="Times New Roman;serif"/>
          <w:b w:val="false"/>
          <w:i/>
          <w:sz w:val="20"/>
        </w:rPr>
        <w:t>Realized losses on extinguishment of debt:</w:t>
      </w:r>
      <w:r>
        <w:rPr>
          <w:rFonts w:ascii="Times New Roman" w:hAnsi="Times New Roman"/>
          <w:sz w:val="20"/>
        </w:rPr>
        <w:t xml:space="preserve"> </w:t>
      </w:r>
      <w:r>
        <w:rPr>
          <w:rFonts w:ascii="Times New Roman;serif" w:hAnsi="Times New Roman;serif"/>
          <w:b w:val="false"/>
          <w:sz w:val="20"/>
        </w:rPr>
        <w:t>Upon the repayment of debt obligations which are deemed to be extinguishments, the difference between the principal amount due at maturity, adjusted for any unamortized deferred financing costs, is recognized as a loss (i.e., the unamortized deferred financing costs are recognized as a loss upon extinguishment of the underlying debt obligation).</w:t>
      </w:r>
    </w:p>
    <w:p>
      <w:pPr>
        <w:pStyle w:val="TextBody"/>
        <w:spacing w:before="180" w:after="0"/>
        <w:jc w:val="both"/>
        <w:rPr>
          <w:rFonts w:ascii="Times New Roman" w:hAnsi="Times New Roman"/>
          <w:sz w:val="20"/>
        </w:rPr>
      </w:pPr>
      <w:r>
        <w:rPr>
          <w:rFonts w:ascii="Times New Roman;serif" w:hAnsi="Times New Roman;serif"/>
          <w:b w:val="false"/>
          <w:i/>
          <w:sz w:val="20"/>
        </w:rPr>
        <w:t>Deferred offering costs:</w:t>
      </w:r>
      <w:r>
        <w:rPr>
          <w:rFonts w:ascii="Times New Roman" w:hAnsi="Times New Roman"/>
          <w:sz w:val="20"/>
        </w:rPr>
        <w:t xml:space="preserve"> </w:t>
      </w:r>
      <w:r>
        <w:rPr>
          <w:rFonts w:ascii="Times New Roman;serif" w:hAnsi="Times New Roman;serif"/>
          <w:b w:val="false"/>
          <w:sz w:val="20"/>
        </w:rPr>
        <w:t>Deferred offering costs include registration expenses related to the shelf registration statement filing pursuant to which the Company may offer its securities, from time to time, in one or more offerings. These expenses primarily consist of U.S. Securities and Exchange Commission (“SEC”) registration fees, legal fees and accounting fees incurred. These expenses are included in prepaid expenses and other assets on the consolidated statements of assets and liabilities. Upon the completion of an equity offering or a debt offering, the deferred expenses are charged to additional paid-in capital or deferred financing costs, respectively. If no offering is completed prior to the expiration of the registration statement, the deferred costs are charged to expense.</w:t>
      </w:r>
    </w:p>
    <w:p>
      <w:pPr>
        <w:pStyle w:val="TextBody"/>
        <w:spacing w:before="180" w:after="0"/>
        <w:jc w:val="both"/>
        <w:rPr>
          <w:rFonts w:ascii="Times New Roman" w:hAnsi="Times New Roman"/>
          <w:sz w:val="20"/>
        </w:rPr>
      </w:pPr>
      <w:r>
        <w:rPr>
          <w:rFonts w:ascii="Times New Roman;serif" w:hAnsi="Times New Roman;serif"/>
          <w:b w:val="false"/>
          <w:i/>
          <w:sz w:val="20"/>
        </w:rPr>
        <w:t xml:space="preserve">Realized gains or losses and unrealized appreciation or depreciation on investments: </w:t>
      </w:r>
      <w:r>
        <w:rPr>
          <w:rFonts w:ascii="Times New Roman;serif" w:hAnsi="Times New Roman;serif"/>
          <w:b w:val="false"/>
          <w:sz w:val="20"/>
        </w:rPr>
        <w:t>Realized gains or losses on investments are recorded upon the sale 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in good faith by the Company’s board of directors (the “Board”) through the application of the Company’s valuation policy, as well as reclassifications of any prior period unrealized appreciation or depreciation on exited investments to realized gains or losses on investments.</w:t>
      </w:r>
    </w:p>
    <w:p>
      <w:pPr>
        <w:pStyle w:val="TextBody"/>
        <w:spacing w:before="180" w:after="0"/>
        <w:jc w:val="both"/>
        <w:rPr>
          <w:rFonts w:ascii="Times New Roman" w:hAnsi="Times New Roman"/>
          <w:sz w:val="20"/>
        </w:rPr>
      </w:pPr>
      <w:r>
        <w:rPr>
          <w:rFonts w:ascii="Times New Roman;serif" w:hAnsi="Times New Roman;serif"/>
          <w:b w:val="false"/>
          <w:i/>
          <w:sz w:val="20"/>
        </w:rPr>
        <w:t>Interest and dividend income:</w:t>
      </w:r>
      <w:r>
        <w:rPr>
          <w:rFonts w:ascii="Times New Roman" w:hAnsi="Times New Roman"/>
          <w:sz w:val="20"/>
        </w:rPr>
        <w:t xml:space="preserve"> </w:t>
      </w:r>
      <w:r>
        <w:rPr>
          <w:rFonts w:ascii="Times New Roman;serif" w:hAnsi="Times New Roman;serif"/>
          <w:b w:val="false"/>
          <w:sz w:val="20"/>
        </w:rPr>
        <w:t>Interest and dividend income are recorded on the accrual basis to the extent that the Company expects to collect such 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pStyle w:val="TextBody"/>
        <w:spacing w:before="180" w:after="0"/>
        <w:jc w:val="both"/>
        <w:rPr>
          <w:rFonts w:ascii="Times New Roman" w:hAnsi="Times New Roman"/>
          <w:sz w:val="20"/>
        </w:rPr>
      </w:pPr>
      <w:r>
        <w:rPr>
          <w:rFonts w:ascii="Times New Roman;serif" w:hAnsi="Times New Roman;serif"/>
          <w:b w:val="false"/>
          <w:i/>
          <w:sz w:val="20"/>
        </w:rPr>
        <w:t xml:space="preserve">PIK income: </w:t>
      </w:r>
      <w:r>
        <w:rPr>
          <w:rFonts w:ascii="Times New Roman;serif" w:hAnsi="Times New Roman;serif"/>
          <w:b w:val="false"/>
          <w:sz w:val="20"/>
        </w:rPr>
        <w:t>Certain of the Company’s investments contain a payment-in-kind (“PIK”) income provision. The PIK income, computed at the 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The Company stops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the Company’s taxable income and, therefore, affects the amount the Company is required to pay to shareholders in the form of dividends in order to maintain the Company’s tax treatment as a RIC, even though the Company has not yet collected the cash.</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Times New Roman;serif" w:hAnsi="Times New Roman;serif"/>
          <w:b w:val="false"/>
          <w:i/>
          <w:sz w:val="20"/>
        </w:rPr>
        <w:t xml:space="preserve">Non-accrual: </w:t>
      </w:r>
      <w:r>
        <w:rPr>
          <w:rFonts w:ascii="Times New Roman;serif" w:hAnsi="Times New Roman;serif"/>
          <w:b w:val="false"/>
          <w:sz w:val="20"/>
        </w:rPr>
        <w:t>Debt investments or preferred equity investments (for which the Company is accruing PIK dividends) are placed on non-accrual status when principal, interest or dividend payments become materially past due, or when there is reasonable doubt that principal, interest or dividends will be collected.</w:t>
      </w:r>
      <w:r>
        <w:rPr>
          <w:rFonts w:ascii="Times New Roman" w:hAnsi="Times New Roman"/>
          <w:sz w:val="20"/>
        </w:rPr>
        <w:t xml:space="preserve"> </w:t>
      </w:r>
      <w:r>
        <w:rPr>
          <w:rFonts w:ascii="Times New Roman;serif" w:hAnsi="Times New Roman;serif"/>
          <w:b w:val="false"/>
          <w:sz w:val="20"/>
        </w:rPr>
        <w:t>Any original issue discount and market discount are no longer accreted to interest income as of the date the loan is placed on full non-accrual status.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w:t>
      </w:r>
    </w:p>
    <w:p>
      <w:pPr>
        <w:pStyle w:val="TextBody"/>
        <w:spacing w:before="180" w:after="0"/>
        <w:jc w:val="both"/>
        <w:rPr>
          <w:rFonts w:ascii="Times New Roman" w:hAnsi="Times New Roman"/>
          <w:sz w:val="20"/>
        </w:rPr>
      </w:pPr>
      <w:r>
        <w:rPr>
          <w:rFonts w:ascii="Times New Roman;serif" w:hAnsi="Times New Roman;serif"/>
          <w:b w:val="false"/>
          <w:i/>
          <w:sz w:val="20"/>
        </w:rPr>
        <w:t xml:space="preserve">Origination and closing fees: </w:t>
      </w:r>
      <w:r>
        <w:rPr>
          <w:rFonts w:ascii="Times New Roman;serif" w:hAnsi="Times New Roman;serif"/>
          <w:b w:val="false"/>
          <w:sz w:val="20"/>
        </w:rPr>
        <w:t>The Company also typically receives debt investment origination or closing fees in connection with such investments. Such debt investment origination and closing fees are capitalized as unearned income and offset against investment cost basis on the consolidated statements of assets and liabilities and accreted into interest income over the life of the investment. Upon the prepayment of a debt investment, any unaccreted debt investment origination and closing fees are accelerated into interest income.</w:t>
      </w:r>
    </w:p>
    <w:p>
      <w:pPr>
        <w:pStyle w:val="TextBody"/>
        <w:spacing w:before="180" w:after="0"/>
        <w:jc w:val="both"/>
        <w:rPr>
          <w:rFonts w:ascii="Times New Roman" w:hAnsi="Times New Roman"/>
          <w:sz w:val="20"/>
        </w:rPr>
      </w:pPr>
      <w:r>
        <w:rPr>
          <w:rFonts w:ascii="Times New Roman;serif" w:hAnsi="Times New Roman;serif"/>
          <w:b w:val="false"/>
          <w:i/>
          <w:sz w:val="20"/>
        </w:rPr>
        <w:t>Warrants</w:t>
      </w:r>
      <w:r>
        <w:rPr>
          <w:rFonts w:ascii="Times New Roman;serif" w:hAnsi="Times New Roman;serif"/>
          <w:b w:val="false"/>
          <w:sz w:val="20"/>
        </w:rPr>
        <w:t>: In connection with the Company’s debt investments, the Company will sometimes receive warrants or other equity-related securities from the borrower (“Warrants”). The Company determines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original issue discount (“OID”), and accreted into interest income using the effective interest method over the term of the debt investment. Upon the prepayment of a debt investment, any unaccreted OID is accelerated into interest income.</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spacing w:before="180" w:after="0"/>
        <w:jc w:val="both"/>
        <w:rPr>
          <w:rFonts w:ascii="Times New Roman" w:hAnsi="Times New Roman"/>
          <w:sz w:val="20"/>
        </w:rPr>
      </w:pPr>
      <w:r>
        <w:rPr>
          <w:rFonts w:ascii="Times New Roman;serif" w:hAnsi="Times New Roman;serif"/>
          <w:b w:val="false"/>
          <w:i/>
          <w:sz w:val="20"/>
        </w:rPr>
        <w:t>Fee income</w:t>
      </w:r>
      <w:r>
        <w:rPr>
          <w:rFonts w:ascii="Times New Roman;serif" w:hAnsi="Times New Roman;serif"/>
          <w:b w:val="false"/>
          <w:sz w:val="20"/>
        </w:rPr>
        <w:t>: Transaction fees earned in connection with the Company’s investments are recognized as fee income and are generally non-recurring. Such fees typically include fees for services, including structuring and advisory services, provided to portfolio companies. The Company recognizes income from fees for providing such structuring and advisory services when the services are rendered or the transactions are completed. Upon the prepayment of a debt investment, any prepayment penalties are recorded as fee income when earned.</w:t>
      </w:r>
    </w:p>
    <w:p>
      <w:pPr>
        <w:pStyle w:val="TextBody"/>
        <w:spacing w:before="180" w:after="0"/>
        <w:jc w:val="both"/>
        <w:rPr>
          <w:rFonts w:ascii="Times New Roman" w:hAnsi="Times New Roman"/>
          <w:sz w:val="20"/>
        </w:rPr>
      </w:pPr>
      <w:r>
        <w:rPr>
          <w:rFonts w:ascii="Times New Roman;serif" w:hAnsi="Times New Roman;serif"/>
          <w:b w:val="false"/>
          <w:i/>
          <w:sz w:val="20"/>
        </w:rPr>
        <w:t xml:space="preserve">Partial loan and equity sales: </w:t>
      </w:r>
      <w:r>
        <w:rPr>
          <w:rFonts w:ascii="Times New Roman;serif" w:hAnsi="Times New Roman;serif"/>
          <w:b w:val="false"/>
          <w:sz w:val="20"/>
        </w:rPr>
        <w:t xml:space="preserve">The Company follows the guidance in ASC 860, </w:t>
      </w:r>
      <w:r>
        <w:rPr>
          <w:rFonts w:ascii="Times New Roman;serif" w:hAnsi="Times New Roman;serif"/>
          <w:b w:val="false"/>
          <w:i/>
          <w:sz w:val="20"/>
        </w:rPr>
        <w:t xml:space="preserve">Transfers and Servicing, </w:t>
      </w:r>
      <w:r>
        <w:rPr>
          <w:rFonts w:ascii="Times New Roman;serif" w:hAnsi="Times New Roman;serif"/>
          <w:b w:val="false"/>
          <w:sz w:val="20"/>
        </w:rPr>
        <w:t>when accounting</w:t>
      </w:r>
      <w:r>
        <w:rPr>
          <w:rFonts w:ascii="Times New Roman" w:hAnsi="Times New Roman"/>
          <w:sz w:val="20"/>
        </w:rPr>
        <w:t xml:space="preserve"> </w:t>
      </w:r>
      <w:r>
        <w:rPr>
          <w:rFonts w:ascii="Times New Roman;serif" w:hAnsi="Times New Roman;serif"/>
          <w:b w:val="false"/>
          <w:sz w:val="20"/>
        </w:rPr>
        <w:t>for loan (debt investment) participations, equity assignments and other partial loan sales. Such guidance requires a participation, assignment or other partial loan or equity sale to meet the definition of a “participating interest,” as defined in the guidance, in order for sale treatment to be allowed. Participations, assignments or other partial loan or equity sales which do not meet the definition of a participating interest should remain on the Company’s consolidated statements of assets and liabilities and the proceeds recorded as a secured borrowing until the definition is met. For these partial loan sales, the interest earned on the entire loan balance is recorded within “interest income” and the interest earned by the buyer in the partial loan sale is recorded within “interest and financing expenses” in the accompanying consolidated statements of operations.</w:t>
      </w:r>
    </w:p>
    <w:p>
      <w:pPr>
        <w:pStyle w:val="TextBody"/>
        <w:spacing w:before="180" w:after="0"/>
        <w:jc w:val="both"/>
        <w:rPr>
          <w:rFonts w:ascii="Times New Roman" w:hAnsi="Times New Roman"/>
          <w:sz w:val="20"/>
        </w:rPr>
      </w:pPr>
      <w:r>
        <w:rPr>
          <w:rFonts w:ascii="Times New Roman;serif" w:hAnsi="Times New Roman;serif"/>
          <w:b w:val="false"/>
          <w:i/>
          <w:sz w:val="20"/>
        </w:rPr>
        <w:t>Income taxes:</w:t>
      </w:r>
      <w:r>
        <w:rPr>
          <w:rFonts w:ascii="Times New Roman" w:hAnsi="Times New Roman"/>
          <w:sz w:val="20"/>
        </w:rPr>
        <w:t xml:space="preserve"> </w:t>
      </w:r>
      <w:r>
        <w:rPr>
          <w:rFonts w:ascii="Times New Roman;serif" w:hAnsi="Times New Roman;serif"/>
          <w:b w:val="false"/>
          <w:sz w:val="20"/>
        </w:rPr>
        <w:t>The Company has elected, and intends to qualify annually, to be treated for U.S. federal income tax purposes as a RIC under Subchapter M of the Code, which will generally relieve the Company from U.S. federal income taxes with respect to all income distributed to stockholders. To maintain the tax treatment of a RIC, the Company generally is required to timely distribute to its stockholders at least 90% of “investment company taxable income,” as defined by Subchapter M of the Code, each year. Depending on the level of taxable income earned in a tax year, the Company may choose to carry forward taxable income in excess of current year distributions into the next tax year; however, the Company will pay a 4% excise tax if it does not distribute at least 98% of the current year’s ordinary taxable income. Any such carryover taxable income must be distributed through a dividend declared prior to the later of the date on which the final tax return related to the year in which the Company generated such taxable income is filed or the 15th day of the 10th month following the close of such taxable year. In addition, the Company will be subject to U.S. federal excise tax if it does not distribute at least 98.2% of its net capital gains realized, computed for any one year period ending October 31.</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In the future, the Funds may be limited by provisions of the SBIC Act and SBA regulations governing SBICs from making certain distributions to FIC that may be necessary to enable FIC to make the minimum distributions required to maintain the tax treatment of a RIC.</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The Company has certain wholly-owned subsidiaries (the “Taxable Subsidiaries”), each of which generally holds one or more of the Company’s portfolio investments listed on the consolidated schedules of investments, that have elected to be treated as corporations for U.S. federal income tax purposes and are thus subject to U.S. federal income tax at corporate rates. The Taxable Subsidiaries are consolidated for financial reporting purposes, such that the Company’s consolidated financial statements reflect the Company’s investment in the portfolio company investments owned by the Taxable Subsidiaries. The purpose of the Taxable Subsidiaries is to permit the Company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the Company for U.S. federal corporate income tax purposes, and each Taxable Subsidiary will be subject to U.S. federal corporate income tax on its taxable income. Any such income or expense is reflected in the consolidated statements of operations.</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U.S. federal income tax regulations differ from GAAP, and as a result, distributions in accordance with tax regulations may differ from net investment income and realized gains recognized under GAAP. Differences may be permanent or temporary. Permanent differences may arise as a result of, among other items, a difference in the book and tax basis of certain assets and nondeductible U.S. federal income taxes. Temporary differences arise when certain items of income, expense, gain or loss are recognized at some time in the future.</w:t>
      </w:r>
    </w:p>
    <w:p>
      <w:pPr>
        <w:pStyle w:val="TextBody"/>
        <w:spacing w:before="180" w:after="0"/>
        <w:jc w:val="both"/>
        <w:rPr>
          <w:rFonts w:ascii="Times New Roman" w:hAnsi="Times New Roman"/>
          <w:sz w:val="20"/>
        </w:rPr>
      </w:pPr>
      <w:r>
        <w:rPr>
          <w:rFonts w:ascii="Times New Roman;serif" w:hAnsi="Times New Roman;serif"/>
          <w:b w:val="false"/>
          <w:sz w:val="20"/>
        </w:rPr>
        <w:t xml:space="preserve">ASC Topic 740 — </w:t>
      </w:r>
      <w:r>
        <w:rPr>
          <w:rFonts w:ascii="Times New Roman;serif" w:hAnsi="Times New Roman;serif"/>
          <w:b w:val="false"/>
          <w:i/>
          <w:sz w:val="20"/>
        </w:rPr>
        <w:t>Accounting for Uncertainty in Income Taxes</w:t>
      </w:r>
      <w:r>
        <w:rPr>
          <w:rFonts w:ascii="Times New Roman" w:hAnsi="Times New Roman"/>
          <w:sz w:val="20"/>
        </w:rPr>
        <w:t xml:space="preserve"> </w:t>
      </w:r>
      <w:r>
        <w:rPr>
          <w:rFonts w:ascii="Times New Roman;serif" w:hAnsi="Times New Roman;serif"/>
          <w:b w:val="false"/>
          <w:sz w:val="20"/>
        </w:rPr>
        <w:t>(“ASC Topic 740”) provides guidance for how uncertain tax positions should be recognized, measured, presented and disclosed in the consolidated financial statements. ASC Topic 740 requires the evaluation of tax positions taken in the course of preparing the Company’s tax returns to determine whether the tax positions are “more-likely-than-not” to be respected by the applicable tax authorities. Tax benefits of positions not deemed to meet the more-likely-than-not threshold would be recorded as a tax expense in the current year. It is the Company’s policy to recognize accrued interest and penalties related to uncertain tax benefits included in the income tax provision, if any. There were no material uncertain income tax positions at March 31, 2023 and December 31, 2022. The Company’s tax returns are generally subject to examination by U.S. federal and most state tax authorities for a period of three years from the date the respective returns are filed, and, accordingly, the Company’s 2019</w:t>
      </w:r>
      <w:r>
        <w:rPr>
          <w:rFonts w:ascii="Times New Roman;serif" w:hAnsi="Times New Roman;serif"/>
          <w:sz w:val="20"/>
        </w:rPr>
        <w:t xml:space="preserve"> </w:t>
      </w:r>
      <w:r>
        <w:rPr>
          <w:rFonts w:ascii="Times New Roman;serif" w:hAnsi="Times New Roman;serif"/>
          <w:b w:val="false"/>
          <w:sz w:val="20"/>
        </w:rPr>
        <w:t>through 2021 tax years remain subject to examination.</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spacing w:before="180" w:after="0"/>
        <w:jc w:val="both"/>
        <w:rPr>
          <w:rFonts w:ascii="Times New Roman" w:hAnsi="Times New Roman"/>
          <w:sz w:val="20"/>
        </w:rPr>
      </w:pPr>
      <w:r>
        <w:rPr>
          <w:rFonts w:ascii="Times New Roman;serif" w:hAnsi="Times New Roman;serif"/>
          <w:b w:val="false"/>
          <w:i/>
          <w:sz w:val="20"/>
        </w:rPr>
        <w:t>Dividends to stockholders:</w:t>
      </w:r>
      <w:r>
        <w:rPr>
          <w:rFonts w:ascii="Times New Roman" w:hAnsi="Times New Roman"/>
          <w:sz w:val="20"/>
        </w:rPr>
        <w:t xml:space="preserve"> </w:t>
      </w:r>
      <w:r>
        <w:rPr>
          <w:rFonts w:ascii="Times New Roman;serif" w:hAnsi="Times New Roman;serif"/>
          <w:b w:val="false"/>
          <w:sz w:val="20"/>
        </w:rPr>
        <w:t>Dividends to stockholders are recorded on the record date with respect to such distributions. The amount, if any, to be distributed to stockholders, is determined by the Board each quarter and is generally based upon the earnings estimated by management. Net realized capital gains, if any, may be distributed at least annually, although the Company may decide to retain such capital gains for investment.</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The determination of the tax attributes for the Company’s distributions is made annually, and is based upon the Company’s taxable income and distributions paid to its stockholders for the full year. Ordinary dividend distributions from a RIC do not qualify for the preferential tax rate on qualified dividend income from domestic corporations and qualified foreign corporations, except to the extent that the RIC received the income in the form of qualifying dividends from domestic corporations and qualified foreign corporations. The tax characterization of the Company’s distributions generally includes both ordinary income and capital gains but may also include qualified dividends or return of capital.</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The Company has adopted a dividend reinvestment plan (“DRIP”) that provides for the reinvestment of dividends on behalf of its stockholders, unless a stockholder has elected to receive dividends in cash. As a result, if the Company declares a cash dividend, the Company’s stockholders who have not “opted out” of the DRIP at least two days prior to the dividend payment date will have their cash dividend automatically reinvested into additional shares of the Company’s common stock. The Company has the option to satisfy the share requirements of the DRIP through the issuance of new shares of common stock or through open market purchases of common stock by the DRIP plan administrator. Newly issued shares are valued based upon the final closing price of the Company’s common stock on a date determined by the Board. Shares purchased in the open market to satisfy the DRIP requirements will be valued based upon the average price of the applicable shares purchased by the DRIP plan administrator before any associated brokerage or other costs. See Note 9 to the consolidated financial statements regarding dividend declarations and distributions.</w:t>
      </w:r>
    </w:p>
    <w:p>
      <w:pPr>
        <w:pStyle w:val="TextBody"/>
        <w:spacing w:before="180" w:after="0"/>
        <w:jc w:val="both"/>
        <w:rPr>
          <w:rFonts w:ascii="Times New Roman" w:hAnsi="Times New Roman"/>
          <w:sz w:val="20"/>
        </w:rPr>
      </w:pPr>
      <w:r>
        <w:rPr>
          <w:rFonts w:ascii="Times New Roman;serif" w:hAnsi="Times New Roman;serif"/>
          <w:b w:val="false"/>
          <w:i/>
          <w:sz w:val="20"/>
        </w:rPr>
        <w:t>Earnings and net asset value per share:</w:t>
      </w:r>
      <w:r>
        <w:rPr>
          <w:rFonts w:ascii="Times New Roman" w:hAnsi="Times New Roman"/>
          <w:sz w:val="20"/>
        </w:rPr>
        <w:t xml:space="preserve"> </w:t>
      </w:r>
      <w:r>
        <w:rPr>
          <w:rFonts w:ascii="Times New Roman;serif" w:hAnsi="Times New Roman;serif"/>
          <w:b w:val="false"/>
          <w:sz w:val="20"/>
        </w:rPr>
        <w:t>The earnings per share calculations for the three months ended March 31, 2023 and 2022, are computed utilizing the weighted average shares outstanding for the period. Net asset value per share is calculated using the number of shares outstanding as of the end of the period.</w:t>
      </w:r>
    </w:p>
    <w:p>
      <w:pPr>
        <w:pStyle w:val="TextBody"/>
        <w:spacing w:before="180" w:after="0"/>
        <w:jc w:val="both"/>
        <w:rPr>
          <w:rFonts w:ascii="Times New Roman" w:hAnsi="Times New Roman"/>
          <w:sz w:val="20"/>
        </w:rPr>
      </w:pPr>
      <w:r>
        <w:rPr>
          <w:rFonts w:ascii="Times New Roman;serif" w:hAnsi="Times New Roman;serif"/>
          <w:b w:val="false"/>
          <w:i/>
          <w:sz w:val="20"/>
        </w:rPr>
        <w:t>Stock Repurchase Program:</w:t>
      </w:r>
      <w:r>
        <w:rPr>
          <w:rFonts w:ascii="Times New Roman" w:hAnsi="Times New Roman"/>
          <w:sz w:val="20"/>
        </w:rPr>
        <w:t xml:space="preserve"> </w:t>
      </w:r>
      <w:r>
        <w:rPr>
          <w:rFonts w:ascii="Times New Roman;serif" w:hAnsi="Times New Roman;serif"/>
          <w:b w:val="false"/>
          <w:sz w:val="20"/>
        </w:rPr>
        <w:t>The Company has an open market stock repurchase program (the “Stock Repurchase Program”) under which the Company may acquire up to $5,000</w:t>
      </w:r>
      <w:r>
        <w:rPr>
          <w:rFonts w:ascii="Times New Roman" w:hAnsi="Times New Roman"/>
          <w:sz w:val="20"/>
        </w:rPr>
        <w:t xml:space="preserve"> </w:t>
      </w:r>
      <w:r>
        <w:rPr>
          <w:rFonts w:ascii="Times New Roman;serif" w:hAnsi="Times New Roman;serif"/>
          <w:b w:val="false"/>
          <w:sz w:val="20"/>
        </w:rPr>
        <w:t>of its outstanding common stock. Under the Stock Repurchase Program, the Company may, but is not obligated to, repurchase outstanding common stock in the open market from time to time provided that the Company complies with the prohibitions under its insider trading policies and the requirements of Rule 10b-18 of the Securities Exchange Act of 1934, as amended (the “Exchange Act”), including certain price, market value and timing constraints. The timing, manner, price and amount of any share repurchases will be determined by the Company’s management, in its discretion, based upon the evaluation of economic and market conditions, stock price, capital availability, applicable legal and regulatory requirements and other corporate considerations. On October 31, 2022, the Board extended the Stock Repurchase Program through December 31, 2023, or until the approved dollar amount has been used to repurchase shares. The Stock Repurchase Program does not require the Company to repurchase any specific number of shares and the Company cannot assure that any shares will be repurchased under the Stock Repurchase Program. The Stock Repurchase Program may be suspended, extended, modified or discontinued at any time. The Company did not make any repurchases of common stock during the three months ended March 31, 2023 and 2022. Refer to Note 8 for additional information concerning stock repurchases.</w:t>
      </w:r>
    </w:p>
    <w:p>
      <w:pPr>
        <w:pStyle w:val="TextBody"/>
        <w:spacing w:before="180" w:after="0"/>
        <w:jc w:val="both"/>
        <w:rPr>
          <w:rFonts w:ascii="Times New Roman;serif" w:hAnsi="Times New Roman;serif"/>
          <w:b w:val="false"/>
          <w:i/>
          <w:sz w:val="20"/>
        </w:rPr>
      </w:pPr>
      <w:r>
        <w:rPr>
          <w:rFonts w:ascii="Times New Roman;serif" w:hAnsi="Times New Roman;serif"/>
          <w:b w:val="false"/>
          <w:i/>
          <w:sz w:val="20"/>
        </w:rPr>
        <w:t>Recent accounting pronouncement:</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In June 2022, the Financial Accounting Standards Board (“FASB”) issued Accounting Standards Update (“ASU”) No. 2022-03, “Fair Value Measurement of Equity Securities Subject to Contractual Sale Restrictions (Topic 820),” which clarifies that a contractual sale restriction prohibiting the sale of an equity security is a characteristic of the reporting entity holding the equity security and is not included in the equity security’s unit of account. Accordingly, an entity should not consider the contractual sale restriction when measuring the equity security’s fair value. In addition, ASU No. 2022-03 prohibits an entity from recognizing a contractual sale restriction as a separate unit of account. ASU No. 2022-03’s amendments are effective for fiscal years beginning after December 15, 2023, with early adoption permitted. The Company is currently evaluating the impact of the adoption of ASU No. 2022-03 on its consolidated financial statements.</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spacing w:before="180" w:after="0"/>
        <w:jc w:val="left"/>
        <w:rPr>
          <w:rFonts w:ascii="Times New Roman;serif" w:hAnsi="Times New Roman;serif"/>
          <w:b/>
          <w:sz w:val="20"/>
        </w:rPr>
      </w:pPr>
      <w:r>
        <w:rPr>
          <w:rFonts w:ascii="Times New Roman;serif" w:hAnsi="Times New Roman;serif"/>
          <w:b/>
          <w:sz w:val="20"/>
        </w:rPr>
        <w:t>Note 3. Portfolio Company Investments</w:t>
      </w:r>
    </w:p>
    <w:p>
      <w:pPr>
        <w:pStyle w:val="TextBody"/>
        <w:spacing w:before="180" w:after="0"/>
        <w:jc w:val="both"/>
        <w:rPr>
          <w:rFonts w:ascii="Times New Roman" w:hAnsi="Times New Roman"/>
          <w:sz w:val="20"/>
        </w:rPr>
      </w:pPr>
      <w:r>
        <w:rPr>
          <w:rFonts w:ascii="Times New Roman;serif" w:hAnsi="Times New Roman;serif"/>
          <w:b w:val="false"/>
          <w:sz w:val="20"/>
        </w:rPr>
        <w:t>The Company’s portfolio investments principally consist of secured and unsecured debt, equity warrants and direct equity investments primarily in privately held companies. The debt investments may or may not be secured by either a first or second lien on the assets of the portfolio company. The debt investments generally bear interest at fixed rates or variable rates, and generally mature between five</w:t>
      </w:r>
      <w:r>
        <w:rPr>
          <w:rFonts w:ascii="Times New Roman" w:hAnsi="Times New Roman"/>
          <w:sz w:val="20"/>
        </w:rPr>
        <w:t xml:space="preserve"> </w:t>
      </w:r>
      <w:r>
        <w:rPr>
          <w:rFonts w:ascii="Times New Roman;serif" w:hAnsi="Times New Roman;serif"/>
          <w:b w:val="false"/>
          <w:sz w:val="20"/>
        </w:rPr>
        <w:t>and seven years</w:t>
      </w:r>
      <w:r>
        <w:rPr>
          <w:rFonts w:ascii="Times New Roman" w:hAnsi="Times New Roman"/>
          <w:sz w:val="20"/>
        </w:rPr>
        <w:t xml:space="preserve"> </w:t>
      </w:r>
      <w:r>
        <w:rPr>
          <w:rFonts w:ascii="Times New Roman;serif" w:hAnsi="Times New Roman;serif"/>
          <w:b w:val="false"/>
          <w:sz w:val="20"/>
        </w:rPr>
        <w:t>from the original investment. In connection with a debt investment, the Company also may receive nominally priced equity warrants and/or make a direct equity investment in the portfolio company. The Company’s warrants or equity investments may be investments in a holding company related to the portfolio company. In addition, the Company makes equity investments in portfolio companies organized as LLCs or other forms of pass-through entities through Taxable Subsidiaries. In both situations, the investment is generally reported under the name of the operating company on the consolidated schedules of investments.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Times New Roman;serif" w:hAnsi="Times New Roman;serif"/>
          <w:b w:val="false"/>
          <w:sz w:val="20"/>
        </w:rPr>
        <w:t>As of March 31, 2023, the Company had active investments in 78</w:t>
      </w:r>
      <w:r>
        <w:rPr>
          <w:rFonts w:ascii="Times New Roman" w:hAnsi="Times New Roman"/>
          <w:sz w:val="20"/>
        </w:rPr>
        <w:t xml:space="preserve"> </w:t>
      </w:r>
      <w:r>
        <w:rPr>
          <w:rFonts w:ascii="Times New Roman;serif" w:hAnsi="Times New Roman;serif"/>
          <w:b w:val="false"/>
          <w:sz w:val="20"/>
        </w:rPr>
        <w:t>portfolio companies and residual investments in two</w:t>
      </w:r>
      <w:r>
        <w:rPr>
          <w:rFonts w:ascii="Times New Roman" w:hAnsi="Times New Roman"/>
          <w:sz w:val="20"/>
        </w:rPr>
        <w:t xml:space="preserve"> </w:t>
      </w:r>
      <w:r>
        <w:rPr>
          <w:rFonts w:ascii="Times New Roman;serif" w:hAnsi="Times New Roman;serif"/>
          <w:b w:val="false"/>
          <w:sz w:val="20"/>
        </w:rPr>
        <w:t>portfolio companies that have sold their underlying operations. The aggregate fair value of the total portfolio was $897,324</w:t>
      </w:r>
      <w:r>
        <w:rPr>
          <w:rFonts w:ascii="Times New Roman" w:hAnsi="Times New Roman"/>
          <w:sz w:val="20"/>
        </w:rPr>
        <w:t xml:space="preserve"> </w:t>
      </w:r>
      <w:r>
        <w:rPr>
          <w:rFonts w:ascii="Times New Roman;serif" w:hAnsi="Times New Roman;serif"/>
          <w:b w:val="false"/>
          <w:sz w:val="20"/>
        </w:rPr>
        <w:t>and the weighted average effective yield on the Company’s debt investments was 14.3%</w:t>
      </w:r>
      <w:r>
        <w:rPr>
          <w:rFonts w:ascii="Times New Roman" w:hAnsi="Times New Roman"/>
          <w:sz w:val="20"/>
        </w:rPr>
        <w:t xml:space="preserve"> </w:t>
      </w:r>
      <w:r>
        <w:rPr>
          <w:rFonts w:ascii="Times New Roman;serif" w:hAnsi="Times New Roman;serif"/>
          <w:b w:val="false"/>
          <w:sz w:val="20"/>
        </w:rPr>
        <w:t>as of such date. As of March 31, 2023, the Company held equity investments in 76.3%</w:t>
      </w:r>
      <w:r>
        <w:rPr>
          <w:rFonts w:ascii="Times New Roman" w:hAnsi="Times New Roman"/>
          <w:sz w:val="20"/>
        </w:rPr>
        <w:t xml:space="preserve"> </w:t>
      </w:r>
      <w:r>
        <w:rPr>
          <w:rFonts w:ascii="Times New Roman;serif" w:hAnsi="Times New Roman;serif"/>
          <w:b w:val="false"/>
          <w:sz w:val="20"/>
        </w:rPr>
        <w:t>of its portfolio companies and the average fully diluted equity ownership in those portfolio companies was 3.9%.</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Times New Roman;serif" w:hAnsi="Times New Roman;serif"/>
          <w:b w:val="false"/>
          <w:sz w:val="20"/>
        </w:rPr>
        <w:t>As of December 31, 2022, the Company had active investments in 76</w:t>
      </w:r>
      <w:r>
        <w:rPr>
          <w:rFonts w:ascii="Times New Roman" w:hAnsi="Times New Roman"/>
          <w:sz w:val="20"/>
        </w:rPr>
        <w:t xml:space="preserve"> </w:t>
      </w:r>
      <w:r>
        <w:rPr>
          <w:rFonts w:ascii="Times New Roman;serif" w:hAnsi="Times New Roman;serif"/>
          <w:b w:val="false"/>
          <w:sz w:val="20"/>
        </w:rPr>
        <w:t>portfolio companies and residual investments in two</w:t>
      </w:r>
      <w:r>
        <w:rPr>
          <w:rFonts w:ascii="Times New Roman" w:hAnsi="Times New Roman"/>
          <w:sz w:val="20"/>
        </w:rPr>
        <w:t xml:space="preserve"> </w:t>
      </w:r>
      <w:r>
        <w:rPr>
          <w:rFonts w:ascii="Times New Roman;serif" w:hAnsi="Times New Roman;serif"/>
          <w:b w:val="false"/>
          <w:sz w:val="20"/>
        </w:rPr>
        <w:t>portfolio companies that have sold their underlying operations. The aggregate fair value of the total</w:t>
      </w:r>
      <w:r>
        <w:rPr>
          <w:rFonts w:ascii="Times New Roman" w:hAnsi="Times New Roman"/>
          <w:sz w:val="20"/>
        </w:rPr>
        <w:t xml:space="preserve"> </w:t>
      </w:r>
      <w:r>
        <w:rPr>
          <w:rFonts w:ascii="Times New Roman;serif" w:hAnsi="Times New Roman;serif"/>
          <w:b w:val="false"/>
          <w:sz w:val="20"/>
        </w:rPr>
        <w:t>portfolio was $860,329</w:t>
      </w:r>
      <w:r>
        <w:rPr>
          <w:rFonts w:ascii="Times New Roman" w:hAnsi="Times New Roman"/>
          <w:sz w:val="20"/>
        </w:rPr>
        <w:t xml:space="preserve"> </w:t>
      </w:r>
      <w:r>
        <w:rPr>
          <w:rFonts w:ascii="Times New Roman;serif" w:hAnsi="Times New Roman;serif"/>
          <w:b w:val="false"/>
          <w:sz w:val="20"/>
        </w:rPr>
        <w:t>and the weighted average effective yield on the Company’s debt investments was 13.8%</w:t>
      </w:r>
      <w:r>
        <w:rPr>
          <w:rFonts w:ascii="Times New Roman" w:hAnsi="Times New Roman"/>
          <w:sz w:val="20"/>
        </w:rPr>
        <w:t xml:space="preserve"> </w:t>
      </w:r>
      <w:r>
        <w:rPr>
          <w:rFonts w:ascii="Times New Roman;serif" w:hAnsi="Times New Roman;serif"/>
          <w:b w:val="false"/>
          <w:sz w:val="20"/>
        </w:rPr>
        <w:t>as of such date. As of December 31, 2022, the Company held equity investments in 74.4%</w:t>
      </w:r>
      <w:r>
        <w:rPr>
          <w:rFonts w:ascii="Times New Roman" w:hAnsi="Times New Roman"/>
          <w:sz w:val="20"/>
        </w:rPr>
        <w:t xml:space="preserve"> </w:t>
      </w:r>
      <w:r>
        <w:rPr>
          <w:rFonts w:ascii="Times New Roman;serif" w:hAnsi="Times New Roman;serif"/>
          <w:b w:val="false"/>
          <w:sz w:val="20"/>
        </w:rPr>
        <w:t>of its portfolio companies and the average fully diluted equity ownership in those portfolio companies was 4.0%.</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Times New Roman;serif" w:hAnsi="Times New Roman;serif"/>
          <w:b w:val="false"/>
          <w:sz w:val="20"/>
        </w:rPr>
        <w:t>The weighted average yield of the Company’s debt investments is not the same as a return on investment for its stockholders but, rather, relates to a portion of the Company’s investment portfolio and is calculated before the payment of all of the Company’s and its subsidiaries’ fees and expenses.</w:t>
      </w:r>
      <w:r>
        <w:rPr>
          <w:rFonts w:ascii="Times New Roman" w:hAnsi="Times New Roman"/>
          <w:sz w:val="20"/>
        </w:rPr>
        <w:t xml:space="preserve"> </w:t>
      </w:r>
      <w:r>
        <w:rPr>
          <w:rFonts w:ascii="Times New Roman;serif" w:hAnsi="Times New Roman;serif"/>
          <w:b w:val="false"/>
          <w:sz w:val="20"/>
        </w:rPr>
        <w:t>The weighted average yields were computed using the effective interest rates for debt investments at cost as of March 31, 2023 and December 31, 2022, including accretion of OID and debt investment origination fees, but excluding investments on non-accrual status and investments recorded as a secured borrowing, if any.</w:t>
      </w:r>
    </w:p>
    <w:p>
      <w:pPr>
        <w:pStyle w:val="TextBody"/>
        <w:spacing w:before="180" w:after="0"/>
        <w:jc w:val="both"/>
        <w:rPr>
          <w:rFonts w:ascii="Times New Roman" w:hAnsi="Times New Roman"/>
          <w:sz w:val="20"/>
        </w:rPr>
      </w:pPr>
      <w:r>
        <w:rPr>
          <w:rFonts w:ascii="Times New Roman;serif" w:hAnsi="Times New Roman;serif"/>
          <w:b w:val="false"/>
          <w:sz w:val="20"/>
        </w:rPr>
        <w:t>Purchases of debt and equity investments for the three months ended March 31, 2023 and 2022 totaled $51,521</w:t>
      </w:r>
      <w:r>
        <w:rPr>
          <w:rFonts w:ascii="Times New Roman" w:hAnsi="Times New Roman"/>
          <w:sz w:val="20"/>
        </w:rPr>
        <w:t xml:space="preserve"> </w:t>
      </w:r>
      <w:r>
        <w:rPr>
          <w:rFonts w:ascii="Times New Roman;serif" w:hAnsi="Times New Roman;serif"/>
          <w:b w:val="false"/>
          <w:sz w:val="20"/>
        </w:rPr>
        <w:t>and $114,428, respectively. Proceeds from sales and repayments, including principal, return of capital distributions and realized gains, of portfolio investments for the three months ended March 31, 2023 and 2022 totaled $15,918</w:t>
      </w:r>
      <w:r>
        <w:rPr>
          <w:rFonts w:ascii="Times New Roman" w:hAnsi="Times New Roman"/>
          <w:sz w:val="20"/>
        </w:rPr>
        <w:t xml:space="preserve"> </w:t>
      </w:r>
      <w:r>
        <w:rPr>
          <w:rFonts w:ascii="Times New Roman;serif" w:hAnsi="Times New Roman;serif"/>
          <w:b w:val="false"/>
          <w:sz w:val="20"/>
        </w:rPr>
        <w:t>and $23,185, respectively.</w:t>
      </w:r>
      <w:r>
        <w:rPr>
          <w:rFonts w:ascii="Times New Roman" w:hAnsi="Times New Roman"/>
          <w:sz w:val="20"/>
        </w:rPr>
        <w:t xml:space="preserve"> </w:t>
      </w:r>
    </w:p>
    <w:p>
      <w:pPr>
        <w:pStyle w:val="TextBody"/>
        <w:spacing w:before="180" w:after="0"/>
        <w:jc w:val="both"/>
        <w:rPr>
          <w:rFonts w:ascii="Times New Roman;serif" w:hAnsi="Times New Roman;serif"/>
          <w:b w:val="false"/>
          <w:sz w:val="20"/>
        </w:rPr>
      </w:pPr>
      <w:bookmarkStart w:id="10" w:name="fis_unidentified_table_8"/>
      <w:bookmarkEnd w:id="10"/>
      <w:r>
        <w:rPr>
          <w:rFonts w:ascii="Times New Roman;serif" w:hAnsi="Times New Roman;serif"/>
          <w:b w:val="false"/>
          <w:sz w:val="20"/>
        </w:rPr>
        <w:t>Investments by type with corresponding percentage of total portfolio investments consisted of the following:</w:t>
      </w:r>
    </w:p>
    <w:tbl>
      <w:tblPr>
        <w:tblW w:w="10572" w:type="dxa"/>
        <w:jc w:val="left"/>
        <w:tblInd w:w="0" w:type="dxa"/>
        <w:tblCellMar>
          <w:top w:w="28" w:type="dxa"/>
          <w:left w:w="28" w:type="dxa"/>
          <w:bottom w:w="28" w:type="dxa"/>
          <w:right w:w="28" w:type="dxa"/>
        </w:tblCellMar>
      </w:tblPr>
      <w:tblGrid>
        <w:gridCol w:w="1051"/>
        <w:gridCol w:w="146"/>
        <w:gridCol w:w="196"/>
        <w:gridCol w:w="691"/>
        <w:gridCol w:w="146"/>
        <w:gridCol w:w="146"/>
        <w:gridCol w:w="146"/>
        <w:gridCol w:w="511"/>
        <w:gridCol w:w="241"/>
        <w:gridCol w:w="146"/>
        <w:gridCol w:w="146"/>
        <w:gridCol w:w="196"/>
        <w:gridCol w:w="691"/>
        <w:gridCol w:w="146"/>
        <w:gridCol w:w="146"/>
        <w:gridCol w:w="146"/>
        <w:gridCol w:w="511"/>
        <w:gridCol w:w="241"/>
        <w:gridCol w:w="146"/>
        <w:gridCol w:w="146"/>
        <w:gridCol w:w="196"/>
        <w:gridCol w:w="691"/>
        <w:gridCol w:w="146"/>
        <w:gridCol w:w="146"/>
        <w:gridCol w:w="146"/>
        <w:gridCol w:w="511"/>
        <w:gridCol w:w="241"/>
        <w:gridCol w:w="146"/>
        <w:gridCol w:w="146"/>
        <w:gridCol w:w="196"/>
        <w:gridCol w:w="691"/>
        <w:gridCol w:w="146"/>
        <w:gridCol w:w="146"/>
        <w:gridCol w:w="146"/>
        <w:gridCol w:w="511"/>
        <w:gridCol w:w="241"/>
        <w:gridCol w:w="191"/>
      </w:tblGrid>
      <w:tr>
        <w:trPr/>
        <w:tc>
          <w:tcPr>
            <w:tcW w:w="10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0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05" w:type="dxa"/>
            <w:gridSpan w:val="1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05" w:type="dxa"/>
            <w:gridSpan w:val="1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3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41" w:type="dxa"/>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First Lien Debt</w:t>
            </w:r>
            <w:r>
              <w:rPr>
                <w:rFonts w:ascii="Times New Roman;serif" w:hAnsi="Times New Roman;serif"/>
                <w:b w:val="false"/>
                <w:sz w:val="11"/>
              </w:rPr>
              <w:t>(1)</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481,547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53.6</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456,105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53.0</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478,893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55.4</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453,585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54.7</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188,931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21.1</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182,948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21.3</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218,939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25.3</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213,654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25.8</w:t>
            </w:r>
          </w:p>
        </w:tc>
        <w:tc>
          <w:tcPr>
            <w:tcW w:w="24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Debt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102,386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11.4</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101,456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11.8</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103,130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11.9</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100,634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w:t>
            </w:r>
          </w:p>
        </w:tc>
        <w:tc>
          <w:tcPr>
            <w:tcW w:w="24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122,103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13.6</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117,741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13.7</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61,066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7.1</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57,868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7.0</w:t>
            </w:r>
          </w:p>
        </w:tc>
        <w:tc>
          <w:tcPr>
            <w:tcW w:w="24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Warrants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2,357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2,079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2,952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2,952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05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897,324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860,329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864,980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828,693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b w:val="false"/>
          <w:sz w:val="16"/>
        </w:rPr>
      </w:pPr>
      <w:r>
        <w:rPr>
          <w:rFonts w:ascii="Times New Roman" w:hAnsi="Times New Roman"/>
          <w:b w:val="false"/>
          <w:sz w:val="16"/>
        </w:rPr>
        <w:t>(1)</w:t>
      </w:r>
    </w:p>
    <w:p>
      <w:pPr>
        <w:pStyle w:val="TextBody"/>
        <w:spacing w:before="120" w:after="283"/>
        <w:jc w:val="both"/>
        <w:rPr>
          <w:rFonts w:ascii="Times New Roman;serif" w:hAnsi="Times New Roman;serif"/>
          <w:sz w:val="20"/>
        </w:rPr>
      </w:pPr>
      <w:r>
        <w:rPr>
          <w:rFonts w:ascii="Times New Roman;serif" w:hAnsi="Times New Roman;serif"/>
          <w:b w:val="false"/>
          <w:sz w:val="16"/>
        </w:rPr>
        <w:t>Includes unitranche investments, which account for 41.4%</w:t>
      </w:r>
      <w:r>
        <w:rPr>
          <w:rFonts w:ascii="Times New Roman;serif" w:hAnsi="Times New Roman;serif"/>
          <w:sz w:val="20"/>
        </w:rPr>
        <w:t xml:space="preserve"> </w:t>
      </w:r>
      <w:r>
        <w:rPr>
          <w:rFonts w:ascii="Times New Roman;serif" w:hAnsi="Times New Roman;serif"/>
          <w:b w:val="false"/>
          <w:sz w:val="16"/>
        </w:rPr>
        <w:t>and 42.7%</w:t>
      </w:r>
      <w:r>
        <w:rPr>
          <w:rFonts w:ascii="Times New Roman;serif" w:hAnsi="Times New Roman;serif"/>
          <w:sz w:val="20"/>
        </w:rPr>
        <w:t xml:space="preserve"> </w:t>
      </w:r>
      <w:r>
        <w:rPr>
          <w:rFonts w:ascii="Times New Roman;serif" w:hAnsi="Times New Roman;serif"/>
          <w:b w:val="false"/>
          <w:sz w:val="16"/>
        </w:rPr>
        <w:t>of our portfolio on a fair value and cost basis as of March 31, 2023, respectively. Includes unitranche investments, which account for 42.1%</w:t>
      </w:r>
      <w:r>
        <w:rPr>
          <w:rFonts w:ascii="Times New Roman;serif" w:hAnsi="Times New Roman;serif"/>
          <w:sz w:val="20"/>
        </w:rPr>
        <w:t xml:space="preserve"> </w:t>
      </w:r>
      <w:r>
        <w:rPr>
          <w:rFonts w:ascii="Times New Roman;serif" w:hAnsi="Times New Roman;serif"/>
          <w:b w:val="false"/>
          <w:sz w:val="16"/>
        </w:rPr>
        <w:t>and 43.4%</w:t>
      </w:r>
      <w:r>
        <w:rPr>
          <w:rFonts w:ascii="Times New Roman;serif" w:hAnsi="Times New Roman;serif"/>
          <w:sz w:val="20"/>
        </w:rPr>
        <w:t xml:space="preserve"> </w:t>
      </w:r>
      <w:r>
        <w:rPr>
          <w:rFonts w:ascii="Times New Roman;serif" w:hAnsi="Times New Roman;serif"/>
          <w:b w:val="false"/>
          <w:sz w:val="16"/>
        </w:rPr>
        <w:t>of our portfolio on a fair value and cost basis as of December 31, 2022, respectively.</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The following table shows portfolio composition by geographic region at fair value and cost and as a percentage of total investments. The geographic composition is determined by the location of the corporate headquarters of the portfolio company, which may not be indicative of the primary source of the portfolio company’s business.</w:t>
      </w:r>
    </w:p>
    <w:p>
      <w:pPr>
        <w:pStyle w:val="TextBody"/>
        <w:spacing w:before="0" w:after="0"/>
        <w:jc w:val="left"/>
        <w:rPr/>
      </w:pPr>
      <w:r>
        <w:rPr/>
        <w:t> </w:t>
      </w:r>
    </w:p>
    <w:tbl>
      <w:tblPr>
        <w:tblW w:w="10447" w:type="dxa"/>
        <w:jc w:val="left"/>
        <w:tblInd w:w="0" w:type="dxa"/>
        <w:tblCellMar>
          <w:top w:w="28" w:type="dxa"/>
          <w:left w:w="28" w:type="dxa"/>
          <w:bottom w:w="28" w:type="dxa"/>
          <w:right w:w="28" w:type="dxa"/>
        </w:tblCellMar>
      </w:tblPr>
      <w:tblGrid>
        <w:gridCol w:w="826"/>
        <w:gridCol w:w="146"/>
        <w:gridCol w:w="196"/>
        <w:gridCol w:w="691"/>
        <w:gridCol w:w="146"/>
        <w:gridCol w:w="146"/>
        <w:gridCol w:w="146"/>
        <w:gridCol w:w="511"/>
        <w:gridCol w:w="241"/>
        <w:gridCol w:w="146"/>
        <w:gridCol w:w="146"/>
        <w:gridCol w:w="196"/>
        <w:gridCol w:w="691"/>
        <w:gridCol w:w="146"/>
        <w:gridCol w:w="146"/>
        <w:gridCol w:w="146"/>
        <w:gridCol w:w="511"/>
        <w:gridCol w:w="241"/>
        <w:gridCol w:w="146"/>
        <w:gridCol w:w="146"/>
        <w:gridCol w:w="196"/>
        <w:gridCol w:w="691"/>
        <w:gridCol w:w="146"/>
        <w:gridCol w:w="146"/>
        <w:gridCol w:w="146"/>
        <w:gridCol w:w="511"/>
        <w:gridCol w:w="241"/>
        <w:gridCol w:w="146"/>
        <w:gridCol w:w="146"/>
        <w:gridCol w:w="196"/>
        <w:gridCol w:w="691"/>
        <w:gridCol w:w="146"/>
        <w:gridCol w:w="146"/>
        <w:gridCol w:w="146"/>
        <w:gridCol w:w="511"/>
        <w:gridCol w:w="241"/>
        <w:gridCol w:w="291"/>
      </w:tblGrid>
      <w:tr>
        <w:trPr/>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05" w:type="dxa"/>
            <w:gridSpan w:val="1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05" w:type="dxa"/>
            <w:gridSpan w:val="1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3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41" w:type="dxa"/>
            <w:tcBorders/>
            <w:shd w:fill="auto" w:val="clear"/>
            <w:vAlign w:val="center"/>
          </w:tcPr>
          <w:p>
            <w:pPr>
              <w:pStyle w:val="TableContents"/>
              <w:spacing w:before="0" w:after="0"/>
              <w:ind w:left="0" w:right="0" w:hanging="0"/>
              <w:jc w:val="center"/>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8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3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8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United States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7" w:type="dxa"/>
            <w:gridSpan w:val="2"/>
            <w:tcBorders/>
            <w:shd w:fill="auto" w:val="clear"/>
            <w:vAlign w:val="center"/>
          </w:tcPr>
          <w:p>
            <w:pPr>
              <w:pStyle w:val="TableContents"/>
              <w:spacing w:before="0" w:after="0"/>
              <w:ind w:left="0" w:right="0" w:hanging="0"/>
              <w:jc w:val="center"/>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7" w:type="dxa"/>
            <w:gridSpan w:val="2"/>
            <w:tcBorders/>
            <w:shd w:fill="auto" w:val="clear"/>
            <w:vAlign w:val="center"/>
          </w:tcPr>
          <w:p>
            <w:pPr>
              <w:pStyle w:val="TableContents"/>
              <w:spacing w:before="0" w:after="0"/>
              <w:ind w:left="0" w:right="0" w:hanging="0"/>
              <w:jc w:val="center"/>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7" w:type="dxa"/>
            <w:gridSpan w:val="2"/>
            <w:tcBorders/>
            <w:shd w:fill="auto" w:val="clear"/>
            <w:vAlign w:val="center"/>
          </w:tcPr>
          <w:p>
            <w:pPr>
              <w:pStyle w:val="TableContents"/>
              <w:spacing w:before="0" w:after="0"/>
              <w:ind w:left="0" w:right="0" w:hanging="0"/>
              <w:jc w:val="center"/>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7" w:type="dxa"/>
            <w:gridSpan w:val="2"/>
            <w:tcBorders/>
            <w:shd w:fill="auto" w:val="clear"/>
            <w:vAlign w:val="center"/>
          </w:tcPr>
          <w:p>
            <w:pPr>
              <w:pStyle w:val="TableContents"/>
              <w:spacing w:before="0" w:after="0"/>
              <w:ind w:left="0" w:right="0" w:hanging="0"/>
              <w:jc w:val="center"/>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826"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Midwest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173,676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19.4</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180,556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21.0</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125,969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14.6</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132,177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16.0</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91" w:type="dxa"/>
            <w:tcBorders/>
            <w:shd w:fill="auto" w:val="clear"/>
            <w:vAlign w:val="center"/>
          </w:tcPr>
          <w:p>
            <w:pPr>
              <w:pStyle w:val="TableContents"/>
              <w:spacing w:before="0" w:after="0"/>
              <w:ind w:left="0" w:right="0" w:firstLine="100"/>
              <w:jc w:val="left"/>
              <w:rPr/>
            </w:pPr>
            <w:r>
              <w:rPr/>
              <w:t> </w:t>
            </w:r>
          </w:p>
        </w:tc>
      </w:tr>
      <w:tr>
        <w:trPr/>
        <w:tc>
          <w:tcPr>
            <w:tcW w:w="826"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Southeast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279,940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31.1</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265,902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31.0</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271,839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31.5</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258,373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31.1</w:t>
            </w:r>
          </w:p>
        </w:tc>
        <w:tc>
          <w:tcPr>
            <w:tcW w:w="241"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826"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Northeast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155,837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17.4</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127,427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14.8</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163,512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18.9</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134,897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16.3</w:t>
            </w:r>
          </w:p>
        </w:tc>
        <w:tc>
          <w:tcPr>
            <w:tcW w:w="241"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826"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West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150,203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16.7</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151,487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17.6</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162,072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18.7</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161,935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19.5</w:t>
            </w:r>
          </w:p>
        </w:tc>
        <w:tc>
          <w:tcPr>
            <w:tcW w:w="241"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826"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Southwest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125,223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14.0</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122,519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14.2</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129,143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14.9</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128,873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15.6</w:t>
            </w:r>
          </w:p>
        </w:tc>
        <w:tc>
          <w:tcPr>
            <w:tcW w:w="241"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8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Canada</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12,445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12,438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12,445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12,438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8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897,324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860,329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864,980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828,693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following table shows portfolio composition by type and by geographic region at fair value as a percentage of net assets.</w:t>
      </w:r>
    </w:p>
    <w:p>
      <w:pPr>
        <w:pStyle w:val="TextBody"/>
        <w:spacing w:before="0" w:after="0"/>
        <w:jc w:val="both"/>
        <w:rPr/>
      </w:pPr>
      <w:r>
        <w:rPr/>
        <w:t> </w:t>
      </w:r>
    </w:p>
    <w:tbl>
      <w:tblPr>
        <w:tblW w:w="8609" w:type="dxa"/>
        <w:jc w:val="left"/>
        <w:tblInd w:w="0" w:type="dxa"/>
        <w:tblCellMar>
          <w:top w:w="28" w:type="dxa"/>
          <w:left w:w="28" w:type="dxa"/>
          <w:bottom w:w="28" w:type="dxa"/>
          <w:right w:w="28" w:type="dxa"/>
        </w:tblCellMar>
      </w:tblPr>
      <w:tblGrid>
        <w:gridCol w:w="1426"/>
        <w:gridCol w:w="146"/>
        <w:gridCol w:w="190"/>
        <w:gridCol w:w="665"/>
        <w:gridCol w:w="241"/>
        <w:gridCol w:w="146"/>
        <w:gridCol w:w="146"/>
        <w:gridCol w:w="242"/>
        <w:gridCol w:w="853"/>
        <w:gridCol w:w="241"/>
        <w:gridCol w:w="146"/>
        <w:gridCol w:w="246"/>
        <w:gridCol w:w="1006"/>
        <w:gridCol w:w="146"/>
        <w:gridCol w:w="190"/>
        <w:gridCol w:w="665"/>
        <w:gridCol w:w="241"/>
        <w:gridCol w:w="146"/>
        <w:gridCol w:w="146"/>
        <w:gridCol w:w="242"/>
        <w:gridCol w:w="853"/>
        <w:gridCol w:w="286"/>
      </w:tblGrid>
      <w:tr>
        <w:trPr/>
        <w:tc>
          <w:tcPr>
            <w:tcW w:w="14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4055" w:type="dxa"/>
            <w:gridSpan w:val="9"/>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By Type</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3635" w:type="dxa"/>
            <w:gridSpan w:val="9"/>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By Geographic Region</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5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46" w:type="dxa"/>
            <w:tcBorders/>
            <w:shd w:fill="auto" w:val="clear"/>
            <w:vAlign w:val="center"/>
          </w:tcPr>
          <w:p>
            <w:pPr>
              <w:pStyle w:val="TableContents"/>
              <w:spacing w:before="0" w:after="0"/>
              <w:ind w:left="0" w:right="0" w:hanging="0"/>
              <w:jc w:val="center"/>
              <w:rPr/>
            </w:pPr>
            <w:r>
              <w:rPr/>
              <w:t> </w:t>
            </w:r>
          </w:p>
        </w:tc>
        <w:tc>
          <w:tcPr>
            <w:tcW w:w="10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5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86" w:type="dxa"/>
            <w:tcBorders/>
            <w:shd w:fill="auto" w:val="clear"/>
            <w:vAlign w:val="center"/>
          </w:tcPr>
          <w:p>
            <w:pPr>
              <w:pStyle w:val="TableContents"/>
              <w:spacing w:before="0" w:after="0"/>
              <w:ind w:left="0" w:right="0" w:hanging="0"/>
              <w:jc w:val="center"/>
              <w:rPr/>
            </w:pPr>
            <w:r>
              <w:rPr/>
              <w:t> </w:t>
            </w:r>
          </w:p>
        </w:tc>
      </w:tr>
      <w:tr>
        <w:trPr/>
        <w:tc>
          <w:tcPr>
            <w:tcW w:w="142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4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First Lien Debt</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99.4</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95.0</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United States</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286" w:type="dxa"/>
            <w:tcBorders/>
            <w:shd w:fill="auto" w:val="clear"/>
            <w:vAlign w:val="center"/>
          </w:tcPr>
          <w:p>
            <w:pPr>
              <w:pStyle w:val="TableContents"/>
              <w:spacing w:before="0" w:after="0"/>
              <w:ind w:left="0" w:right="0" w:hanging="0"/>
              <w:jc w:val="left"/>
              <w:rPr/>
            </w:pPr>
            <w:r>
              <w:rPr/>
              <w:t> </w:t>
            </w:r>
          </w:p>
        </w:tc>
      </w:tr>
      <w:tr>
        <w:trPr/>
        <w:tc>
          <w:tcPr>
            <w:tcW w:w="14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39.0</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38.1</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006"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Midwest</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35.8</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37.6</w:t>
            </w:r>
          </w:p>
        </w:tc>
        <w:tc>
          <w:tcPr>
            <w:tcW w:w="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4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Debt</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21.1</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21.1</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006"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Southeast</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57.8</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55.4</w:t>
            </w:r>
          </w:p>
        </w:tc>
        <w:tc>
          <w:tcPr>
            <w:tcW w:w="286" w:type="dxa"/>
            <w:tcBorders/>
            <w:shd w:fill="auto" w:val="clear"/>
            <w:vAlign w:val="center"/>
          </w:tcPr>
          <w:p>
            <w:pPr>
              <w:pStyle w:val="TableContents"/>
              <w:spacing w:before="0" w:after="0"/>
              <w:ind w:left="0" w:right="0" w:hanging="0"/>
              <w:jc w:val="left"/>
              <w:rPr/>
            </w:pPr>
            <w:r>
              <w:rPr/>
              <w:t> </w:t>
            </w:r>
          </w:p>
        </w:tc>
      </w:tr>
      <w:tr>
        <w:trPr/>
        <w:tc>
          <w:tcPr>
            <w:tcW w:w="14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25.2</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24.5</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006"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Northeast</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32.2</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26.5</w:t>
            </w:r>
          </w:p>
        </w:tc>
        <w:tc>
          <w:tcPr>
            <w:tcW w:w="286" w:type="dxa"/>
            <w:tcBorders/>
            <w:shd w:fill="auto" w:val="clear"/>
            <w:vAlign w:val="center"/>
          </w:tcPr>
          <w:p>
            <w:pPr>
              <w:pStyle w:val="TableContents"/>
              <w:spacing w:before="0" w:after="0"/>
              <w:ind w:left="0" w:right="0" w:hanging="0"/>
              <w:jc w:val="left"/>
              <w:rPr/>
            </w:pPr>
            <w:r>
              <w:rPr/>
              <w:t> </w:t>
            </w:r>
          </w:p>
        </w:tc>
      </w:tr>
      <w:tr>
        <w:trPr/>
        <w:tc>
          <w:tcPr>
            <w:tcW w:w="14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Warrants</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0.5</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006"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West</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31.0</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31.5</w:t>
            </w:r>
          </w:p>
        </w:tc>
        <w:tc>
          <w:tcPr>
            <w:tcW w:w="286" w:type="dxa"/>
            <w:tcBorders/>
            <w:shd w:fill="auto" w:val="clear"/>
            <w:vAlign w:val="center"/>
          </w:tcPr>
          <w:p>
            <w:pPr>
              <w:pStyle w:val="TableContents"/>
              <w:spacing w:before="0" w:after="0"/>
              <w:ind w:left="0" w:right="0" w:hanging="0"/>
              <w:jc w:val="left"/>
              <w:rPr/>
            </w:pPr>
            <w:r>
              <w:rPr/>
              <w:t> </w:t>
            </w:r>
          </w:p>
        </w:tc>
      </w:tr>
      <w:tr>
        <w:trPr/>
        <w:tc>
          <w:tcPr>
            <w:tcW w:w="14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185.2</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179.1</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firstLine="100"/>
              <w:jc w:val="left"/>
              <w:rPr/>
            </w:pPr>
            <w:r>
              <w:rPr/>
              <w:t> </w:t>
            </w:r>
          </w:p>
        </w:tc>
        <w:tc>
          <w:tcPr>
            <w:tcW w:w="1006"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Southwest</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25.8</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25.5</w:t>
            </w:r>
          </w:p>
        </w:tc>
        <w:tc>
          <w:tcPr>
            <w:tcW w:w="286" w:type="dxa"/>
            <w:tcBorders/>
            <w:shd w:fill="auto" w:val="clear"/>
            <w:vAlign w:val="center"/>
          </w:tcPr>
          <w:p>
            <w:pPr>
              <w:pStyle w:val="TableContents"/>
              <w:spacing w:before="0" w:after="0"/>
              <w:ind w:left="0" w:right="0" w:hanging="0"/>
              <w:jc w:val="left"/>
              <w:rPr/>
            </w:pPr>
            <w:r>
              <w:rPr/>
              <w:t> </w:t>
            </w:r>
          </w:p>
        </w:tc>
      </w:tr>
      <w:tr>
        <w:trPr/>
        <w:tc>
          <w:tcPr>
            <w:tcW w:w="14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Canada</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w:t>
            </w:r>
          </w:p>
        </w:tc>
        <w:tc>
          <w:tcPr>
            <w:tcW w:w="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4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6"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185.2</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179.1</w:t>
            </w:r>
          </w:p>
        </w:tc>
        <w:tc>
          <w:tcPr>
            <w:tcW w:w="2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spacing w:before="0" w:after="0"/>
        <w:jc w:val="both"/>
        <w:rPr/>
      </w:pPr>
      <w:r>
        <w:rPr/>
        <w:t> </w:t>
      </w:r>
    </w:p>
    <w:p>
      <w:pPr>
        <w:pStyle w:val="TextBody"/>
        <w:spacing w:before="0" w:after="180"/>
        <w:jc w:val="both"/>
        <w:rPr>
          <w:rFonts w:ascii="Times New Roman" w:hAnsi="Times New Roman"/>
          <w:sz w:val="20"/>
        </w:rPr>
      </w:pPr>
      <w:r>
        <w:rPr>
          <w:rFonts w:ascii="Times New Roman;serif" w:hAnsi="Times New Roman;serif"/>
          <w:b w:val="false"/>
          <w:sz w:val="20"/>
        </w:rPr>
        <w:t>As of March 31, 2023 and December 31, 2022, the Company had no</w:t>
      </w:r>
      <w:r>
        <w:rPr>
          <w:rFonts w:ascii="Times New Roman" w:hAnsi="Times New Roman"/>
          <w:sz w:val="20"/>
        </w:rPr>
        <w:t xml:space="preserve"> </w:t>
      </w:r>
      <w:r>
        <w:rPr>
          <w:rFonts w:ascii="Times New Roman;serif" w:hAnsi="Times New Roman;serif"/>
          <w:b w:val="false"/>
          <w:sz w:val="20"/>
        </w:rPr>
        <w:t>portfolio company investments that represented more than 10% of the total investment portfolio on a fair value or cost basis. As of March 31, 2023 and December 31, 2022, the Company's investment in Pfanstiehl, Inc. totaled $50,975</w:t>
      </w:r>
      <w:r>
        <w:rPr>
          <w:rFonts w:ascii="Times New Roman" w:hAnsi="Times New Roman"/>
          <w:sz w:val="20"/>
        </w:rPr>
        <w:t xml:space="preserve"> </w:t>
      </w:r>
      <w:r>
        <w:rPr>
          <w:rFonts w:ascii="Times New Roman;serif" w:hAnsi="Times New Roman;serif"/>
          <w:b w:val="false"/>
          <w:sz w:val="20"/>
        </w:rPr>
        <w:t>and $51,992</w:t>
      </w:r>
      <w:r>
        <w:rPr>
          <w:rFonts w:ascii="Times New Roman" w:hAnsi="Times New Roman"/>
          <w:sz w:val="20"/>
        </w:rPr>
        <w:t xml:space="preserve"> </w:t>
      </w:r>
      <w:r>
        <w:rPr>
          <w:rFonts w:ascii="Times New Roman;serif" w:hAnsi="Times New Roman;serif"/>
          <w:b w:val="false"/>
          <w:sz w:val="20"/>
        </w:rPr>
        <w:t>or 5.4% and 5.6% of total assets, respectively.</w:t>
      </w:r>
    </w:p>
    <w:p>
      <w:pPr>
        <w:pStyle w:val="TextBody"/>
        <w:spacing w:before="0" w:after="0"/>
        <w:jc w:val="both"/>
        <w:rPr>
          <w:rFonts w:ascii="Times New Roman" w:hAnsi="Times New Roman"/>
          <w:sz w:val="20"/>
        </w:rPr>
      </w:pPr>
      <w:r>
        <w:rPr>
          <w:rFonts w:ascii="Times New Roman;serif" w:hAnsi="Times New Roman;serif"/>
          <w:b w:val="false"/>
          <w:sz w:val="20"/>
        </w:rPr>
        <w:t>As of March 31, 2023 and December 31, 2022,</w:t>
      </w:r>
      <w:r>
        <w:rPr>
          <w:rFonts w:ascii="Times New Roman" w:hAnsi="Times New Roman"/>
          <w:sz w:val="20"/>
        </w:rPr>
        <w:t xml:space="preserve"> </w:t>
      </w:r>
      <w:r>
        <w:rPr>
          <w:rFonts w:ascii="Times New Roman;serif" w:hAnsi="Times New Roman;serif"/>
          <w:b w:val="false"/>
          <w:sz w:val="20"/>
        </w:rPr>
        <w:t>the Company had debt investments in five</w:t>
      </w:r>
      <w:r>
        <w:rPr>
          <w:rFonts w:ascii="Times New Roman" w:hAnsi="Times New Roman"/>
          <w:sz w:val="20"/>
        </w:rPr>
        <w:t xml:space="preserve"> </w:t>
      </w:r>
      <w:r>
        <w:rPr>
          <w:rFonts w:ascii="Times New Roman;serif" w:hAnsi="Times New Roman;serif"/>
          <w:b w:val="false"/>
          <w:sz w:val="20"/>
        </w:rPr>
        <w:t>and four</w:t>
      </w:r>
      <w:r>
        <w:rPr>
          <w:rFonts w:ascii="Times New Roman" w:hAnsi="Times New Roman"/>
          <w:sz w:val="20"/>
        </w:rPr>
        <w:t xml:space="preserve"> </w:t>
      </w:r>
      <w:r>
        <w:rPr>
          <w:rFonts w:ascii="Times New Roman;serif" w:hAnsi="Times New Roman;serif"/>
          <w:b w:val="false"/>
          <w:sz w:val="20"/>
        </w:rPr>
        <w:t>portfolio companies, respectively, on non-accrual status.</w:t>
      </w:r>
    </w:p>
    <w:p>
      <w:pPr>
        <w:pStyle w:val="TextBody"/>
        <w:spacing w:before="0" w:after="0"/>
        <w:jc w:val="both"/>
        <w:rPr/>
      </w:pPr>
      <w:r>
        <w:rPr/>
        <w:t> </w:t>
      </w:r>
    </w:p>
    <w:tbl>
      <w:tblPr>
        <w:tblW w:w="8173" w:type="dxa"/>
        <w:jc w:val="left"/>
        <w:tblInd w:w="0" w:type="dxa"/>
        <w:tblCellMar>
          <w:top w:w="28" w:type="dxa"/>
          <w:left w:w="28" w:type="dxa"/>
          <w:bottom w:w="28" w:type="dxa"/>
          <w:right w:w="28" w:type="dxa"/>
        </w:tblCellMar>
      </w:tblPr>
      <w:tblGrid>
        <w:gridCol w:w="3916"/>
        <w:gridCol w:w="146"/>
        <w:gridCol w:w="181"/>
        <w:gridCol w:w="511"/>
        <w:gridCol w:w="146"/>
        <w:gridCol w:w="146"/>
        <w:gridCol w:w="181"/>
        <w:gridCol w:w="511"/>
        <w:gridCol w:w="146"/>
        <w:gridCol w:w="146"/>
        <w:gridCol w:w="181"/>
        <w:gridCol w:w="511"/>
        <w:gridCol w:w="146"/>
        <w:gridCol w:w="211"/>
        <w:gridCol w:w="181"/>
        <w:gridCol w:w="511"/>
        <w:gridCol w:w="146"/>
        <w:gridCol w:w="256"/>
      </w:tblGrid>
      <w:tr>
        <w:trPr/>
        <w:tc>
          <w:tcPr>
            <w:tcW w:w="3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39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7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4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December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left"/>
              <w:rPr/>
            </w:pPr>
            <w:r>
              <w:rPr/>
              <w:t> </w:t>
            </w:r>
          </w:p>
        </w:tc>
      </w:tr>
      <w:tr>
        <w:trPr/>
        <w:tc>
          <w:tcPr>
            <w:tcW w:w="39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2"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Fair</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2"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Fair</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6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left"/>
              <w:rPr/>
            </w:pPr>
            <w:r>
              <w:rPr/>
              <w:t> </w:t>
            </w:r>
          </w:p>
        </w:tc>
      </w:tr>
      <w:tr>
        <w:trPr/>
        <w:tc>
          <w:tcPr>
            <w:tcW w:w="39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Portfolio Company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6" w:type="dxa"/>
            <w:tcBorders/>
            <w:shd w:fill="auto" w:val="clear"/>
            <w:vAlign w:val="center"/>
          </w:tcPr>
          <w:p>
            <w:pPr>
              <w:pStyle w:val="TableContents"/>
              <w:spacing w:before="0" w:after="0"/>
              <w:ind w:left="0" w:right="0" w:hanging="0"/>
              <w:jc w:val="left"/>
              <w:rPr/>
            </w:pPr>
            <w:r>
              <w:rPr/>
              <w:t> </w:t>
            </w:r>
          </w:p>
        </w:tc>
      </w:tr>
      <w:tr>
        <w:trPr/>
        <w:tc>
          <w:tcPr>
            <w:tcW w:w="391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EBL, LLC (EbLens)</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9,332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9,332</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r>
      <w:tr>
        <w:trPr/>
        <w:tc>
          <w:tcPr>
            <w:tcW w:w="391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US GreenFiber, LLC</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5,223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5,223</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r>
      <w:tr>
        <w:trPr/>
        <w:tc>
          <w:tcPr>
            <w:tcW w:w="391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K2 Merger Agreement Agent, LLC (fka K2 Industrial Services, Inc.)</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2,123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2,368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2,123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2,368</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r>
      <w:tr>
        <w:trPr/>
        <w:tc>
          <w:tcPr>
            <w:tcW w:w="391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Allredi, LLC (fka Marco Group International OpCo, LLC)</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8,742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10,281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8,144</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10,281</w:t>
            </w:r>
          </w:p>
        </w:tc>
        <w:tc>
          <w:tcPr>
            <w:tcW w:w="146" w:type="dxa"/>
            <w:tcBorders/>
            <w:shd w:fill="auto" w:val="cle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r>
      <w:tr>
        <w:trPr/>
        <w:tc>
          <w:tcPr>
            <w:tcW w:w="391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Suited Connector LLC</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9,642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15,933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(1)</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(1)</w:t>
            </w:r>
          </w:p>
        </w:tc>
      </w:tr>
      <w:tr>
        <w:trPr/>
        <w:tc>
          <w:tcPr>
            <w:tcW w:w="391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Total</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20,507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43,137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10,267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27,204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56"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tbl>
      <w:tblPr>
        <w:tblW w:w="7067" w:type="dxa"/>
        <w:jc w:val="left"/>
        <w:tblInd w:w="0" w:type="dxa"/>
        <w:tblCellMar>
          <w:top w:w="28" w:type="dxa"/>
          <w:left w:w="28" w:type="dxa"/>
          <w:bottom w:w="28" w:type="dxa"/>
          <w:right w:w="28" w:type="dxa"/>
        </w:tblCellMar>
      </w:tblPr>
      <w:tblGrid>
        <w:gridCol w:w="331"/>
        <w:gridCol w:w="6736"/>
      </w:tblGrid>
      <w:tr>
        <w:trPr/>
        <w:tc>
          <w:tcPr>
            <w:tcW w:w="331" w:type="dxa"/>
            <w:tcBorders/>
            <w:shd w:fill="auto" w:val="clear"/>
            <w:vAlign w:val="center"/>
          </w:tcPr>
          <w:p>
            <w:pPr>
              <w:pStyle w:val="TableContents"/>
              <w:spacing w:before="0" w:after="283"/>
              <w:rPr>
                <w:sz w:val="4"/>
                <w:szCs w:val="4"/>
              </w:rPr>
            </w:pPr>
            <w:r>
              <w:rPr>
                <w:sz w:val="4"/>
                <w:szCs w:val="4"/>
              </w:rPr>
            </w:r>
          </w:p>
        </w:tc>
        <w:tc>
          <w:tcPr>
            <w:tcW w:w="6736"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(1)</w:t>
            </w:r>
          </w:p>
        </w:tc>
        <w:tc>
          <w:tcPr>
            <w:tcW w:w="6736"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Debt investment in portfolio company was not on non-accrual status as of December 31, 2022.</w:t>
            </w:r>
          </w:p>
        </w:tc>
      </w:tr>
    </w:tbl>
    <w:p>
      <w:pPr>
        <w:pStyle w:val="TextBody"/>
        <w:spacing w:before="0" w:after="180"/>
        <w:jc w:val="both"/>
        <w:rPr/>
      </w:pPr>
      <w:r>
        <w:rPr/>
        <w:t> </w:t>
      </w:r>
    </w:p>
    <w:p>
      <w:pPr>
        <w:pStyle w:val="TextBody"/>
        <w:spacing w:before="0" w:after="180"/>
        <w:jc w:val="both"/>
        <w:rPr>
          <w:rFonts w:ascii="Times New Roman;serif" w:hAnsi="Times New Roman;serif"/>
          <w:b w:val="false"/>
          <w:i/>
          <w:sz w:val="20"/>
        </w:rPr>
      </w:pPr>
      <w:r>
        <w:rPr>
          <w:rFonts w:ascii="Times New Roman;serif" w:hAnsi="Times New Roman;serif"/>
          <w:b w:val="false"/>
          <w:i/>
          <w:sz w:val="20"/>
        </w:rPr>
        <w:t>Consolidated Schedule of Investments In and Advances To Affiliates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table below represents the fair value of control and affiliate investments as of December 31, 2022 and any additions and reductions made to such investments during the three months ended March 31, 2023, the ending fair value as of March 31, 2023, and the total investment income earned on such investments during the period.</w:t>
      </w:r>
    </w:p>
    <w:tbl>
      <w:tblPr>
        <w:tblW w:w="10205" w:type="dxa"/>
        <w:jc w:val="left"/>
        <w:tblInd w:w="0" w:type="dxa"/>
        <w:tblCellMar>
          <w:top w:w="28" w:type="dxa"/>
          <w:left w:w="28" w:type="dxa"/>
          <w:bottom w:w="28" w:type="dxa"/>
          <w:right w:w="28" w:type="dxa"/>
        </w:tblCellMar>
      </w:tblPr>
      <w:tblGrid>
        <w:gridCol w:w="651"/>
        <w:gridCol w:w="146"/>
        <w:gridCol w:w="146"/>
        <w:gridCol w:w="171"/>
        <w:gridCol w:w="412"/>
        <w:gridCol w:w="146"/>
        <w:gridCol w:w="146"/>
        <w:gridCol w:w="152"/>
        <w:gridCol w:w="409"/>
        <w:gridCol w:w="146"/>
        <w:gridCol w:w="146"/>
        <w:gridCol w:w="152"/>
        <w:gridCol w:w="349"/>
        <w:gridCol w:w="146"/>
        <w:gridCol w:w="146"/>
        <w:gridCol w:w="160"/>
        <w:gridCol w:w="371"/>
        <w:gridCol w:w="146"/>
        <w:gridCol w:w="146"/>
        <w:gridCol w:w="154"/>
        <w:gridCol w:w="369"/>
        <w:gridCol w:w="146"/>
        <w:gridCol w:w="146"/>
        <w:gridCol w:w="155"/>
        <w:gridCol w:w="355"/>
        <w:gridCol w:w="146"/>
        <w:gridCol w:w="146"/>
        <w:gridCol w:w="204"/>
        <w:gridCol w:w="469"/>
        <w:gridCol w:w="146"/>
        <w:gridCol w:w="146"/>
        <w:gridCol w:w="152"/>
        <w:gridCol w:w="348"/>
        <w:gridCol w:w="146"/>
        <w:gridCol w:w="146"/>
        <w:gridCol w:w="231"/>
        <w:gridCol w:w="530"/>
        <w:gridCol w:w="146"/>
        <w:gridCol w:w="146"/>
        <w:gridCol w:w="152"/>
        <w:gridCol w:w="349"/>
        <w:gridCol w:w="146"/>
        <w:gridCol w:w="146"/>
        <w:gridCol w:w="151"/>
        <w:gridCol w:w="346"/>
        <w:gridCol w:w="201"/>
      </w:tblGrid>
      <w:tr>
        <w:trPr/>
        <w:tc>
          <w:tcPr>
            <w:tcW w:w="6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6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3"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6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0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3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3"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902"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9"/>
              </w:rPr>
            </w:pPr>
            <w:r>
              <w:rPr>
                <w:rFonts w:ascii="Times New Roman;serif" w:hAnsi="Times New Roman;serif"/>
                <w:b/>
                <w:sz w:val="9"/>
              </w:rPr>
              <w:t>Year Ended March 31, 2023</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9"/>
              </w:rPr>
            </w:pPr>
            <w:r>
              <w:rPr>
                <w:rFonts w:ascii="Times New Roman;serif" w:hAnsi="Times New Roman;serif"/>
                <w:b/>
                <w:sz w:val="9"/>
              </w:rPr>
              <w:t xml:space="preserve">Portfolio Company </w:t>
            </w:r>
            <w:r>
              <w:rPr>
                <w:rFonts w:ascii="Times New Roman;serif" w:hAnsi="Times New Roman;serif"/>
                <w:b/>
                <w:sz w:val="6"/>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9"/>
              </w:rPr>
            </w:pPr>
            <w:r>
              <w:rPr>
                <w:rFonts w:ascii="Times New Roman;serif" w:hAnsi="Times New Roman;serif"/>
                <w:b/>
                <w:sz w:val="9"/>
              </w:rPr>
              <w:t>March 31, 2023 Principal Amount - Debt Investments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9"/>
              </w:rPr>
            </w:pPr>
            <w:r>
              <w:rPr>
                <w:rFonts w:ascii="Times New Roman;serif" w:hAnsi="Times New Roman;serif"/>
                <w:b/>
                <w:sz w:val="9"/>
              </w:rPr>
              <w:t>December 31, 2022</w:t>
              <w:b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0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9"/>
              </w:rPr>
            </w:pPr>
            <w:r>
              <w:rPr>
                <w:rFonts w:ascii="Times New Roman;serif" w:hAnsi="Times New Roman;serif"/>
                <w:b/>
                <w:sz w:val="9"/>
              </w:rPr>
              <w:t xml:space="preserve">Gross Additions </w:t>
            </w:r>
            <w:r>
              <w:rPr>
                <w:rFonts w:ascii="Times New Roman;serif" w:hAnsi="Times New Roman;serif"/>
                <w:b/>
                <w:sz w:val="6"/>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3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9"/>
              </w:rPr>
            </w:pPr>
            <w:r>
              <w:rPr>
                <w:rFonts w:ascii="Times New Roman;serif" w:hAnsi="Times New Roman;serif"/>
                <w:b/>
                <w:sz w:val="9"/>
              </w:rPr>
              <w:t xml:space="preserve">Gross Reductions </w:t>
            </w:r>
            <w:r>
              <w:rPr>
                <w:rFonts w:ascii="Times New Roman;serif" w:hAnsi="Times New Roman;serif"/>
                <w:b/>
                <w:sz w:val="6"/>
              </w:rPr>
              <w:t>(3)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9"/>
              </w:rPr>
            </w:pPr>
            <w:r>
              <w:rPr>
                <w:rFonts w:ascii="Times New Roman;serif" w:hAnsi="Times New Roman;serif"/>
                <w:b/>
                <w:sz w:val="9"/>
              </w:rPr>
              <w:t>March 31, 2023 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9"/>
              </w:rPr>
            </w:pPr>
            <w:r>
              <w:rPr>
                <w:rFonts w:ascii="Times New Roman;serif" w:hAnsi="Times New Roman;serif"/>
                <w:b/>
                <w:sz w:val="9"/>
              </w:rPr>
              <w:t xml:space="preserve">Net Realized Gains (Losses) </w:t>
            </w:r>
            <w:r>
              <w:rPr>
                <w:rFonts w:ascii="Times New Roman;serif" w:hAnsi="Times New Roman;serif"/>
                <w:b/>
                <w:sz w:val="6"/>
              </w:rPr>
              <w:t>(4)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3"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9"/>
              </w:rPr>
            </w:pPr>
            <w:r>
              <w:rPr>
                <w:rFonts w:ascii="Times New Roman;serif" w:hAnsi="Times New Roman;serif"/>
                <w:b/>
                <w:sz w:val="9"/>
              </w:rPr>
              <w:t>Net Change in Unrealized Appreciation (Depreciation)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9"/>
              </w:rPr>
            </w:pPr>
            <w:r>
              <w:rPr>
                <w:rFonts w:ascii="Times New Roman;serif" w:hAnsi="Times New Roman;serif"/>
                <w:b/>
                <w:sz w:val="9"/>
              </w:rPr>
              <w:t>Interest Income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9"/>
              </w:rPr>
            </w:pPr>
            <w:r>
              <w:rPr>
                <w:rFonts w:ascii="Times New Roman;serif" w:hAnsi="Times New Roman;serif"/>
                <w:b/>
                <w:sz w:val="9"/>
              </w:rPr>
              <w:t>Payment-in-kind Interest Income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0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9"/>
              </w:rPr>
            </w:pPr>
            <w:r>
              <w:rPr>
                <w:rFonts w:ascii="Times New Roman;serif" w:hAnsi="Times New Roman;serif"/>
                <w:b/>
                <w:sz w:val="9"/>
              </w:rPr>
              <w:t>Dividend Income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9"/>
              </w:rPr>
            </w:pPr>
            <w:r>
              <w:rPr>
                <w:rFonts w:ascii="Times New Roman;serif" w:hAnsi="Times New Roman;serif"/>
                <w:b/>
                <w:sz w:val="9"/>
              </w:rPr>
              <w:t>Fee Income</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51" w:type="dxa"/>
            <w:tcBorders/>
            <w:shd w:fill="auto" w:val="clear"/>
            <w:vAlign w:val="center"/>
          </w:tcPr>
          <w:p>
            <w:pPr>
              <w:pStyle w:val="TableContents"/>
              <w:spacing w:before="0" w:after="0"/>
              <w:ind w:left="0" w:right="0" w:hanging="0"/>
              <w:jc w:val="left"/>
              <w:rPr>
                <w:rFonts w:ascii="Times New Roman;serif" w:hAnsi="Times New Roman;serif"/>
                <w:b/>
                <w:sz w:val="9"/>
              </w:rPr>
            </w:pPr>
            <w:r>
              <w:rPr>
                <w:rFonts w:ascii="Times New Roman;serif" w:hAnsi="Times New Roman;serif"/>
                <w:b/>
                <w:sz w:val="9"/>
              </w:rPr>
              <w:t>Control Investments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3"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6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0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3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3"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1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3"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0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0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7" w:type="dxa"/>
            <w:gridSpan w:val="2"/>
            <w:tcBorders/>
            <w:shd w:fill="auto" w:val="clear"/>
            <w:vAlign w:val="center"/>
          </w:tcPr>
          <w:p>
            <w:pPr>
              <w:pStyle w:val="TableContents"/>
              <w:spacing w:before="0" w:after="0"/>
              <w:ind w:left="0" w:right="0" w:hanging="0"/>
              <w:jc w:val="center"/>
              <w:rPr/>
            </w:pPr>
            <w:r>
              <w:rPr/>
              <w:t> </w:t>
            </w:r>
          </w:p>
        </w:tc>
        <w:tc>
          <w:tcPr>
            <w:tcW w:w="201" w:type="dxa"/>
            <w:tcBorders/>
            <w:shd w:fill="auto" w:val="clear"/>
            <w:vAlign w:val="center"/>
          </w:tcPr>
          <w:p>
            <w:pPr>
              <w:pStyle w:val="TableContents"/>
              <w:spacing w:before="0" w:after="0"/>
              <w:ind w:left="0" w:right="0" w:hanging="0"/>
              <w:jc w:val="center"/>
              <w:rPr/>
            </w:pPr>
            <w:r>
              <w:rPr/>
              <w:t> </w:t>
            </w:r>
          </w:p>
        </w:tc>
      </w:tr>
      <w:tr>
        <w:trPr/>
        <w:tc>
          <w:tcPr>
            <w:tcW w:w="651"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EBL, LLC (EbLens)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412" w:type="dxa"/>
            <w:tcBorders/>
            <w:shd w:fill="auto" w:val="cle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9,350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40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4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0"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6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5"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4"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46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4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1"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5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4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46" w:type="dxa"/>
            <w:tcBorders/>
            <w:shd w:fill="auto" w:val="clear"/>
            <w:vAlign w:val="center"/>
          </w:tcPr>
          <w:p>
            <w:pPr>
              <w:pStyle w:val="TableContents"/>
              <w:spacing w:before="0" w:after="0"/>
              <w:ind w:left="0" w:right="0" w:hanging="0"/>
              <w:jc w:val="right"/>
              <w:rPr/>
            </w:pPr>
            <w:r>
              <w:rPr/>
              <w:t>—</w:t>
            </w:r>
          </w:p>
        </w:tc>
        <w:tc>
          <w:tcPr>
            <w:tcW w:w="201" w:type="dxa"/>
            <w:tcBorders/>
            <w:shd w:fill="auto" w:val="clear"/>
            <w:vAlign w:val="center"/>
          </w:tcPr>
          <w:p>
            <w:pPr>
              <w:pStyle w:val="TableContents"/>
              <w:spacing w:before="0" w:after="0"/>
              <w:ind w:left="0" w:right="0" w:hanging="0"/>
              <w:jc w:val="left"/>
              <w:rPr/>
            </w:pPr>
            <w:r>
              <w:rPr/>
              <w:t> </w:t>
            </w:r>
          </w:p>
        </w:tc>
      </w:tr>
      <w:tr>
        <w:trPr/>
        <w:tc>
          <w:tcPr>
            <w:tcW w:w="651"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US GreenFiber, LLC</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5,226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51" w:type="dxa"/>
            <w:tcBorders/>
            <w:shd w:fill="auto" w:val="clear"/>
            <w:vAlign w:val="center"/>
          </w:tcPr>
          <w:p>
            <w:pPr>
              <w:pStyle w:val="TableContents"/>
              <w:spacing w:before="0" w:after="0"/>
              <w:ind w:left="0" w:right="0" w:hanging="0"/>
              <w:jc w:val="left"/>
              <w:rPr>
                <w:rFonts w:ascii="Times New Roman;serif" w:hAnsi="Times New Roman;serif"/>
                <w:b/>
                <w:sz w:val="9"/>
              </w:rPr>
            </w:pPr>
            <w:r>
              <w:rPr>
                <w:rFonts w:ascii="Times New Roman;serif" w:hAnsi="Times New Roman;serif"/>
                <w:b/>
                <w:sz w:val="9"/>
              </w:rPr>
              <w:t>Total Control Investments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4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14,576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4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5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51" w:type="dxa"/>
            <w:tcBorders/>
            <w:shd w:fill="auto" w:val="clear"/>
            <w:vAlign w:val="center"/>
          </w:tcPr>
          <w:p>
            <w:pPr>
              <w:pStyle w:val="TableContents"/>
              <w:spacing w:before="0" w:after="0"/>
              <w:ind w:left="0" w:right="0" w:hanging="0"/>
              <w:jc w:val="left"/>
              <w:rPr>
                <w:rFonts w:ascii="Times New Roman;serif" w:hAnsi="Times New Roman;serif"/>
                <w:b/>
                <w:sz w:val="9"/>
              </w:rPr>
            </w:pPr>
            <w:r>
              <w:rPr>
                <w:rFonts w:ascii="Times New Roman;serif" w:hAnsi="Times New Roman;serif"/>
                <w:b/>
                <w:sz w:val="9"/>
              </w:rPr>
              <w:t>Affiliate Investments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3"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6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0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3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3"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1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73"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00"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0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97" w:type="dxa"/>
            <w:gridSpan w:val="2"/>
            <w:tcBorders/>
            <w:shd w:fill="auto" w:val="clear"/>
            <w:vAlign w:val="center"/>
          </w:tcPr>
          <w:p>
            <w:pPr>
              <w:pStyle w:val="TableContents"/>
              <w:spacing w:before="0" w:after="0"/>
              <w:ind w:left="0" w:right="0" w:hanging="0"/>
              <w:jc w:val="center"/>
              <w:rPr/>
            </w:pPr>
            <w:r>
              <w:rPr/>
              <w:t> </w:t>
            </w:r>
          </w:p>
        </w:tc>
        <w:tc>
          <w:tcPr>
            <w:tcW w:w="201" w:type="dxa"/>
            <w:tcBorders/>
            <w:shd w:fill="auto" w:val="clear"/>
            <w:vAlign w:val="center"/>
          </w:tcPr>
          <w:p>
            <w:pPr>
              <w:pStyle w:val="TableContents"/>
              <w:spacing w:before="0" w:after="0"/>
              <w:ind w:left="0" w:right="0" w:hanging="0"/>
              <w:jc w:val="center"/>
              <w:rPr/>
            </w:pPr>
            <w:r>
              <w:rPr/>
              <w:t> </w:t>
            </w:r>
          </w:p>
        </w:tc>
      </w:tr>
      <w:tr>
        <w:trPr/>
        <w:tc>
          <w:tcPr>
            <w:tcW w:w="651"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Applegate Greenfiber Intermediate Inc. (fka US GreenFiber, LLC)</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412" w:type="dxa"/>
            <w:tcBorders/>
            <w:shd w:fill="auto" w:val="cle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9,602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409" w:type="dxa"/>
            <w:tcBorders/>
            <w:shd w:fill="auto" w:val="cle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23,168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49" w:type="dxa"/>
            <w:tcBorders/>
            <w:shd w:fill="auto" w:val="cle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377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0"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69" w:type="dxa"/>
            <w:tcBorders/>
            <w:shd w:fill="auto" w:val="cle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23,545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5"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378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48" w:type="dxa"/>
            <w:tcBorders/>
            <w:shd w:fill="auto" w:val="cle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240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1"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5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4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46" w:type="dxa"/>
            <w:tcBorders/>
            <w:shd w:fill="auto" w:val="clear"/>
            <w:vAlign w:val="center"/>
          </w:tcPr>
          <w:p>
            <w:pPr>
              <w:pStyle w:val="TableContents"/>
              <w:spacing w:before="0" w:after="0"/>
              <w:ind w:left="0" w:right="0" w:hanging="0"/>
              <w:jc w:val="right"/>
              <w:rPr/>
            </w:pPr>
            <w:r>
              <w:rPr/>
              <w:t>—</w:t>
            </w:r>
          </w:p>
        </w:tc>
        <w:tc>
          <w:tcPr>
            <w:tcW w:w="201" w:type="dxa"/>
            <w:tcBorders/>
            <w:shd w:fill="auto" w:val="clear"/>
            <w:vAlign w:val="center"/>
          </w:tcPr>
          <w:p>
            <w:pPr>
              <w:pStyle w:val="TableContents"/>
              <w:spacing w:before="0" w:after="0"/>
              <w:ind w:left="0" w:right="0" w:hanging="0"/>
              <w:jc w:val="left"/>
              <w:rPr/>
            </w:pPr>
            <w:r>
              <w:rPr/>
              <w:t> </w:t>
            </w:r>
          </w:p>
        </w:tc>
      </w:tr>
      <w:tr>
        <w:trPr/>
        <w:tc>
          <w:tcPr>
            <w:tcW w:w="651"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Medsurant Holdings, LLC</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1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2,540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407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71" w:type="dxa"/>
            <w:tcBorders/>
            <w:shd w:fill="auto" w:val="cle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(73</w:t>
            </w:r>
          </w:p>
        </w:tc>
        <w:tc>
          <w:tcPr>
            <w:tcW w:w="146"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146"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369" w:type="dxa"/>
            <w:tcBorders/>
            <w:shd w:fill="auto" w:val="cle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2,874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407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348"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5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201" w:type="dxa"/>
            <w:tcBorders/>
            <w:shd w:fill="auto" w:val="clear"/>
            <w:vAlign w:val="center"/>
          </w:tcPr>
          <w:p>
            <w:pPr>
              <w:pStyle w:val="TableContents"/>
              <w:spacing w:before="0" w:after="0"/>
              <w:ind w:left="0" w:right="0" w:hanging="0"/>
              <w:jc w:val="left"/>
              <w:rPr/>
            </w:pPr>
            <w:r>
              <w:rPr/>
              <w:t> </w:t>
            </w:r>
          </w:p>
        </w:tc>
      </w:tr>
      <w:tr>
        <w:trPr/>
        <w:tc>
          <w:tcPr>
            <w:tcW w:w="651"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Pfanstiehl, Inc.</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12" w:type="dxa"/>
            <w:tcBorders/>
            <w:shd w:fill="auto" w:val="cle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10,000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51,992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71" w:type="dxa"/>
            <w:tcBorders/>
            <w:shd w:fill="auto" w:val="cle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(1,019</w:t>
            </w:r>
          </w:p>
        </w:tc>
        <w:tc>
          <w:tcPr>
            <w:tcW w:w="146"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146"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369" w:type="dxa"/>
            <w:tcBorders/>
            <w:shd w:fill="auto" w:val="cle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50,975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(1,021</w:t>
            </w:r>
          </w:p>
        </w:tc>
        <w:tc>
          <w:tcPr>
            <w:tcW w:w="146"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348" w:type="dxa"/>
            <w:tcBorders/>
            <w:shd w:fill="auto" w:val="cle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249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5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348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201" w:type="dxa"/>
            <w:tcBorders/>
            <w:shd w:fill="auto" w:val="clear"/>
            <w:vAlign w:val="center"/>
          </w:tcPr>
          <w:p>
            <w:pPr>
              <w:pStyle w:val="TableContents"/>
              <w:spacing w:before="0" w:after="0"/>
              <w:ind w:left="0" w:right="0" w:hanging="0"/>
              <w:jc w:val="left"/>
              <w:rPr/>
            </w:pPr>
            <w:r>
              <w:rPr/>
              <w:t> </w:t>
            </w:r>
          </w:p>
        </w:tc>
      </w:tr>
      <w:tr>
        <w:trPr/>
        <w:tc>
          <w:tcPr>
            <w:tcW w:w="651"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Spectra A&amp;D Acquisition, Inc. (fka FDS Avionics Corp.)</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shd w:fill="auto" w:val="clear"/>
            <w:vAlign w:val="center"/>
          </w:tcPr>
          <w:p>
            <w:pPr>
              <w:pStyle w:val="TableContents"/>
              <w:spacing w:before="0" w:after="0"/>
              <w:ind w:left="0" w:right="0" w:hanging="0"/>
              <w:jc w:val="left"/>
              <w:rPr/>
            </w:pPr>
            <w:r>
              <w:rPr/>
              <w:t> </w:t>
            </w:r>
          </w:p>
        </w:tc>
        <w:tc>
          <w:tcPr>
            <w:tcW w:w="412" w:type="dxa"/>
            <w:tcBorders/>
            <w:shd w:fill="auto" w:val="cle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15,000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409" w:type="dxa"/>
            <w:tcBorders/>
            <w:shd w:fill="auto" w:val="cle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19,118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0" w:type="dxa"/>
            <w:tcBorders/>
            <w:shd w:fill="auto" w:val="clear"/>
            <w:vAlign w:val="center"/>
          </w:tcPr>
          <w:p>
            <w:pPr>
              <w:pStyle w:val="TableContents"/>
              <w:spacing w:before="0" w:after="0"/>
              <w:ind w:left="0" w:right="0" w:hanging="0"/>
              <w:jc w:val="left"/>
              <w:rPr/>
            </w:pPr>
            <w:r>
              <w:rPr/>
              <w:t> </w:t>
            </w:r>
          </w:p>
        </w:tc>
        <w:tc>
          <w:tcPr>
            <w:tcW w:w="371" w:type="dxa"/>
            <w:tcBorders/>
            <w:shd w:fill="auto" w:val="cle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(2,978</w:t>
            </w:r>
          </w:p>
        </w:tc>
        <w:tc>
          <w:tcPr>
            <w:tcW w:w="146"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146" w:type="dxa"/>
            <w:tcBorders/>
            <w:shd w:fill="auto" w:val="cle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369" w:type="dxa"/>
            <w:tcBorders/>
            <w:shd w:fill="auto" w:val="cle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16,146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5" w:type="dxa"/>
            <w:tcBorders/>
            <w:shd w:fill="auto" w:val="clear"/>
            <w:vAlign w:val="center"/>
          </w:tcPr>
          <w:p>
            <w:pPr>
              <w:pStyle w:val="TableContents"/>
              <w:spacing w:before="0" w:after="0"/>
              <w:ind w:left="0" w:right="0" w:hanging="0"/>
              <w:jc w:val="left"/>
              <w:rPr/>
            </w:pPr>
            <w:r>
              <w:rPr/>
              <w:t> </w:t>
            </w:r>
          </w:p>
        </w:tc>
        <w:tc>
          <w:tcPr>
            <w:tcW w:w="3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4"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(2,978</w:t>
            </w:r>
          </w:p>
        </w:tc>
        <w:tc>
          <w:tcPr>
            <w:tcW w:w="146"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348" w:type="dxa"/>
            <w:tcBorders/>
            <w:shd w:fill="auto" w:val="cle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561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1" w:type="dxa"/>
            <w:tcBorders/>
            <w:shd w:fill="auto" w:val="clear"/>
            <w:vAlign w:val="center"/>
          </w:tcPr>
          <w:p>
            <w:pPr>
              <w:pStyle w:val="TableContents"/>
              <w:spacing w:before="0" w:after="0"/>
              <w:ind w:left="0" w:right="0" w:hanging="0"/>
              <w:jc w:val="left"/>
              <w:rPr/>
            </w:pPr>
            <w:r>
              <w:rPr/>
              <w:t> </w:t>
            </w:r>
          </w:p>
        </w:tc>
        <w:tc>
          <w:tcPr>
            <w:tcW w:w="530"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shd w:fill="auto" w:val="clear"/>
            <w:vAlign w:val="center"/>
          </w:tcPr>
          <w:p>
            <w:pPr>
              <w:pStyle w:val="TableContents"/>
              <w:spacing w:before="0" w:after="0"/>
              <w:ind w:left="0" w:right="0" w:hanging="0"/>
              <w:jc w:val="left"/>
              <w:rPr/>
            </w:pPr>
            <w:r>
              <w:rPr/>
              <w:t> </w:t>
            </w:r>
          </w:p>
        </w:tc>
        <w:tc>
          <w:tcPr>
            <w:tcW w:w="34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5</w:t>
            </w:r>
          </w:p>
        </w:tc>
        <w:tc>
          <w:tcPr>
            <w:tcW w:w="201" w:type="dxa"/>
            <w:tcBorders/>
            <w:shd w:fill="auto" w:val="clear"/>
            <w:vAlign w:val="center"/>
          </w:tcPr>
          <w:p>
            <w:pPr>
              <w:pStyle w:val="TableContents"/>
              <w:spacing w:before="0" w:after="0"/>
              <w:ind w:left="0" w:right="0" w:hanging="0"/>
              <w:jc w:val="left"/>
              <w:rPr/>
            </w:pPr>
            <w:r>
              <w:rPr/>
              <w:t> </w:t>
            </w:r>
          </w:p>
        </w:tc>
      </w:tr>
      <w:tr>
        <w:trPr/>
        <w:tc>
          <w:tcPr>
            <w:tcW w:w="651" w:type="dxa"/>
            <w:tcBorders/>
            <w:shd w:fill="auto" w:val="cle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Steward Holding LLC (dba Steward Advanced Materials)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0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4,772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725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5,497</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725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51" w:type="dxa"/>
            <w:tcBorders/>
            <w:shd w:fill="auto" w:val="clear"/>
            <w:vAlign w:val="center"/>
          </w:tcPr>
          <w:p>
            <w:pPr>
              <w:pStyle w:val="TableContents"/>
              <w:spacing w:before="0" w:after="0"/>
              <w:ind w:left="0" w:right="0" w:hanging="0"/>
              <w:jc w:val="left"/>
              <w:rPr>
                <w:rFonts w:ascii="Times New Roman;serif" w:hAnsi="Times New Roman;serif"/>
                <w:b/>
                <w:sz w:val="9"/>
              </w:rPr>
            </w:pPr>
            <w:r>
              <w:rPr>
                <w:rFonts w:ascii="Times New Roman;serif" w:hAnsi="Times New Roman;serif"/>
                <w:b/>
                <w:sz w:val="9"/>
              </w:rPr>
              <w:t>Total Affiliate Investments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41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34,602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40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101,590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1,517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(4,070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146" w:type="dxa"/>
            <w:tcBorders/>
            <w:shd w:fill="auto" w:val="clear"/>
            <w:vAlign w:val="center"/>
          </w:tcPr>
          <w:p>
            <w:pPr>
              <w:pStyle w:val="TableContents"/>
              <w:spacing w:before="0" w:after="0"/>
              <w:ind w:left="0" w:right="0" w:hanging="0"/>
              <w:jc w:val="left"/>
              <w:rPr/>
            </w:pPr>
            <w:r>
              <w:rPr/>
              <w:t> </w:t>
            </w:r>
          </w:p>
        </w:tc>
        <w:tc>
          <w:tcPr>
            <w:tcW w:w="1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99,037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(2,489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4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1,050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53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348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9"/>
              </w:rPr>
            </w:pPr>
            <w:r>
              <w:rPr>
                <w:rFonts w:ascii="Times New Roman;serif" w:hAnsi="Times New Roman;serif"/>
                <w:b w:val="false"/>
                <w:sz w:val="9"/>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9"/>
              </w:rPr>
            </w:pPr>
            <w:r>
              <w:rPr>
                <w:rFonts w:ascii="Times New Roman;serif" w:hAnsi="Times New Roman;serif"/>
                <w:b w:val="false"/>
                <w:sz w:val="9"/>
              </w:rPr>
              <w:t>5</w:t>
            </w:r>
          </w:p>
        </w:tc>
        <w:tc>
          <w:tcPr>
            <w:tcW w:w="2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300"/>
        <w:gridCol w:w="9905"/>
      </w:tblGrid>
      <w:tr>
        <w:trPr/>
        <w:tc>
          <w:tcPr>
            <w:tcW w:w="300" w:type="dxa"/>
            <w:tcBorders/>
            <w:shd w:fill="auto" w:val="clear"/>
            <w:vAlign w:val="center"/>
          </w:tcPr>
          <w:p>
            <w:pPr>
              <w:pStyle w:val="TableContents"/>
              <w:spacing w:before="0" w:after="283"/>
              <w:rPr>
                <w:sz w:val="4"/>
                <w:szCs w:val="4"/>
              </w:rPr>
            </w:pPr>
            <w:r>
              <w:rPr>
                <w:sz w:val="4"/>
                <w:szCs w:val="4"/>
              </w:rPr>
            </w:r>
          </w:p>
        </w:tc>
        <w:tc>
          <w:tcPr>
            <w:tcW w:w="9905" w:type="dxa"/>
            <w:tcBorders/>
            <w:shd w:fill="auto" w:val="clear"/>
            <w:vAlign w:val="center"/>
          </w:tcPr>
          <w:p>
            <w:pPr>
              <w:pStyle w:val="TableContents"/>
              <w:spacing w:before="0" w:after="283"/>
              <w:rPr>
                <w:sz w:val="4"/>
                <w:szCs w:val="4"/>
              </w:rPr>
            </w:pPr>
            <w:r>
              <w:rPr>
                <w:sz w:val="4"/>
                <w:szCs w:val="4"/>
              </w:rPr>
            </w:r>
          </w:p>
        </w:tc>
      </w:tr>
      <w:tr>
        <w:trPr/>
        <w:tc>
          <w:tcPr>
            <w:tcW w:w="30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(1)</w:t>
            </w:r>
          </w:p>
        </w:tc>
        <w:tc>
          <w:tcPr>
            <w:tcW w:w="990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The investment type, industry, ownership detail for equity investments, interest rate and maturity date for debt investments, and if the investment is income producing is disclosed in the consolidated schedule of investments.</w:t>
            </w:r>
          </w:p>
        </w:tc>
      </w:tr>
      <w:tr>
        <w:trPr/>
        <w:tc>
          <w:tcPr>
            <w:tcW w:w="30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w:t>
            </w:r>
          </w:p>
        </w:tc>
        <w:tc>
          <w:tcPr>
            <w:tcW w:w="990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tc>
      </w:tr>
      <w:tr>
        <w:trPr/>
        <w:tc>
          <w:tcPr>
            <w:tcW w:w="30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990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tc>
      </w:tr>
      <w:tr>
        <w:trPr/>
        <w:tc>
          <w:tcPr>
            <w:tcW w:w="30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(4)</w:t>
            </w:r>
            <w:r>
              <w:rPr>
                <w:rFonts w:ascii="Times New Roman" w:hAnsi="Times New Roman"/>
                <w:sz w:val="16"/>
              </w:rPr>
              <w:t xml:space="preserve"> </w:t>
            </w:r>
          </w:p>
        </w:tc>
        <w:tc>
          <w:tcPr>
            <w:tcW w:w="990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spacing w:before="0" w:after="180"/>
        <w:jc w:val="both"/>
        <w:rPr>
          <w:rFonts w:ascii="Times New Roman;serif" w:hAnsi="Times New Roman;serif"/>
          <w:b w:val="false"/>
          <w:sz w:val="20"/>
        </w:rPr>
      </w:pPr>
      <w:r>
        <w:rPr>
          <w:rFonts w:ascii="Times New Roman;serif" w:hAnsi="Times New Roman;serif"/>
          <w:b w:val="false"/>
          <w:sz w:val="20"/>
        </w:rPr>
        <w:t>The table below represents the fair value of control and affiliate investments as of December 31, 2021 and any additions and reductions made to such investments during the year ended December 31, 2022, including the total investment income earned on such investments during the period.</w:t>
      </w:r>
    </w:p>
    <w:tbl>
      <w:tblPr>
        <w:tblW w:w="11177" w:type="dxa"/>
        <w:jc w:val="left"/>
        <w:tblInd w:w="0" w:type="dxa"/>
        <w:tblCellMar>
          <w:top w:w="28" w:type="dxa"/>
          <w:left w:w="28" w:type="dxa"/>
          <w:bottom w:w="28" w:type="dxa"/>
          <w:right w:w="28" w:type="dxa"/>
        </w:tblCellMar>
      </w:tblPr>
      <w:tblGrid>
        <w:gridCol w:w="721"/>
        <w:gridCol w:w="146"/>
        <w:gridCol w:w="146"/>
        <w:gridCol w:w="182"/>
        <w:gridCol w:w="479"/>
        <w:gridCol w:w="146"/>
        <w:gridCol w:w="146"/>
        <w:gridCol w:w="166"/>
        <w:gridCol w:w="496"/>
        <w:gridCol w:w="146"/>
        <w:gridCol w:w="146"/>
        <w:gridCol w:w="166"/>
        <w:gridCol w:w="436"/>
        <w:gridCol w:w="146"/>
        <w:gridCol w:w="146"/>
        <w:gridCol w:w="166"/>
        <w:gridCol w:w="526"/>
        <w:gridCol w:w="146"/>
        <w:gridCol w:w="146"/>
        <w:gridCol w:w="166"/>
        <w:gridCol w:w="496"/>
        <w:gridCol w:w="146"/>
        <w:gridCol w:w="146"/>
        <w:gridCol w:w="166"/>
        <w:gridCol w:w="436"/>
        <w:gridCol w:w="146"/>
        <w:gridCol w:w="146"/>
        <w:gridCol w:w="189"/>
        <w:gridCol w:w="532"/>
        <w:gridCol w:w="146"/>
        <w:gridCol w:w="146"/>
        <w:gridCol w:w="166"/>
        <w:gridCol w:w="376"/>
        <w:gridCol w:w="146"/>
        <w:gridCol w:w="146"/>
        <w:gridCol w:w="282"/>
        <w:gridCol w:w="589"/>
        <w:gridCol w:w="146"/>
        <w:gridCol w:w="146"/>
        <w:gridCol w:w="170"/>
        <w:gridCol w:w="356"/>
        <w:gridCol w:w="146"/>
        <w:gridCol w:w="146"/>
        <w:gridCol w:w="166"/>
        <w:gridCol w:w="346"/>
        <w:gridCol w:w="191"/>
      </w:tblGrid>
      <w:tr>
        <w:trPr/>
        <w:tc>
          <w:tcPr>
            <w:tcW w:w="7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58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72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34"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0"/>
              </w:rPr>
            </w:pPr>
            <w:r>
              <w:rPr>
                <w:rFonts w:ascii="Times New Roman;serif" w:hAnsi="Times New Roman;serif"/>
                <w:b/>
                <w:sz w:val="10"/>
              </w:rPr>
              <w:t>Year Ended 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 w:hAnsi="Times New Roman"/>
                <w:sz w:val="10"/>
              </w:rPr>
            </w:pPr>
            <w:r>
              <w:rPr>
                <w:rFonts w:ascii="Times New Roman;serif" w:hAnsi="Times New Roman;serif"/>
                <w:b/>
                <w:sz w:val="10"/>
              </w:rPr>
              <w:t xml:space="preserve">Portfolio Company </w:t>
            </w:r>
            <w:r>
              <w:rPr>
                <w:rFonts w:ascii="Times New Roman;serif" w:hAnsi="Times New Roman;serif"/>
                <w:b/>
                <w:sz w:val="7"/>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0"/>
              </w:rPr>
            </w:pPr>
            <w:r>
              <w:rPr>
                <w:rFonts w:ascii="Times New Roman;serif" w:hAnsi="Times New Roman;serif"/>
                <w:b/>
                <w:sz w:val="10"/>
              </w:rPr>
              <w:t>December 31, 2022 Principal Amount - Debt Investments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0"/>
              </w:rPr>
            </w:pPr>
            <w:r>
              <w:rPr>
                <w:rFonts w:ascii="Times New Roman;serif" w:hAnsi="Times New Roman;serif"/>
                <w:b/>
                <w:sz w:val="10"/>
              </w:rPr>
              <w:t>December 31, 2021</w:t>
              <w:b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0"/>
              </w:rPr>
            </w:pPr>
            <w:r>
              <w:rPr>
                <w:rFonts w:ascii="Times New Roman;serif" w:hAnsi="Times New Roman;serif"/>
                <w:b/>
                <w:sz w:val="10"/>
              </w:rPr>
              <w:t xml:space="preserve">Gross Additions </w:t>
            </w:r>
            <w:r>
              <w:rPr>
                <w:rFonts w:ascii="Times New Roman;serif" w:hAnsi="Times New Roman;serif"/>
                <w:b/>
                <w:sz w:val="7"/>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0"/>
              </w:rPr>
            </w:pPr>
            <w:r>
              <w:rPr>
                <w:rFonts w:ascii="Times New Roman;serif" w:hAnsi="Times New Roman;serif"/>
                <w:b/>
                <w:sz w:val="10"/>
              </w:rPr>
              <w:t xml:space="preserve">Gross Reductions </w:t>
            </w:r>
            <w:r>
              <w:rPr>
                <w:rFonts w:ascii="Times New Roman;serif" w:hAnsi="Times New Roman;serif"/>
                <w:b/>
                <w:sz w:val="7"/>
              </w:rPr>
              <w:t>(3)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0"/>
              </w:rPr>
            </w:pPr>
            <w:r>
              <w:rPr>
                <w:rFonts w:ascii="Times New Roman;serif" w:hAnsi="Times New Roman;serif"/>
                <w:b/>
                <w:sz w:val="10"/>
              </w:rPr>
              <w:t>December 31, 2022 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0"/>
              </w:rPr>
            </w:pPr>
            <w:r>
              <w:rPr>
                <w:rFonts w:ascii="Times New Roman;serif" w:hAnsi="Times New Roman;serif"/>
                <w:b/>
                <w:sz w:val="10"/>
              </w:rPr>
              <w:t xml:space="preserve">Net Realized Gains (Losses) </w:t>
            </w:r>
            <w:r>
              <w:rPr>
                <w:rFonts w:ascii="Times New Roman;serif" w:hAnsi="Times New Roman;serif"/>
                <w:b/>
                <w:sz w:val="7"/>
              </w:rPr>
              <w:t>(4)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0"/>
              </w:rPr>
            </w:pPr>
            <w:r>
              <w:rPr>
                <w:rFonts w:ascii="Times New Roman;serif" w:hAnsi="Times New Roman;serif"/>
                <w:b/>
                <w:sz w:val="10"/>
              </w:rPr>
              <w:t>Net Change in Unrealized Appreciation (Depreciation)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0"/>
              </w:rPr>
            </w:pPr>
            <w:r>
              <w:rPr>
                <w:rFonts w:ascii="Times New Roman;serif" w:hAnsi="Times New Roman;serif"/>
                <w:b/>
                <w:sz w:val="10"/>
              </w:rPr>
              <w:t>Interest Income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0"/>
              </w:rPr>
            </w:pPr>
            <w:r>
              <w:rPr>
                <w:rFonts w:ascii="Times New Roman;serif" w:hAnsi="Times New Roman;serif"/>
                <w:b/>
                <w:sz w:val="10"/>
              </w:rPr>
              <w:t>Payment-in-kind Interest Income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0"/>
              </w:rPr>
            </w:pPr>
            <w:r>
              <w:rPr>
                <w:rFonts w:ascii="Times New Roman;serif" w:hAnsi="Times New Roman;serif"/>
                <w:b/>
                <w:sz w:val="10"/>
              </w:rPr>
              <w:t>Dividend Income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0"/>
              </w:rPr>
            </w:pPr>
            <w:r>
              <w:rPr>
                <w:rFonts w:ascii="Times New Roman;serif" w:hAnsi="Times New Roman;serif"/>
                <w:b/>
                <w:sz w:val="10"/>
              </w:rPr>
              <w:t>Fee Income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721" w:type="dxa"/>
            <w:tcBorders/>
            <w:shd w:fill="auto" w:val="clear"/>
            <w:vAlign w:val="center"/>
          </w:tcPr>
          <w:p>
            <w:pPr>
              <w:pStyle w:val="TableContents"/>
              <w:spacing w:before="0" w:after="0"/>
              <w:ind w:left="0" w:right="0" w:hanging="0"/>
              <w:jc w:val="left"/>
              <w:rPr>
                <w:rFonts w:ascii="Times New Roman;serif" w:hAnsi="Times New Roman;serif"/>
                <w:b/>
                <w:sz w:val="10"/>
              </w:rPr>
            </w:pPr>
            <w:r>
              <w:rPr>
                <w:rFonts w:ascii="Times New Roman;serif" w:hAnsi="Times New Roman;serif"/>
                <w:b/>
                <w:sz w:val="10"/>
              </w:rPr>
              <w:t>Control Investments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7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2"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721" w:type="dxa"/>
            <w:tcBorders/>
            <w:shd w:fill="auto" w:val="clear"/>
            <w:vAlign w:val="center"/>
          </w:tcPr>
          <w:p>
            <w:pPr>
              <w:pStyle w:val="TableContents"/>
              <w:spacing w:before="0" w:after="0"/>
              <w:ind w:left="0" w:right="0" w:hanging="0"/>
              <w:jc w:val="left"/>
              <w:rPr>
                <w:rFonts w:ascii="Times New Roman" w:hAnsi="Times New Roman"/>
                <w:sz w:val="10"/>
              </w:rPr>
            </w:pPr>
            <w:r>
              <w:rPr>
                <w:rFonts w:ascii="Times New Roman;serif" w:hAnsi="Times New Roman;serif"/>
                <w:b w:val="false"/>
                <w:sz w:val="10"/>
              </w:rPr>
              <w:t xml:space="preserve">EBL, LLC (EbLens) </w:t>
            </w:r>
            <w:r>
              <w:rPr>
                <w:rFonts w:ascii="Times New Roman;serif" w:hAnsi="Times New Roman;serif"/>
                <w:b w:val="false"/>
                <w:sz w:val="7"/>
              </w:rPr>
              <w:t>(5)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79"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9,350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19,628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(19,628</w:t>
            </w:r>
          </w:p>
        </w:tc>
        <w:tc>
          <w:tcPr>
            <w:tcW w:w="14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9"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(11,083</w:t>
            </w:r>
          </w:p>
        </w:tc>
        <w:tc>
          <w:tcPr>
            <w:tcW w:w="14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58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0"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5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46"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72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Hilco Plastics Holdings, LLC (dba Hilco Technologies)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353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(353</w:t>
            </w:r>
          </w:p>
        </w:tc>
        <w:tc>
          <w:tcPr>
            <w:tcW w:w="14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(352</w:t>
            </w:r>
          </w:p>
        </w:tc>
        <w:tc>
          <w:tcPr>
            <w:tcW w:w="14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center"/>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2" w:type="dxa"/>
            <w:tcBorders/>
            <w:shd w:fill="auto" w:val="clear"/>
            <w:vAlign w:val="center"/>
          </w:tcPr>
          <w:p>
            <w:pPr>
              <w:pStyle w:val="TableContents"/>
              <w:spacing w:before="0" w:after="0"/>
              <w:ind w:left="0" w:right="0" w:hanging="0"/>
              <w:jc w:val="left"/>
              <w:rPr/>
            </w:pPr>
            <w:r>
              <w:rPr/>
              <w:t> </w:t>
            </w:r>
          </w:p>
        </w:tc>
        <w:tc>
          <w:tcPr>
            <w:tcW w:w="58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72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Mesa Line Services, LLC</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2,151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(2,344</w:t>
            </w:r>
          </w:p>
        </w:tc>
        <w:tc>
          <w:tcPr>
            <w:tcW w:w="14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(2,150</w:t>
            </w:r>
          </w:p>
        </w:tc>
        <w:tc>
          <w:tcPr>
            <w:tcW w:w="14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2" w:type="dxa"/>
            <w:tcBorders/>
            <w:shd w:fill="auto" w:val="clear"/>
            <w:vAlign w:val="center"/>
          </w:tcPr>
          <w:p>
            <w:pPr>
              <w:pStyle w:val="TableContents"/>
              <w:spacing w:before="0" w:after="0"/>
              <w:ind w:left="0" w:right="0" w:hanging="0"/>
              <w:jc w:val="left"/>
              <w:rPr/>
            </w:pPr>
            <w:r>
              <w:rPr/>
              <w:t> </w:t>
            </w:r>
          </w:p>
        </w:tc>
        <w:tc>
          <w:tcPr>
            <w:tcW w:w="58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72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US GreenFiber, LLC</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5,226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1" w:type="dxa"/>
            <w:tcBorders/>
            <w:shd w:fill="auto" w:val="clear"/>
            <w:vAlign w:val="center"/>
          </w:tcPr>
          <w:p>
            <w:pPr>
              <w:pStyle w:val="TableContents"/>
              <w:spacing w:before="0" w:after="0"/>
              <w:ind w:left="0" w:right="0" w:hanging="0"/>
              <w:jc w:val="left"/>
              <w:rPr>
                <w:rFonts w:ascii="Times New Roman;serif" w:hAnsi="Times New Roman;serif"/>
                <w:b/>
                <w:sz w:val="10"/>
              </w:rPr>
            </w:pPr>
            <w:r>
              <w:rPr>
                <w:rFonts w:ascii="Times New Roman;serif" w:hAnsi="Times New Roman;serif"/>
                <w:b/>
                <w:sz w:val="10"/>
              </w:rPr>
              <w:t>Total Control Investments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14,576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2,151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20,174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(22,325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(158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center"/>
              <w:rPr/>
            </w:pPr>
            <w:r>
              <w:rPr/>
              <w:t> </w:t>
            </w:r>
          </w:p>
        </w:tc>
        <w:tc>
          <w:tcPr>
            <w:tcW w:w="1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5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(13,233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5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1" w:type="dxa"/>
            <w:tcBorders/>
            <w:shd w:fill="auto" w:val="clear"/>
            <w:vAlign w:val="center"/>
          </w:tcPr>
          <w:p>
            <w:pPr>
              <w:pStyle w:val="TableContents"/>
              <w:spacing w:before="0" w:after="0"/>
              <w:ind w:left="0" w:right="0" w:hanging="0"/>
              <w:jc w:val="left"/>
              <w:rPr>
                <w:rFonts w:ascii="Times New Roman;serif" w:hAnsi="Times New Roman;serif"/>
                <w:b/>
                <w:sz w:val="10"/>
              </w:rPr>
            </w:pPr>
            <w:r>
              <w:rPr>
                <w:rFonts w:ascii="Times New Roman;serif" w:hAnsi="Times New Roman;serif"/>
                <w:b/>
                <w:sz w:val="10"/>
              </w:rPr>
              <w:t>Affiliate Investments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6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0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4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7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2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2"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72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Applegate Greenfiber Intermediate Inc. (fka US GreenFiber, LLC)</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79"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9,602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22,405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13,566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(12,803</w:t>
            </w:r>
          </w:p>
        </w:tc>
        <w:tc>
          <w:tcPr>
            <w:tcW w:w="14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23,168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763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973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58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0"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5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46"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72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FAR Research Inc.</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(28</w:t>
            </w:r>
          </w:p>
        </w:tc>
        <w:tc>
          <w:tcPr>
            <w:tcW w:w="14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(28</w:t>
            </w:r>
          </w:p>
        </w:tc>
        <w:tc>
          <w:tcPr>
            <w:tcW w:w="14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2" w:type="dxa"/>
            <w:tcBorders/>
            <w:shd w:fill="auto" w:val="clear"/>
            <w:vAlign w:val="center"/>
          </w:tcPr>
          <w:p>
            <w:pPr>
              <w:pStyle w:val="TableContents"/>
              <w:spacing w:before="0" w:after="0"/>
              <w:ind w:left="0" w:right="0" w:hanging="0"/>
              <w:jc w:val="left"/>
              <w:rPr/>
            </w:pPr>
            <w:r>
              <w:rPr/>
              <w:t> </w:t>
            </w:r>
          </w:p>
        </w:tc>
        <w:tc>
          <w:tcPr>
            <w:tcW w:w="58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72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Medsurant Holdings, LLC</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3,662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(1,122</w:t>
            </w:r>
          </w:p>
        </w:tc>
        <w:tc>
          <w:tcPr>
            <w:tcW w:w="14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2,540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(1,122</w:t>
            </w:r>
          </w:p>
        </w:tc>
        <w:tc>
          <w:tcPr>
            <w:tcW w:w="14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2" w:type="dxa"/>
            <w:tcBorders/>
            <w:shd w:fill="auto" w:val="clear"/>
            <w:vAlign w:val="center"/>
          </w:tcPr>
          <w:p>
            <w:pPr>
              <w:pStyle w:val="TableContents"/>
              <w:spacing w:before="0" w:after="0"/>
              <w:ind w:left="0" w:right="0" w:hanging="0"/>
              <w:jc w:val="left"/>
              <w:rPr/>
            </w:pPr>
            <w:r>
              <w:rPr/>
              <w:t> </w:t>
            </w:r>
          </w:p>
        </w:tc>
        <w:tc>
          <w:tcPr>
            <w:tcW w:w="58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72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Mirage Trailers LLC</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10,675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(11,030</w:t>
            </w:r>
          </w:p>
        </w:tc>
        <w:tc>
          <w:tcPr>
            <w:tcW w:w="14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(1,694</w:t>
            </w:r>
          </w:p>
        </w:tc>
        <w:tc>
          <w:tcPr>
            <w:tcW w:w="14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2" w:type="dxa"/>
            <w:tcBorders/>
            <w:shd w:fill="auto" w:val="clear"/>
            <w:vAlign w:val="center"/>
          </w:tcPr>
          <w:p>
            <w:pPr>
              <w:pStyle w:val="TableContents"/>
              <w:spacing w:before="0" w:after="0"/>
              <w:ind w:left="0" w:right="0" w:hanging="0"/>
              <w:jc w:val="left"/>
              <w:rPr/>
            </w:pPr>
            <w:r>
              <w:rPr/>
              <w:t> </w:t>
            </w:r>
          </w:p>
        </w:tc>
        <w:tc>
          <w:tcPr>
            <w:tcW w:w="589"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132</w:t>
            </w:r>
          </w:p>
        </w:tc>
        <w:tc>
          <w:tcPr>
            <w:tcW w:w="191" w:type="dxa"/>
            <w:tcBorders/>
            <w:shd w:fill="auto" w:val="clear"/>
            <w:vAlign w:val="center"/>
          </w:tcPr>
          <w:p>
            <w:pPr>
              <w:pStyle w:val="TableContents"/>
              <w:spacing w:before="0" w:after="0"/>
              <w:ind w:left="0" w:right="0" w:hanging="0"/>
              <w:jc w:val="left"/>
              <w:rPr/>
            </w:pPr>
            <w:r>
              <w:rPr/>
              <w:t> </w:t>
            </w:r>
          </w:p>
        </w:tc>
      </w:tr>
      <w:tr>
        <w:trPr/>
        <w:tc>
          <w:tcPr>
            <w:tcW w:w="72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Pfanstiehl, Inc.</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57,639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34,335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(39,982</w:t>
            </w:r>
          </w:p>
        </w:tc>
        <w:tc>
          <w:tcPr>
            <w:tcW w:w="14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51,992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24,330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(15,432</w:t>
            </w:r>
          </w:p>
        </w:tc>
        <w:tc>
          <w:tcPr>
            <w:tcW w:w="14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2" w:type="dxa"/>
            <w:tcBorders/>
            <w:shd w:fill="auto" w:val="clear"/>
            <w:vAlign w:val="center"/>
          </w:tcPr>
          <w:p>
            <w:pPr>
              <w:pStyle w:val="TableContents"/>
              <w:spacing w:before="0" w:after="0"/>
              <w:ind w:left="0" w:right="0" w:hanging="0"/>
              <w:jc w:val="left"/>
              <w:rPr/>
            </w:pPr>
            <w:r>
              <w:rPr/>
              <w:t> </w:t>
            </w:r>
          </w:p>
        </w:tc>
        <w:tc>
          <w:tcPr>
            <w:tcW w:w="58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150</w:t>
            </w:r>
          </w:p>
        </w:tc>
        <w:tc>
          <w:tcPr>
            <w:tcW w:w="191" w:type="dxa"/>
            <w:tcBorders/>
            <w:shd w:fill="auto" w:val="clear"/>
            <w:vAlign w:val="center"/>
          </w:tcPr>
          <w:p>
            <w:pPr>
              <w:pStyle w:val="TableContents"/>
              <w:spacing w:before="0" w:after="0"/>
              <w:ind w:left="0" w:right="0" w:hanging="0"/>
              <w:jc w:val="left"/>
              <w:rPr/>
            </w:pPr>
            <w:r>
              <w:rPr/>
              <w:t> </w:t>
            </w:r>
          </w:p>
        </w:tc>
      </w:tr>
      <w:tr>
        <w:trPr/>
        <w:tc>
          <w:tcPr>
            <w:tcW w:w="721" w:type="dxa"/>
            <w:tcBorders/>
            <w:shd w:fill="auto" w:val="clear"/>
            <w:vAlign w:val="center"/>
          </w:tcPr>
          <w:p>
            <w:pPr>
              <w:pStyle w:val="TableContents"/>
              <w:spacing w:before="0" w:after="0"/>
              <w:ind w:left="0" w:right="0" w:hanging="0"/>
              <w:jc w:val="left"/>
              <w:rPr>
                <w:rFonts w:ascii="Times New Roman" w:hAnsi="Times New Roman"/>
                <w:sz w:val="10"/>
              </w:rPr>
            </w:pPr>
            <w:r>
              <w:rPr>
                <w:rFonts w:ascii="Times New Roman;serif" w:hAnsi="Times New Roman;serif"/>
                <w:b w:val="false"/>
                <w:sz w:val="10"/>
              </w:rPr>
              <w:t xml:space="preserve">Pinnergy, Ltd. </w:t>
            </w:r>
            <w:r>
              <w:rPr>
                <w:rFonts w:ascii="Times New Roman;serif" w:hAnsi="Times New Roman;serif"/>
                <w:b w:val="false"/>
                <w:sz w:val="7"/>
              </w:rPr>
              <w:t>(6)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21,178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15,300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(36,478</w:t>
            </w:r>
          </w:p>
        </w:tc>
        <w:tc>
          <w:tcPr>
            <w:tcW w:w="14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15,300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(18,177</w:t>
            </w:r>
          </w:p>
        </w:tc>
        <w:tc>
          <w:tcPr>
            <w:tcW w:w="14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2" w:type="dxa"/>
            <w:tcBorders/>
            <w:shd w:fill="auto" w:val="clear"/>
            <w:vAlign w:val="center"/>
          </w:tcPr>
          <w:p>
            <w:pPr>
              <w:pStyle w:val="TableContents"/>
              <w:spacing w:before="0" w:after="0"/>
              <w:ind w:left="0" w:right="0" w:hanging="0"/>
              <w:jc w:val="left"/>
              <w:rPr/>
            </w:pPr>
            <w:r>
              <w:rPr/>
              <w:t> </w:t>
            </w:r>
          </w:p>
        </w:tc>
        <w:tc>
          <w:tcPr>
            <w:tcW w:w="58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656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72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Spectra A&amp;D Acquisition, Inc. (fka FDS Avionics Corp.)</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shd w:fill="auto" w:val="clear"/>
            <w:vAlign w:val="center"/>
          </w:tcPr>
          <w:p>
            <w:pPr>
              <w:pStyle w:val="TableContents"/>
              <w:spacing w:before="0" w:after="0"/>
              <w:ind w:left="0" w:right="0" w:hanging="0"/>
              <w:jc w:val="left"/>
              <w:rPr/>
            </w:pPr>
            <w:r>
              <w:rPr/>
              <w:t> </w:t>
            </w:r>
          </w:p>
        </w:tc>
        <w:tc>
          <w:tcPr>
            <w:tcW w:w="479"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18,359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5,487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52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(4,728</w:t>
            </w:r>
          </w:p>
        </w:tc>
        <w:tc>
          <w:tcPr>
            <w:tcW w:w="14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9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19,118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43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(121</w:t>
            </w:r>
          </w:p>
        </w:tc>
        <w:tc>
          <w:tcPr>
            <w:tcW w:w="14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center"/>
              <w:rPr/>
            </w:pPr>
            <w:r>
              <w:rPr/>
              <w:t> </w:t>
            </w:r>
          </w:p>
        </w:tc>
        <w:tc>
          <w:tcPr>
            <w:tcW w:w="189" w:type="dxa"/>
            <w:tcBorders/>
            <w:shd w:fill="auto" w:val="clear"/>
            <w:vAlign w:val="center"/>
          </w:tcPr>
          <w:p>
            <w:pPr>
              <w:pStyle w:val="TableContents"/>
              <w:spacing w:before="0" w:after="0"/>
              <w:ind w:left="0" w:right="0" w:hanging="0"/>
              <w:jc w:val="left"/>
              <w:rPr/>
            </w:pPr>
            <w:r>
              <w:rPr/>
              <w:t> </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(1,723</w:t>
            </w:r>
          </w:p>
        </w:tc>
        <w:tc>
          <w:tcPr>
            <w:tcW w:w="14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1,822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2" w:type="dxa"/>
            <w:tcBorders/>
            <w:shd w:fill="auto" w:val="clear"/>
            <w:vAlign w:val="center"/>
          </w:tcPr>
          <w:p>
            <w:pPr>
              <w:pStyle w:val="TableContents"/>
              <w:spacing w:before="0" w:after="0"/>
              <w:ind w:left="0" w:right="0" w:hanging="0"/>
              <w:jc w:val="left"/>
              <w:rPr/>
            </w:pPr>
            <w:r>
              <w:rPr/>
              <w:t> </w:t>
            </w:r>
          </w:p>
        </w:tc>
        <w:tc>
          <w:tcPr>
            <w:tcW w:w="58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0"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175</w:t>
            </w:r>
          </w:p>
        </w:tc>
        <w:tc>
          <w:tcPr>
            <w:tcW w:w="191" w:type="dxa"/>
            <w:tcBorders/>
            <w:shd w:fill="auto" w:val="clear"/>
            <w:vAlign w:val="center"/>
          </w:tcPr>
          <w:p>
            <w:pPr>
              <w:pStyle w:val="TableContents"/>
              <w:spacing w:before="0" w:after="0"/>
              <w:ind w:left="0" w:right="0" w:hanging="0"/>
              <w:jc w:val="left"/>
              <w:rPr/>
            </w:pPr>
            <w:r>
              <w:rPr/>
              <w:t> </w:t>
            </w:r>
          </w:p>
        </w:tc>
      </w:tr>
      <w:tr>
        <w:trPr/>
        <w:tc>
          <w:tcPr>
            <w:tcW w:w="721"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Steward Holding LLC (dba Steward Advanced Materials)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7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3,338</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1,434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4,772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1,434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721" w:type="dxa"/>
            <w:tcBorders/>
            <w:shd w:fill="auto" w:val="clear"/>
            <w:vAlign w:val="center"/>
          </w:tcPr>
          <w:p>
            <w:pPr>
              <w:pStyle w:val="TableContents"/>
              <w:spacing w:before="0" w:after="0"/>
              <w:ind w:left="0" w:right="0" w:hanging="0"/>
              <w:jc w:val="left"/>
              <w:rPr>
                <w:rFonts w:ascii="Times New Roman;serif" w:hAnsi="Times New Roman;serif"/>
                <w:b/>
                <w:sz w:val="10"/>
              </w:rPr>
            </w:pPr>
            <w:r>
              <w:rPr>
                <w:rFonts w:ascii="Times New Roman;serif" w:hAnsi="Times New Roman;serif"/>
                <w:b/>
                <w:sz w:val="10"/>
              </w:rPr>
              <w:t>Total Affiliate Investments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7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34,602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137,284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70,477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5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(106,171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101,590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39,833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5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(35,979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3,464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5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5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725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457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287"/>
        <w:gridCol w:w="9918"/>
      </w:tblGrid>
      <w:tr>
        <w:trPr/>
        <w:tc>
          <w:tcPr>
            <w:tcW w:w="287" w:type="dxa"/>
            <w:tcBorders/>
            <w:shd w:fill="auto" w:val="clear"/>
            <w:vAlign w:val="center"/>
          </w:tcPr>
          <w:p>
            <w:pPr>
              <w:pStyle w:val="TableContents"/>
              <w:spacing w:before="0" w:after="283"/>
              <w:rPr>
                <w:sz w:val="4"/>
                <w:szCs w:val="4"/>
              </w:rPr>
            </w:pPr>
            <w:r>
              <w:rPr>
                <w:sz w:val="4"/>
                <w:szCs w:val="4"/>
              </w:rPr>
            </w:r>
          </w:p>
        </w:tc>
        <w:tc>
          <w:tcPr>
            <w:tcW w:w="9918" w:type="dxa"/>
            <w:tcBorders/>
            <w:shd w:fill="auto" w:val="clear"/>
            <w:vAlign w:val="center"/>
          </w:tcPr>
          <w:p>
            <w:pPr>
              <w:pStyle w:val="TableContents"/>
              <w:spacing w:before="0" w:after="283"/>
              <w:rPr>
                <w:sz w:val="4"/>
                <w:szCs w:val="4"/>
              </w:rPr>
            </w:pPr>
            <w:r>
              <w:rPr>
                <w:sz w:val="4"/>
                <w:szCs w:val="4"/>
              </w:rPr>
            </w:r>
          </w:p>
        </w:tc>
      </w:tr>
      <w:tr>
        <w:trPr/>
        <w:tc>
          <w:tcPr>
            <w:tcW w:w="287"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(1)</w:t>
            </w:r>
          </w:p>
        </w:tc>
        <w:tc>
          <w:tcPr>
            <w:tcW w:w="991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The investment type, industry, ownership detail for equity investments, interest rate, maturity date, and if the investment is income producing is disclosed in the consolidated schedule of investments.</w:t>
            </w:r>
          </w:p>
        </w:tc>
      </w:tr>
      <w:tr>
        <w:trPr/>
        <w:tc>
          <w:tcPr>
            <w:tcW w:w="28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w:t>
            </w:r>
          </w:p>
        </w:tc>
        <w:tc>
          <w:tcPr>
            <w:tcW w:w="991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Gross additions include increases in the cost basis of investments resulting from new portfolio investments, follow-on investments, accrued PIK interest and PIK dividend income, accretion of OID and origination fees, and net unrealized appreciation recognized during the period. Gross additions also include transfers of portfolio companies into the control or affiliate classification during the period, as applicable.</w:t>
            </w:r>
          </w:p>
        </w:tc>
      </w:tr>
      <w:tr>
        <w:trPr/>
        <w:tc>
          <w:tcPr>
            <w:tcW w:w="28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991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Gross reductions include decreases in the cost basis of investments resulting from principal repayments or sales and net unrealized (depreciation) recognized during the period. Gross reductions also include transfers of portfolio companies out of the control or affiliate classification during the period, as applicable.</w:t>
            </w:r>
          </w:p>
        </w:tc>
      </w:tr>
      <w:tr>
        <w:trPr/>
        <w:tc>
          <w:tcPr>
            <w:tcW w:w="28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991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The schedule does not reflect realized gains or losses on escrow receivables for investments which were previously exited and were not held during the period presented. Gains and losses on escrow receivables are classified in the consolidated statements of operations according to the control classification at the time the investment was exited. Escrow receivables are presented in prepaid expenses and other assets on the consolidated statements of assets and liabilities.</w:t>
            </w:r>
          </w:p>
        </w:tc>
      </w:tr>
      <w:tr>
        <w:trPr/>
        <w:tc>
          <w:tcPr>
            <w:tcW w:w="28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(5)</w:t>
            </w:r>
          </w:p>
        </w:tc>
        <w:tc>
          <w:tcPr>
            <w:tcW w:w="991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Portfolio company was transferred to Control investments from Non-control/Non-affiliate investments during the year ended December 31, 2022.</w:t>
            </w:r>
          </w:p>
        </w:tc>
      </w:tr>
      <w:tr>
        <w:trPr/>
        <w:tc>
          <w:tcPr>
            <w:tcW w:w="28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(6)</w:t>
            </w:r>
          </w:p>
        </w:tc>
        <w:tc>
          <w:tcPr>
            <w:tcW w:w="991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Portfolio company was transferred to Non-control/Non-affiliate investments from Affiliate investments during the year ended December 31, 2022.</w:t>
            </w:r>
          </w:p>
        </w:tc>
      </w:tr>
    </w:tbl>
    <w:p>
      <w:pPr>
        <w:pStyle w:val="TextBody"/>
        <w:spacing w:before="0" w:after="0"/>
        <w:jc w:val="left"/>
        <w:rPr/>
      </w:pPr>
      <w:r>
        <w:rPr/>
        <w:t> </w:t>
      </w:r>
    </w:p>
    <w:p>
      <w:pPr>
        <w:pStyle w:val="TextBody"/>
        <w:spacing w:before="0" w:after="0"/>
        <w:jc w:val="both"/>
        <w:rPr>
          <w:rFonts w:ascii="Times New Roman;serif" w:hAnsi="Times New Roman;serif"/>
          <w:b/>
          <w:sz w:val="20"/>
        </w:rPr>
      </w:pPr>
      <w:r>
        <w:rPr>
          <w:rFonts w:ascii="Times New Roman;serif" w:hAnsi="Times New Roman;serif"/>
          <w:b/>
          <w:sz w:val="20"/>
        </w:rPr>
        <w:t>Note 4. Fair Value Measurements</w:t>
      </w:r>
    </w:p>
    <w:p>
      <w:pPr>
        <w:pStyle w:val="TextBody"/>
        <w:spacing w:before="180" w:after="0"/>
        <w:jc w:val="both"/>
        <w:rPr>
          <w:rFonts w:ascii="Times New Roman;serif" w:hAnsi="Times New Roman;serif"/>
          <w:b w:val="false"/>
          <w:i/>
          <w:sz w:val="20"/>
        </w:rPr>
      </w:pPr>
      <w:r>
        <w:rPr>
          <w:rFonts w:ascii="Times New Roman;serif" w:hAnsi="Times New Roman;serif"/>
          <w:b w:val="false"/>
          <w:i/>
          <w:sz w:val="20"/>
        </w:rPr>
        <w:t>Investments</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The Board has established and documented processes and methodologies for determining the fair values of portfolio company investments on a recurring basis in accordance with ASC Topic 820 and consistent with the requirements of the 1940 Act. Fair value is the price, determined at the measurement date, that would be received in the sale of an asset or paid to transfer a liability in an orderly transaction between market participants. Where available, fair value is based on observable market prices or parameters, or derived from such prices or parameters. Where observable prices or inputs are not available or reliable, valuation techniques described below are applied. Under ASC Topic 820, portfolio investments recorded at fair value in the consolidated financial statements are classified within the fair value hierarchy based upon the level of judgment associated with the inputs used to measure their value, as defined below:</w:t>
      </w:r>
    </w:p>
    <w:p>
      <w:pPr>
        <w:pStyle w:val="TextBody"/>
        <w:spacing w:before="180" w:after="0"/>
        <w:jc w:val="both"/>
        <w:rPr>
          <w:rFonts w:ascii="Times New Roman" w:hAnsi="Times New Roman"/>
          <w:sz w:val="20"/>
        </w:rPr>
      </w:pPr>
      <w:r>
        <w:rPr>
          <w:rFonts w:ascii="Times New Roman;serif" w:hAnsi="Times New Roman;serif"/>
          <w:b w:val="false"/>
          <w:i/>
          <w:sz w:val="20"/>
        </w:rPr>
        <w:t>Level 1</w:t>
      </w:r>
      <w:r>
        <w:rPr>
          <w:rFonts w:ascii="Times New Roman" w:hAnsi="Times New Roman"/>
          <w:sz w:val="20"/>
        </w:rPr>
        <w:t xml:space="preserve"> — </w:t>
      </w:r>
      <w:r>
        <w:rPr>
          <w:rFonts w:ascii="Times New Roman;serif" w:hAnsi="Times New Roman;serif"/>
          <w:b w:val="false"/>
          <w:sz w:val="20"/>
        </w:rPr>
        <w:t>Inputs are unadjusted, quoted prices in active markets for identical assets as of the measurement date.</w:t>
      </w:r>
    </w:p>
    <w:p>
      <w:pPr>
        <w:pStyle w:val="TextBody"/>
        <w:spacing w:before="180" w:after="0"/>
        <w:jc w:val="both"/>
        <w:rPr>
          <w:rFonts w:ascii="Times New Roman" w:hAnsi="Times New Roman"/>
          <w:sz w:val="20"/>
        </w:rPr>
      </w:pPr>
      <w:r>
        <w:rPr>
          <w:rFonts w:ascii="Times New Roman;serif" w:hAnsi="Times New Roman;serif"/>
          <w:b w:val="false"/>
          <w:i/>
          <w:sz w:val="20"/>
        </w:rPr>
        <w:t>Level 2</w:t>
      </w:r>
      <w:r>
        <w:rPr>
          <w:rFonts w:ascii="Times New Roman" w:hAnsi="Times New Roman"/>
          <w:sz w:val="20"/>
        </w:rPr>
        <w:t xml:space="preserve"> — </w:t>
      </w:r>
      <w:r>
        <w:rPr>
          <w:rFonts w:ascii="Times New Roman;serif" w:hAnsi="Times New Roman;serif"/>
          <w:b w:val="false"/>
          <w:sz w:val="20"/>
        </w:rPr>
        <w:t>Inputs include quoted prices for similar assets in active markets, or that are quoted prices for identical or similar assets in markets that are not active and inputs that are observable, either directly or indirectly, for substantially the full term, if applicable, of the investment.</w:t>
      </w:r>
    </w:p>
    <w:p>
      <w:pPr>
        <w:pStyle w:val="TextBody"/>
        <w:spacing w:before="180" w:after="0"/>
        <w:jc w:val="both"/>
        <w:rPr>
          <w:rFonts w:ascii="Times New Roman" w:hAnsi="Times New Roman"/>
          <w:sz w:val="20"/>
        </w:rPr>
      </w:pPr>
      <w:r>
        <w:rPr>
          <w:rFonts w:ascii="Times New Roman;serif" w:hAnsi="Times New Roman;serif"/>
          <w:b w:val="false"/>
          <w:i/>
          <w:sz w:val="20"/>
        </w:rPr>
        <w:t>Level 3</w:t>
      </w:r>
      <w:r>
        <w:rPr>
          <w:rFonts w:ascii="Times New Roman" w:hAnsi="Times New Roman"/>
          <w:sz w:val="20"/>
        </w:rPr>
        <w:t xml:space="preserve"> — </w:t>
      </w:r>
      <w:r>
        <w:rPr>
          <w:rFonts w:ascii="Times New Roman;serif" w:hAnsi="Times New Roman;serif"/>
          <w:b w:val="false"/>
          <w:sz w:val="20"/>
        </w:rPr>
        <w:t>Inputs include those that are both unobservable and significant to the overall fair value measurement.</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An investment’s categorization within the valuation hierarchy is based upon the lowest level of input that is significant to the fair value measurement. The Company’s investment portfolio is comprised entirely of debt and equity securities of privately held companies for which quoted prices falling within the categories of Level 1 and Level 2 inputs are not available, with the exception of money market funds and one portfolio company, which are valued using Level 1 inputs as of March 31, 2023. Therefore, the Company values such portfolio investments at fair value, as determined in good faith by the Board, using Level 3 inputs, with the exception of money market funds and one portfolio company that was valued using Level 1 inputs as of March 31, 2023. The degree of judgment exercised by the Board in determining fair value is greatest for investments classified as Level 3 inputs. Due to the inherent uncertainty of determining the fair values of investments that do not have readily available market quotations, the Board’s estimate of fair values may differ significantly from the values that would have been used had a ready market for the securities existed, and those differences may be material. In addition, changes in the market environment, portfolio company performance and other events that may occur over the lives of the investments may cause the amounts ultimately realized on these investments to be materially different than the valuations currently assigned.</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With respect to investments for which market quotations are not readily available, the Board undertakes a multi-step valuation process each quarter, as described below:</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quarterly valuation process begins with each portfolio company or investment being initially evaluated and rated by the investment professionals of the Investment Advisor responsible for the portfolio investment;</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preliminary valuation conclusions are then documented and discussed with the investment committee of the Investment Advisor;</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 xml:space="preserve">the Board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the Company may determine that it is not cost-effective, and as a result it is not in the Company’s stockholders’ best interest, to request the independent appraisal of certain portfolio company investments. Such instances include, but are not limited to, situations where the Company determines that the fair value of the portfolio company investment is relatively insignificant to the fair value of the total portfolio. </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the audit committee of the Board reviews the preliminary valuations of the Investment Advisor and of the independent valuation firm(s) and responds and supplements the valuation recommendations to reflect any comments; and</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the Board discusses these valuations and determines the fair value of each investment in our portfolio in good faith, based on the input of the Investment Advisor, the independent valuation firm(s) and the audit committee.</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pStyle w:val="TextBody"/>
        <w:spacing w:before="180" w:after="0"/>
        <w:jc w:val="both"/>
        <w:rPr>
          <w:rFonts w:ascii="Times New Roman" w:hAnsi="Times New Roman"/>
          <w:sz w:val="20"/>
        </w:rPr>
      </w:pPr>
      <w:r>
        <w:rPr>
          <w:rFonts w:ascii="Times New Roman;serif" w:hAnsi="Times New Roman;serif"/>
          <w:b w:val="false"/>
          <w:sz w:val="20"/>
        </w:rPr>
        <w:t>The Board consulted with the independent third-party valuation firm(s) in arriving at our determination of fair value for 16 and 18 of our portfolio company investments representing 27.6%</w:t>
      </w:r>
      <w:r>
        <w:rPr>
          <w:rFonts w:ascii="Times New Roman" w:hAnsi="Times New Roman"/>
          <w:sz w:val="20"/>
        </w:rPr>
        <w:t xml:space="preserve"> </w:t>
      </w:r>
      <w:r>
        <w:rPr>
          <w:rFonts w:ascii="Times New Roman;serif" w:hAnsi="Times New Roman;serif"/>
          <w:b w:val="false"/>
          <w:sz w:val="20"/>
        </w:rPr>
        <w:t>and 21.4%</w:t>
      </w:r>
      <w:r>
        <w:rPr>
          <w:rFonts w:ascii="Times New Roman" w:hAnsi="Times New Roman"/>
          <w:sz w:val="20"/>
        </w:rPr>
        <w:t xml:space="preserve"> </w:t>
      </w:r>
      <w:r>
        <w:rPr>
          <w:rFonts w:ascii="Times New Roman;serif" w:hAnsi="Times New Roman;serif"/>
          <w:b w:val="false"/>
          <w:sz w:val="20"/>
        </w:rPr>
        <w:t>of the total portfolio investments at fair value (exclusive of new portfolio company investments made during the three months ended March 31, 2023 and 2022, respectively) as of three months ended March 31, 2023 and 2022, respectively.</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Consistent with the policies and methodologies adopted by the Board, the Company performs detailed valuations of its debt and equity investments, including an analysis on the Company’s unfunded debt investment commitments, using both the market and income approaches as appropriate. Under the market approach, the Company typically uses the enterprise value methodology to determine the fair value of an investment. There is no one methodology to estimate enterprise value and, in fact, for any one portfolio company, enterprise value is generally best expressed as a range of values, from which the Company derives a single estimate of enterprise value. Under the income approach, the Company typically prepares and analyzes discounted cash flow models to estimate the present value of future cash flows of either an individual debt investment or of the underlying portfolio company itself.</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The Company evaluates investments in portfolio companies using the most recent portfolio company financial statements and forecasts. The Company also consults with the portfolio company’s senior management to obtain further updates on the portfolio company’s performance, including information such as industry trends, new product development and other operational issues.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For the Company’s debt investments the primary valuation technique used to estimate the fair value is the discounted cash flow method. However, if there is deterioration in credit quality or a debt investment is in workout status, the Company may consider other methods in determining the fair value, including the value attributable to the debt investment from the enterprise value of the portfolio company or the proceeds that would be received in a liquidation analysis. The Company’s discounted cash flow models estimate a range of fair values by applying an appropriate discount rate to the future cash flow streams of its debt investments, based on future interest and principal payments as set forth in the associated debt investment agreements. The Company prepares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The Company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The Company estimates the remaining life of its debt investments to generally be the legal maturity date of the instrument, as the Company generally intends to hold its debt investments to maturity. However, if the Company has information available to it that the debt investment is expected to be repaid in the near term, it would use an estimated remaining life based on the expected repayment date.</w:t>
      </w:r>
    </w:p>
    <w:p>
      <w:pPr>
        <w:pStyle w:val="TextBody"/>
        <w:spacing w:before="180" w:after="0"/>
        <w:jc w:val="both"/>
        <w:rPr>
          <w:rFonts w:ascii="Times New Roman" w:hAnsi="Times New Roman"/>
          <w:sz w:val="20"/>
        </w:rPr>
      </w:pPr>
      <w:r>
        <w:rPr>
          <w:rFonts w:ascii="Times New Roman;serif" w:hAnsi="Times New Roman;serif"/>
          <w:b w:val="false"/>
          <w:sz w:val="20"/>
        </w:rPr>
        <w:t>For the Company’s equity investments, including equity securities and warrants, the Company generally uses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the Company analyzes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r>
        <w:rPr>
          <w:rFonts w:ascii="Times New Roman" w:hAnsi="Times New Roman"/>
          <w:sz w:val="20"/>
        </w:rPr>
        <w:t xml:space="preserve"> </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The Company may also utilize an income approach when estimating the fair value of its equity investments, either as a primary methodology if consistent with industry practice or if the market approach is otherwise not applicable, or as a supporting methodology to corroborate the fair value ranges determined by the market approach. The Company typically prepares and analyzes discounted cash flow models based on projections of the future free cash flows (or earnings) of the portfolio company. The Company considers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pStyle w:val="TextBody"/>
        <w:spacing w:before="180" w:after="240"/>
        <w:jc w:val="both"/>
        <w:rPr>
          <w:rFonts w:ascii="Times New Roman;serif" w:hAnsi="Times New Roman;serif"/>
          <w:b w:val="false"/>
          <w:sz w:val="20"/>
        </w:rPr>
      </w:pPr>
      <w:r>
        <w:rPr>
          <w:rFonts w:ascii="Times New Roman;serif" w:hAnsi="Times New Roman;serif"/>
          <w:b w:val="false"/>
          <w:sz w:val="20"/>
        </w:rPr>
        <w:t>The following tables present fair value measurements of investments by major class according to the fair value hierarchy:</w:t>
      </w:r>
    </w:p>
    <w:tbl>
      <w:tblPr>
        <w:tblW w:w="6160" w:type="dxa"/>
        <w:jc w:val="left"/>
        <w:tblInd w:w="0" w:type="dxa"/>
        <w:tblCellMar>
          <w:top w:w="28" w:type="dxa"/>
          <w:left w:w="28" w:type="dxa"/>
          <w:bottom w:w="28" w:type="dxa"/>
          <w:right w:w="28" w:type="dxa"/>
        </w:tblCellMar>
      </w:tblPr>
      <w:tblGrid>
        <w:gridCol w:w="1681"/>
        <w:gridCol w:w="196"/>
        <w:gridCol w:w="146"/>
        <w:gridCol w:w="601"/>
        <w:gridCol w:w="146"/>
        <w:gridCol w:w="196"/>
        <w:gridCol w:w="190"/>
        <w:gridCol w:w="455"/>
        <w:gridCol w:w="146"/>
        <w:gridCol w:w="196"/>
        <w:gridCol w:w="146"/>
        <w:gridCol w:w="691"/>
        <w:gridCol w:w="146"/>
        <w:gridCol w:w="196"/>
        <w:gridCol w:w="146"/>
        <w:gridCol w:w="691"/>
        <w:gridCol w:w="191"/>
      </w:tblGrid>
      <w:tr>
        <w:trPr/>
        <w:tc>
          <w:tcPr>
            <w:tcW w:w="168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81"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092"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March 31, 2023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81"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First Lien Debt</w:t>
            </w:r>
          </w:p>
        </w:tc>
        <w:tc>
          <w:tcPr>
            <w:tcW w:w="1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90"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481,547</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481,547</w:t>
            </w:r>
          </w:p>
        </w:tc>
        <w:tc>
          <w:tcPr>
            <w:tcW w:w="1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Second Lien Debt</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188,931</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188,931</w:t>
            </w:r>
          </w:p>
        </w:tc>
        <w:tc>
          <w:tcPr>
            <w:tcW w:w="1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Subordinated Debt</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102,386</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102,386</w:t>
            </w:r>
          </w:p>
        </w:tc>
        <w:tc>
          <w:tcPr>
            <w:tcW w:w="1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Equity</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262</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121,841</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122,103</w:t>
            </w:r>
          </w:p>
        </w:tc>
        <w:tc>
          <w:tcPr>
            <w:tcW w:w="1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Warrants</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2,357</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2,357</w:t>
            </w:r>
          </w:p>
        </w:tc>
        <w:tc>
          <w:tcPr>
            <w:tcW w:w="1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Money Market Funds</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35,380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35,380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Total</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35,642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897,062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932,704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tbl>
      <w:tblPr>
        <w:tblW w:w="6160" w:type="dxa"/>
        <w:jc w:val="left"/>
        <w:tblInd w:w="0" w:type="dxa"/>
        <w:tblCellMar>
          <w:top w:w="28" w:type="dxa"/>
          <w:left w:w="28" w:type="dxa"/>
          <w:bottom w:w="28" w:type="dxa"/>
          <w:right w:w="28" w:type="dxa"/>
        </w:tblCellMar>
      </w:tblPr>
      <w:tblGrid>
        <w:gridCol w:w="1681"/>
        <w:gridCol w:w="196"/>
        <w:gridCol w:w="146"/>
        <w:gridCol w:w="601"/>
        <w:gridCol w:w="146"/>
        <w:gridCol w:w="196"/>
        <w:gridCol w:w="190"/>
        <w:gridCol w:w="455"/>
        <w:gridCol w:w="146"/>
        <w:gridCol w:w="196"/>
        <w:gridCol w:w="146"/>
        <w:gridCol w:w="691"/>
        <w:gridCol w:w="146"/>
        <w:gridCol w:w="196"/>
        <w:gridCol w:w="146"/>
        <w:gridCol w:w="691"/>
        <w:gridCol w:w="191"/>
      </w:tblGrid>
      <w:tr>
        <w:trPr/>
        <w:tc>
          <w:tcPr>
            <w:tcW w:w="168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681"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092"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81"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4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83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First Lien Debt</w:t>
            </w:r>
          </w:p>
        </w:tc>
        <w:tc>
          <w:tcPr>
            <w:tcW w:w="1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90"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456,105</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456,105</w:t>
            </w:r>
          </w:p>
        </w:tc>
        <w:tc>
          <w:tcPr>
            <w:tcW w:w="1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Second Lien Debt</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182,948</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182,948</w:t>
            </w:r>
          </w:p>
        </w:tc>
        <w:tc>
          <w:tcPr>
            <w:tcW w:w="1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Subordinated Debt</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101,456</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101,456</w:t>
            </w:r>
          </w:p>
        </w:tc>
        <w:tc>
          <w:tcPr>
            <w:tcW w:w="1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Equity</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310</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117,431</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117,741</w:t>
            </w:r>
          </w:p>
        </w:tc>
        <w:tc>
          <w:tcPr>
            <w:tcW w:w="1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Warrants</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45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2,079</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9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2,079</w:t>
            </w:r>
          </w:p>
        </w:tc>
        <w:tc>
          <w:tcPr>
            <w:tcW w:w="191" w:type="dxa"/>
            <w:tcBorders/>
            <w:shd w:fill="auto" w:val="cle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Money Market Funds</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61,076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61,076</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68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Total</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61,386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5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860,019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921,405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80" w:after="0"/>
        <w:jc w:val="both"/>
        <w:rPr>
          <w:rFonts w:ascii="Times New Roman" w:hAnsi="Times New Roman"/>
          <w:sz w:val="20"/>
        </w:rPr>
      </w:pPr>
      <w:r>
        <w:rPr>
          <w:rFonts w:ascii="Times New Roman;serif" w:hAnsi="Times New Roman;serif"/>
          <w:b w:val="false"/>
          <w:sz w:val="20"/>
        </w:rPr>
        <w:t>The Company reviews the fair value hierarchy classifications on a quarterly basis. Reclassifications impacting Level 3 of the fair value hierarchy are reported as transfers in or out of the Level 3 category as of the beginning of the quarter in which the reclassifications occur. There were no</w:t>
      </w:r>
      <w:r>
        <w:rPr>
          <w:rFonts w:ascii="Times New Roman" w:hAnsi="Times New Roman"/>
          <w:sz w:val="20"/>
        </w:rPr>
        <w:t xml:space="preserve"> </w:t>
      </w:r>
      <w:r>
        <w:rPr>
          <w:rFonts w:ascii="Times New Roman;serif" w:hAnsi="Times New Roman;serif"/>
          <w:b w:val="false"/>
          <w:sz w:val="20"/>
        </w:rPr>
        <w:t>transfers among Levels 1, 2, and 3 during the three months ended March 31, 2023 and 2022.</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The following tables present a reconciliation of the beginning and ending balances for fair valued investments measured using significant unobservable inputs (Level 3) for the three months ended March 31, 2023 and 2022:</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3657"/>
        <w:gridCol w:w="146"/>
        <w:gridCol w:w="181"/>
        <w:gridCol w:w="586"/>
        <w:gridCol w:w="151"/>
        <w:gridCol w:w="146"/>
        <w:gridCol w:w="192"/>
        <w:gridCol w:w="625"/>
        <w:gridCol w:w="151"/>
        <w:gridCol w:w="146"/>
        <w:gridCol w:w="216"/>
        <w:gridCol w:w="700"/>
        <w:gridCol w:w="151"/>
        <w:gridCol w:w="146"/>
        <w:gridCol w:w="181"/>
        <w:gridCol w:w="586"/>
        <w:gridCol w:w="151"/>
        <w:gridCol w:w="146"/>
        <w:gridCol w:w="202"/>
        <w:gridCol w:w="489"/>
        <w:gridCol w:w="146"/>
        <w:gridCol w:w="146"/>
        <w:gridCol w:w="181"/>
        <w:gridCol w:w="586"/>
        <w:gridCol w:w="197"/>
      </w:tblGrid>
      <w:tr>
        <w:trPr/>
        <w:tc>
          <w:tcPr>
            <w:tcW w:w="365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3657"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7"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First Lien</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17"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Second Lien</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16"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Subordinated</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7"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7" w:type="dxa"/>
            <w:gridSpan w:val="2"/>
            <w:tcBorders/>
            <w:shd w:fill="auto" w:val="cle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center"/>
              <w:rPr/>
            </w:pPr>
            <w:r>
              <w:rPr/>
              <w:t> </w:t>
            </w:r>
          </w:p>
        </w:tc>
      </w:tr>
      <w:tr>
        <w:trPr/>
        <w:tc>
          <w:tcPr>
            <w:tcW w:w="36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Debt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1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Debt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1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Debt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Warrants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657" w:type="dxa"/>
            <w:tcBorders/>
            <w:shd w:fill="auto" w:val="cle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Balance, December 31, 2021</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354,922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158,815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36,064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165,762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3,204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718,767</w:t>
            </w:r>
          </w:p>
        </w:tc>
        <w:tc>
          <w:tcPr>
            <w:tcW w:w="197" w:type="dxa"/>
            <w:tcBorders/>
            <w:shd w:fill="auto" w:val="clear"/>
            <w:vAlign w:val="center"/>
          </w:tcPr>
          <w:p>
            <w:pPr>
              <w:pStyle w:val="TableContents"/>
              <w:spacing w:before="0" w:after="0"/>
              <w:ind w:left="0" w:right="0" w:hanging="0"/>
              <w:jc w:val="left"/>
              <w:rPr/>
            </w:pPr>
            <w:r>
              <w:rPr/>
              <w:t> </w:t>
            </w:r>
          </w:p>
        </w:tc>
      </w:tr>
      <w:tr>
        <w:trPr/>
        <w:tc>
          <w:tcPr>
            <w:tcW w:w="365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Net realized gains (losses) on investments</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6,868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48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6,868</w:t>
            </w:r>
          </w:p>
        </w:tc>
        <w:tc>
          <w:tcPr>
            <w:tcW w:w="197" w:type="dxa"/>
            <w:tcBorders/>
            <w:shd w:fill="auto" w:val="clear"/>
            <w:vAlign w:val="center"/>
          </w:tcPr>
          <w:p>
            <w:pPr>
              <w:pStyle w:val="TableContents"/>
              <w:spacing w:before="0" w:after="0"/>
              <w:ind w:left="0" w:right="0" w:hanging="0"/>
              <w:jc w:val="left"/>
              <w:rPr/>
            </w:pPr>
            <w:r>
              <w:rPr/>
              <w:t> </w:t>
            </w:r>
          </w:p>
        </w:tc>
      </w:tr>
      <w:tr>
        <w:trPr/>
        <w:tc>
          <w:tcPr>
            <w:tcW w:w="365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Net change in unrealized appreciation (depreciation) on investments</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823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1,277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(7,590</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48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195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(5,300</w:t>
            </w:r>
          </w:p>
        </w:tc>
        <w:tc>
          <w:tcPr>
            <w:tcW w:w="19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365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Purchase of investments</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76,710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15,795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17,470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4,453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48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114,428</w:t>
            </w:r>
          </w:p>
        </w:tc>
        <w:tc>
          <w:tcPr>
            <w:tcW w:w="197" w:type="dxa"/>
            <w:tcBorders/>
            <w:shd w:fill="auto" w:val="clear"/>
            <w:vAlign w:val="center"/>
          </w:tcPr>
          <w:p>
            <w:pPr>
              <w:pStyle w:val="TableContents"/>
              <w:spacing w:before="0" w:after="0"/>
              <w:ind w:left="0" w:right="0" w:hanging="0"/>
              <w:jc w:val="left"/>
              <w:rPr/>
            </w:pPr>
            <w:r>
              <w:rPr/>
              <w:t> </w:t>
            </w:r>
          </w:p>
        </w:tc>
      </w:tr>
      <w:tr>
        <w:trPr/>
        <w:tc>
          <w:tcPr>
            <w:tcW w:w="365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Proceeds from sales and repayments of investments</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(4,027</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(7,106</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(12,052</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48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(23,185</w:t>
            </w:r>
          </w:p>
        </w:tc>
        <w:tc>
          <w:tcPr>
            <w:tcW w:w="19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365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Interest and dividend income paid-in-kind</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252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254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41</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48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547</w:t>
            </w:r>
          </w:p>
        </w:tc>
        <w:tc>
          <w:tcPr>
            <w:tcW w:w="197" w:type="dxa"/>
            <w:tcBorders/>
            <w:shd w:fill="auto" w:val="clear"/>
            <w:vAlign w:val="center"/>
          </w:tcPr>
          <w:p>
            <w:pPr>
              <w:pStyle w:val="TableContents"/>
              <w:spacing w:before="0" w:after="0"/>
              <w:ind w:left="0" w:right="0" w:hanging="0"/>
              <w:jc w:val="left"/>
              <w:rPr/>
            </w:pPr>
            <w:r>
              <w:rPr/>
              <w:t> </w:t>
            </w:r>
          </w:p>
        </w:tc>
      </w:tr>
      <w:tr>
        <w:trPr/>
        <w:tc>
          <w:tcPr>
            <w:tcW w:w="365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Proceeds from loan origination fees</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(602</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(165</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48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(771</w:t>
            </w:r>
          </w:p>
        </w:tc>
        <w:tc>
          <w:tcPr>
            <w:tcW w:w="19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365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Accretion of loan origination fees</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238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48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280</w:t>
            </w:r>
          </w:p>
        </w:tc>
        <w:tc>
          <w:tcPr>
            <w:tcW w:w="197" w:type="dxa"/>
            <w:tcBorders/>
            <w:shd w:fill="auto" w:val="clear"/>
            <w:vAlign w:val="center"/>
          </w:tcPr>
          <w:p>
            <w:pPr>
              <w:pStyle w:val="TableContents"/>
              <w:spacing w:before="0" w:after="0"/>
              <w:ind w:left="0" w:right="0" w:hanging="0"/>
              <w:jc w:val="left"/>
              <w:rPr/>
            </w:pPr>
            <w:r>
              <w:rPr/>
              <w:t> </w:t>
            </w:r>
          </w:p>
        </w:tc>
      </w:tr>
      <w:tr>
        <w:trPr/>
        <w:tc>
          <w:tcPr>
            <w:tcW w:w="365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Accretion of original issue discount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22</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23</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57" w:type="dxa"/>
            <w:tcBorders/>
            <w:shd w:fill="auto" w:val="cle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Balance, March 31, 2022</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428,317</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169,087</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53,413</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157,441</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3,399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811,657</w:t>
            </w:r>
          </w:p>
        </w:tc>
        <w:tc>
          <w:tcPr>
            <w:tcW w:w="1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57" w:type="dxa"/>
            <w:tcBorders/>
            <w:shd w:fill="auto" w:val="cle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Balance, December 31, 2022</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456,105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182,948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101,456</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117,431</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2,079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860,019</w:t>
            </w:r>
          </w:p>
        </w:tc>
        <w:tc>
          <w:tcPr>
            <w:tcW w:w="197" w:type="dxa"/>
            <w:tcBorders/>
            <w:shd w:fill="auto" w:val="clear"/>
            <w:vAlign w:val="center"/>
          </w:tcPr>
          <w:p>
            <w:pPr>
              <w:pStyle w:val="TableContents"/>
              <w:spacing w:before="0" w:after="0"/>
              <w:ind w:left="0" w:right="0" w:hanging="0"/>
              <w:jc w:val="left"/>
              <w:rPr/>
            </w:pPr>
            <w:r>
              <w:rPr/>
              <w:t> </w:t>
            </w:r>
          </w:p>
        </w:tc>
      </w:tr>
      <w:tr>
        <w:trPr/>
        <w:tc>
          <w:tcPr>
            <w:tcW w:w="365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Net realized gains (losses) on investments</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48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58</w:t>
            </w:r>
          </w:p>
        </w:tc>
        <w:tc>
          <w:tcPr>
            <w:tcW w:w="197" w:type="dxa"/>
            <w:tcBorders/>
            <w:shd w:fill="auto" w:val="clear"/>
            <w:vAlign w:val="center"/>
          </w:tcPr>
          <w:p>
            <w:pPr>
              <w:pStyle w:val="TableContents"/>
              <w:spacing w:before="0" w:after="0"/>
              <w:ind w:left="0" w:right="0" w:hanging="0"/>
              <w:jc w:val="left"/>
              <w:rPr/>
            </w:pPr>
            <w:r>
              <w:rPr/>
              <w:t> </w:t>
            </w:r>
          </w:p>
        </w:tc>
      </w:tr>
      <w:tr>
        <w:trPr/>
        <w:tc>
          <w:tcPr>
            <w:tcW w:w="365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Net change in unrealized appreciation (depreciation) on investments</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133</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698</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(1,565</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1,165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489"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709</w:t>
            </w:r>
          </w:p>
        </w:tc>
        <w:tc>
          <w:tcPr>
            <w:tcW w:w="197" w:type="dxa"/>
            <w:tcBorders/>
            <w:shd w:fill="auto" w:val="clear"/>
            <w:vAlign w:val="center"/>
          </w:tcPr>
          <w:p>
            <w:pPr>
              <w:pStyle w:val="TableContents"/>
              <w:spacing w:before="0" w:after="0"/>
              <w:ind w:left="0" w:right="0" w:hanging="0"/>
              <w:jc w:val="left"/>
              <w:rPr/>
            </w:pPr>
            <w:r>
              <w:rPr/>
              <w:t> </w:t>
            </w:r>
          </w:p>
        </w:tc>
      </w:tr>
      <w:tr>
        <w:trPr/>
        <w:tc>
          <w:tcPr>
            <w:tcW w:w="365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Purchase of investments</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40,980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5,000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2,182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3,359</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48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51,521</w:t>
            </w:r>
          </w:p>
        </w:tc>
        <w:tc>
          <w:tcPr>
            <w:tcW w:w="197" w:type="dxa"/>
            <w:tcBorders/>
            <w:shd w:fill="auto" w:val="clear"/>
            <w:vAlign w:val="center"/>
          </w:tcPr>
          <w:p>
            <w:pPr>
              <w:pStyle w:val="TableContents"/>
              <w:spacing w:before="0" w:after="0"/>
              <w:ind w:left="0" w:right="0" w:hanging="0"/>
              <w:jc w:val="left"/>
              <w:rPr/>
            </w:pPr>
            <w:r>
              <w:rPr/>
              <w:t> </w:t>
            </w:r>
          </w:p>
        </w:tc>
      </w:tr>
      <w:tr>
        <w:trPr/>
        <w:tc>
          <w:tcPr>
            <w:tcW w:w="365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Proceeds from sales and repayments of investments</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(15,699</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(172</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48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(15,871</w:t>
            </w:r>
          </w:p>
        </w:tc>
        <w:tc>
          <w:tcPr>
            <w:tcW w:w="19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365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Interest and dividend income paid-in-kind</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127</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196</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48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637</w:t>
            </w:r>
          </w:p>
        </w:tc>
        <w:tc>
          <w:tcPr>
            <w:tcW w:w="197" w:type="dxa"/>
            <w:tcBorders/>
            <w:shd w:fill="auto" w:val="clear"/>
            <w:vAlign w:val="center"/>
          </w:tcPr>
          <w:p>
            <w:pPr>
              <w:pStyle w:val="TableContents"/>
              <w:spacing w:before="0" w:after="0"/>
              <w:ind w:left="0" w:right="0" w:hanging="0"/>
              <w:jc w:val="left"/>
              <w:rPr/>
            </w:pPr>
            <w:r>
              <w:rPr/>
              <w:t> </w:t>
            </w:r>
          </w:p>
        </w:tc>
      </w:tr>
      <w:tr>
        <w:trPr/>
        <w:tc>
          <w:tcPr>
            <w:tcW w:w="365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Proceeds from loan origination fees</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(481</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(31</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(25</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48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(537</w:t>
            </w:r>
          </w:p>
        </w:tc>
        <w:tc>
          <w:tcPr>
            <w:tcW w:w="19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365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Accretion of loan origination fees</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366</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shd w:fill="auto" w:val="clear"/>
            <w:vAlign w:val="center"/>
          </w:tcPr>
          <w:p>
            <w:pPr>
              <w:pStyle w:val="TableContents"/>
              <w:spacing w:before="0" w:after="0"/>
              <w:ind w:left="0" w:right="0" w:hanging="0"/>
              <w:jc w:val="left"/>
              <w:rPr/>
            </w:pPr>
            <w:r>
              <w:rPr/>
              <w:t> </w:t>
            </w:r>
          </w:p>
        </w:tc>
        <w:tc>
          <w:tcPr>
            <w:tcW w:w="625"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shd w:fill="auto" w:val="clear"/>
            <w:vAlign w:val="center"/>
          </w:tcPr>
          <w:p>
            <w:pPr>
              <w:pStyle w:val="TableContents"/>
              <w:spacing w:before="0" w:after="0"/>
              <w:ind w:left="0" w:right="0" w:hanging="0"/>
              <w:jc w:val="left"/>
              <w:rPr/>
            </w:pPr>
            <w:r>
              <w:rPr/>
              <w:t> </w:t>
            </w:r>
          </w:p>
        </w:tc>
        <w:tc>
          <w:tcPr>
            <w:tcW w:w="700"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22</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48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413</w:t>
            </w:r>
          </w:p>
        </w:tc>
        <w:tc>
          <w:tcPr>
            <w:tcW w:w="197" w:type="dxa"/>
            <w:tcBorders/>
            <w:shd w:fill="auto" w:val="clear"/>
            <w:vAlign w:val="center"/>
          </w:tcPr>
          <w:p>
            <w:pPr>
              <w:pStyle w:val="TableContents"/>
              <w:spacing w:before="0" w:after="0"/>
              <w:ind w:left="0" w:right="0" w:hanging="0"/>
              <w:jc w:val="left"/>
              <w:rPr/>
            </w:pPr>
            <w:r>
              <w:rPr/>
              <w:t> </w:t>
            </w:r>
          </w:p>
        </w:tc>
      </w:tr>
      <w:tr>
        <w:trPr/>
        <w:tc>
          <w:tcPr>
            <w:tcW w:w="3657"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Accretion of original issue discount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16</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95</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0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113</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657" w:type="dxa"/>
            <w:tcBorders/>
            <w:shd w:fill="auto" w:val="cle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Balance, March 31, 2023</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481,547</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2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188,931</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70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102,386</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121,841</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2,357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897,062</w:t>
            </w:r>
          </w:p>
        </w:tc>
        <w:tc>
          <w:tcPr>
            <w:tcW w:w="1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Net change in unrealized appreciation/(depreciation) of $793</w:t>
      </w:r>
      <w:r>
        <w:rPr>
          <w:rFonts w:ascii="Times New Roman" w:hAnsi="Times New Roman"/>
          <w:sz w:val="20"/>
        </w:rPr>
        <w:t xml:space="preserve"> </w:t>
      </w:r>
      <w:r>
        <w:rPr>
          <w:rFonts w:ascii="Times New Roman;serif" w:hAnsi="Times New Roman;serif"/>
          <w:b w:val="false"/>
          <w:sz w:val="20"/>
        </w:rPr>
        <w:t>the three months ended March 31, 2023, was attributable to Level 3 investments held at March 31, 2023. Net change in unrealized appreciation/(depreciation) of $(123)</w:t>
      </w:r>
      <w:r>
        <w:rPr>
          <w:rFonts w:ascii="Times New Roman" w:hAnsi="Times New Roman"/>
          <w:sz w:val="20"/>
        </w:rPr>
        <w:t xml:space="preserve"> </w:t>
      </w:r>
      <w:r>
        <w:rPr>
          <w:rFonts w:ascii="Times New Roman;serif" w:hAnsi="Times New Roman;serif"/>
          <w:b w:val="false"/>
          <w:sz w:val="20"/>
        </w:rPr>
        <w:t>for the three months ended March 31, 2022, was attributable to Level 3 investments held at March 31, 2022.</w:t>
      </w:r>
      <w:r>
        <w:rPr>
          <w:rFonts w:ascii="Times New Roman" w:hAnsi="Times New Roman"/>
          <w:sz w:val="20"/>
        </w:rPr>
        <w:t xml:space="preserve"> </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The following tables summarize the significant unobservable inputs by valuation technique used to determine the fair value of the Company’s Level 3 debt and equity investments as of March 31, 2023 and December 31, 2022. The tables are not intended to be all-inclusive, but instead capture the significant unobservable inputs relevant to the Company’s determination of fair values.</w:t>
      </w:r>
    </w:p>
    <w:p>
      <w:pPr>
        <w:pStyle w:val="TextBody"/>
        <w:spacing w:before="0" w:after="0"/>
        <w:jc w:val="both"/>
        <w:rPr/>
      </w:pPr>
      <w:r>
        <w:rPr/>
        <w:t> </w:t>
      </w:r>
    </w:p>
    <w:tbl>
      <w:tblPr>
        <w:tblW w:w="9704" w:type="dxa"/>
        <w:jc w:val="left"/>
        <w:tblInd w:w="0" w:type="dxa"/>
        <w:tblCellMar>
          <w:top w:w="28" w:type="dxa"/>
          <w:left w:w="28" w:type="dxa"/>
          <w:bottom w:w="28" w:type="dxa"/>
          <w:right w:w="28" w:type="dxa"/>
        </w:tblCellMar>
      </w:tblPr>
      <w:tblGrid>
        <w:gridCol w:w="1666"/>
        <w:gridCol w:w="146"/>
        <w:gridCol w:w="284"/>
        <w:gridCol w:w="1006"/>
        <w:gridCol w:w="146"/>
        <w:gridCol w:w="146"/>
        <w:gridCol w:w="1711"/>
        <w:gridCol w:w="146"/>
        <w:gridCol w:w="2446"/>
        <w:gridCol w:w="146"/>
        <w:gridCol w:w="1861"/>
      </w:tblGrid>
      <w:tr>
        <w:trPr/>
        <w:tc>
          <w:tcPr>
            <w:tcW w:w="16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61" w:type="dxa"/>
            <w:tcBorders/>
            <w:shd w:fill="auto" w:val="clear"/>
            <w:vAlign w:val="center"/>
          </w:tcPr>
          <w:p>
            <w:pPr>
              <w:pStyle w:val="TableContents"/>
              <w:spacing w:before="0" w:after="283"/>
              <w:rPr>
                <w:sz w:val="4"/>
                <w:szCs w:val="4"/>
              </w:rPr>
            </w:pPr>
            <w:r>
              <w:rPr>
                <w:sz w:val="4"/>
                <w:szCs w:val="4"/>
              </w:rPr>
            </w:r>
          </w:p>
        </w:tc>
      </w:tr>
      <w:tr>
        <w:trPr/>
        <w:tc>
          <w:tcPr>
            <w:tcW w:w="1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90"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Fair Value at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11"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Valuation</w:t>
            </w:r>
          </w:p>
        </w:tc>
        <w:tc>
          <w:tcPr>
            <w:tcW w:w="146" w:type="dxa"/>
            <w:tcBorders/>
            <w:shd w:fill="auto" w:val="clear"/>
            <w:vAlign w:val="center"/>
          </w:tcPr>
          <w:p>
            <w:pPr>
              <w:pStyle w:val="TableContents"/>
              <w:spacing w:before="0" w:after="0"/>
              <w:ind w:left="0" w:right="0" w:hanging="0"/>
              <w:jc w:val="center"/>
              <w:rPr/>
            </w:pPr>
            <w:r>
              <w:rPr/>
              <w:t> </w:t>
            </w:r>
          </w:p>
        </w:tc>
        <w:tc>
          <w:tcPr>
            <w:tcW w:w="2446"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Unobservable</w:t>
            </w:r>
          </w:p>
        </w:tc>
        <w:tc>
          <w:tcPr>
            <w:tcW w:w="146" w:type="dxa"/>
            <w:tcBorders/>
            <w:shd w:fill="auto" w:val="clear"/>
            <w:vAlign w:val="center"/>
          </w:tcPr>
          <w:p>
            <w:pPr>
              <w:pStyle w:val="TableContents"/>
              <w:spacing w:before="0" w:after="0"/>
              <w:ind w:left="0" w:right="0" w:hanging="0"/>
              <w:jc w:val="center"/>
              <w:rPr/>
            </w:pPr>
            <w:r>
              <w:rPr/>
              <w:t> </w:t>
            </w:r>
          </w:p>
        </w:tc>
        <w:tc>
          <w:tcPr>
            <w:tcW w:w="1861"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Range</w:t>
            </w:r>
          </w:p>
        </w:tc>
      </w:tr>
      <w:tr>
        <w:trPr/>
        <w:tc>
          <w:tcPr>
            <w:tcW w:w="1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7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Techniques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Inputs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8"/>
              </w:rPr>
            </w:pPr>
            <w:r>
              <w:rPr>
                <w:rFonts w:ascii="Times New Roman;serif" w:hAnsi="Times New Roman;serif"/>
                <w:b/>
                <w:sz w:val="18"/>
              </w:rPr>
              <w:t>(weighted average)</w:t>
            </w:r>
            <w:r>
              <w:rPr>
                <w:rFonts w:ascii="Times New Roman;serif" w:hAnsi="Times New Roman;serif"/>
                <w:b/>
                <w:sz w:val="12"/>
              </w:rPr>
              <w:t>(1)</w:t>
            </w:r>
          </w:p>
        </w:tc>
      </w:tr>
      <w:tr>
        <w:trPr/>
        <w:tc>
          <w:tcPr>
            <w:tcW w:w="166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Debt investments:</w:t>
            </w:r>
          </w:p>
        </w:tc>
        <w:tc>
          <w:tcPr>
            <w:tcW w:w="146" w:type="dxa"/>
            <w:tcBorders/>
            <w:shd w:fill="auto" w:val="clear"/>
            <w:vAlign w:val="center"/>
          </w:tcPr>
          <w:p>
            <w:pPr>
              <w:pStyle w:val="TableContents"/>
              <w:spacing w:before="0" w:after="0"/>
              <w:ind w:left="0" w:right="0" w:hanging="0"/>
              <w:jc w:val="left"/>
              <w:rPr/>
            </w:pPr>
            <w:r>
              <w:rPr/>
              <w:t> </w:t>
            </w:r>
          </w:p>
        </w:tc>
        <w:tc>
          <w:tcPr>
            <w:tcW w:w="1290"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1" w:type="dxa"/>
            <w:tcBorders/>
            <w:shd w:fill="auto" w:val="clear"/>
            <w:vAlign w:val="center"/>
          </w:tcPr>
          <w:p>
            <w:pPr>
              <w:pStyle w:val="TableContents"/>
              <w:spacing w:before="0" w:after="0"/>
              <w:ind w:left="0" w:right="0" w:firstLine="200"/>
              <w:jc w:val="left"/>
              <w:rPr/>
            </w:pPr>
            <w:r>
              <w:rPr/>
              <w:t> </w:t>
            </w:r>
          </w:p>
        </w:tc>
      </w:tr>
      <w:tr>
        <w:trPr/>
        <w:tc>
          <w:tcPr>
            <w:tcW w:w="166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First Lien Debt</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452,536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Discounted cash flow</w:t>
            </w:r>
          </w:p>
        </w:tc>
        <w:tc>
          <w:tcPr>
            <w:tcW w:w="146" w:type="dxa"/>
            <w:tcBorders/>
            <w:shd w:fill="auto" w:val="clear"/>
            <w:vAlign w:val="center"/>
          </w:tcPr>
          <w:p>
            <w:pPr>
              <w:pStyle w:val="TableContents"/>
              <w:spacing w:before="0" w:after="0"/>
              <w:ind w:left="0" w:right="0" w:hanging="0"/>
              <w:jc w:val="left"/>
              <w:rPr/>
            </w:pPr>
            <w:r>
              <w:rPr/>
              <w:t> </w:t>
            </w:r>
          </w:p>
        </w:tc>
        <w:tc>
          <w:tcPr>
            <w:tcW w:w="244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Weighted average cost of capital</w:t>
            </w:r>
          </w:p>
        </w:tc>
        <w:tc>
          <w:tcPr>
            <w:tcW w:w="146" w:type="dxa"/>
            <w:tcBorders/>
            <w:shd w:fill="auto" w:val="clear"/>
            <w:vAlign w:val="center"/>
          </w:tcPr>
          <w:p>
            <w:pPr>
              <w:pStyle w:val="TableContents"/>
              <w:spacing w:before="0" w:after="0"/>
              <w:ind w:left="0" w:right="0" w:hanging="0"/>
              <w:jc w:val="left"/>
              <w:rPr/>
            </w:pPr>
            <w:r>
              <w:rPr/>
              <w:t> </w:t>
            </w:r>
          </w:p>
        </w:tc>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9.5% - 20.6% (15.8%)</w:t>
            </w:r>
          </w:p>
        </w:tc>
      </w:tr>
      <w:tr>
        <w:trPr/>
        <w:tc>
          <w:tcPr>
            <w:tcW w:w="16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Enterprise value</w:t>
            </w:r>
          </w:p>
        </w:tc>
        <w:tc>
          <w:tcPr>
            <w:tcW w:w="146" w:type="dxa"/>
            <w:tcBorders/>
            <w:shd w:fill="auto" w:val="clear"/>
            <w:vAlign w:val="center"/>
          </w:tcPr>
          <w:p>
            <w:pPr>
              <w:pStyle w:val="TableContents"/>
              <w:spacing w:before="0" w:after="0"/>
              <w:ind w:left="0" w:right="0" w:hanging="0"/>
              <w:jc w:val="left"/>
              <w:rPr/>
            </w:pPr>
            <w:r>
              <w:rPr/>
              <w:t> </w:t>
            </w:r>
          </w:p>
        </w:tc>
        <w:tc>
          <w:tcPr>
            <w:tcW w:w="244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Asset Coverage</w:t>
            </w:r>
          </w:p>
        </w:tc>
        <w:tc>
          <w:tcPr>
            <w:tcW w:w="146" w:type="dxa"/>
            <w:tcBorders/>
            <w:shd w:fill="auto" w:val="clear"/>
            <w:vAlign w:val="center"/>
          </w:tcPr>
          <w:p>
            <w:pPr>
              <w:pStyle w:val="TableContents"/>
              <w:spacing w:before="0" w:after="0"/>
              <w:ind w:left="0" w:right="0" w:hanging="0"/>
              <w:jc w:val="left"/>
              <w:rPr/>
            </w:pPr>
            <w:r>
              <w:rPr/>
              <w:t> </w:t>
            </w:r>
          </w:p>
        </w:tc>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1.0x - 1.0x (1.0x)</w:t>
            </w:r>
          </w:p>
        </w:tc>
      </w:tr>
      <w:tr>
        <w:trPr/>
        <w:tc>
          <w:tcPr>
            <w:tcW w:w="1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14,986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Enterprise value</w:t>
            </w:r>
          </w:p>
        </w:tc>
        <w:tc>
          <w:tcPr>
            <w:tcW w:w="146" w:type="dxa"/>
            <w:tcBorders/>
            <w:shd w:fill="auto" w:val="clear"/>
            <w:vAlign w:val="center"/>
          </w:tcPr>
          <w:p>
            <w:pPr>
              <w:pStyle w:val="TableContents"/>
              <w:spacing w:before="0" w:after="0"/>
              <w:ind w:left="0" w:right="0" w:hanging="0"/>
              <w:jc w:val="left"/>
              <w:rPr/>
            </w:pPr>
            <w:r>
              <w:rPr/>
              <w:t> </w:t>
            </w:r>
          </w:p>
        </w:tc>
        <w:tc>
          <w:tcPr>
            <w:tcW w:w="244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EBITDA multiples</w:t>
            </w:r>
          </w:p>
        </w:tc>
        <w:tc>
          <w:tcPr>
            <w:tcW w:w="146" w:type="dxa"/>
            <w:tcBorders/>
            <w:shd w:fill="auto" w:val="clear"/>
            <w:vAlign w:val="center"/>
          </w:tcPr>
          <w:p>
            <w:pPr>
              <w:pStyle w:val="TableContents"/>
              <w:spacing w:before="0" w:after="0"/>
              <w:ind w:left="0" w:right="0" w:hanging="0"/>
              <w:jc w:val="left"/>
              <w:rPr/>
            </w:pPr>
            <w:r>
              <w:rPr/>
              <w:t> </w:t>
            </w:r>
          </w:p>
        </w:tc>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7.3x - 7.3x (7.3x)</w:t>
            </w:r>
          </w:p>
        </w:tc>
      </w:tr>
      <w:tr>
        <w:trPr/>
        <w:tc>
          <w:tcPr>
            <w:tcW w:w="16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Enterprise value</w:t>
            </w:r>
          </w:p>
        </w:tc>
        <w:tc>
          <w:tcPr>
            <w:tcW w:w="146" w:type="dxa"/>
            <w:tcBorders/>
            <w:shd w:fill="auto" w:val="clear"/>
            <w:vAlign w:val="center"/>
          </w:tcPr>
          <w:p>
            <w:pPr>
              <w:pStyle w:val="TableContents"/>
              <w:spacing w:before="0" w:after="0"/>
              <w:ind w:left="0" w:right="0" w:hanging="0"/>
              <w:jc w:val="left"/>
              <w:rPr/>
            </w:pPr>
            <w:r>
              <w:rPr/>
              <w:t> </w:t>
            </w:r>
          </w:p>
        </w:tc>
        <w:tc>
          <w:tcPr>
            <w:tcW w:w="244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Revenue multiples</w:t>
            </w:r>
          </w:p>
        </w:tc>
        <w:tc>
          <w:tcPr>
            <w:tcW w:w="146" w:type="dxa"/>
            <w:tcBorders/>
            <w:shd w:fill="auto" w:val="clear"/>
            <w:vAlign w:val="center"/>
          </w:tcPr>
          <w:p>
            <w:pPr>
              <w:pStyle w:val="TableContents"/>
              <w:spacing w:before="0" w:after="0"/>
              <w:ind w:left="0" w:right="0" w:hanging="0"/>
              <w:jc w:val="left"/>
              <w:rPr/>
            </w:pPr>
            <w:r>
              <w:rPr/>
              <w:t> </w:t>
            </w:r>
          </w:p>
        </w:tc>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4.3x - 4.3x (4.3x)</w:t>
            </w:r>
          </w:p>
        </w:tc>
      </w:tr>
      <w:tr>
        <w:trPr/>
        <w:tc>
          <w:tcPr>
            <w:tcW w:w="16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29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1" w:type="dxa"/>
            <w:tcBorders/>
            <w:shd w:fill="auto" w:val="clear"/>
            <w:vAlign w:val="center"/>
          </w:tcPr>
          <w:p>
            <w:pPr>
              <w:pStyle w:val="TableContents"/>
              <w:spacing w:before="0" w:after="0"/>
              <w:ind w:left="0" w:right="0" w:firstLine="200"/>
              <w:jc w:val="left"/>
              <w:rPr/>
            </w:pPr>
            <w:r>
              <w:rPr/>
              <w:t> </w:t>
            </w:r>
          </w:p>
        </w:tc>
      </w:tr>
      <w:tr>
        <w:trPr/>
        <w:tc>
          <w:tcPr>
            <w:tcW w:w="166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Second Lien Debt</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186,808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Discounted cash flow</w:t>
            </w:r>
          </w:p>
        </w:tc>
        <w:tc>
          <w:tcPr>
            <w:tcW w:w="146" w:type="dxa"/>
            <w:tcBorders/>
            <w:shd w:fill="auto" w:val="clear"/>
            <w:vAlign w:val="center"/>
          </w:tcPr>
          <w:p>
            <w:pPr>
              <w:pStyle w:val="TableContents"/>
              <w:spacing w:before="0" w:after="0"/>
              <w:ind w:left="0" w:right="0" w:hanging="0"/>
              <w:jc w:val="left"/>
              <w:rPr/>
            </w:pPr>
            <w:r>
              <w:rPr/>
              <w:t> </w:t>
            </w:r>
          </w:p>
        </w:tc>
        <w:tc>
          <w:tcPr>
            <w:tcW w:w="244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Weighted average cost of capital</w:t>
            </w:r>
          </w:p>
        </w:tc>
        <w:tc>
          <w:tcPr>
            <w:tcW w:w="146" w:type="dxa"/>
            <w:tcBorders/>
            <w:shd w:fill="auto" w:val="clear"/>
            <w:vAlign w:val="center"/>
          </w:tcPr>
          <w:p>
            <w:pPr>
              <w:pStyle w:val="TableContents"/>
              <w:spacing w:before="0" w:after="0"/>
              <w:ind w:left="0" w:right="0" w:hanging="0"/>
              <w:jc w:val="left"/>
              <w:rPr/>
            </w:pPr>
            <w:r>
              <w:rPr/>
              <w:t> </w:t>
            </w:r>
          </w:p>
        </w:tc>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11.5% - 25.0% (14.8%)</w:t>
            </w:r>
          </w:p>
        </w:tc>
      </w:tr>
      <w:tr>
        <w:trPr/>
        <w:tc>
          <w:tcPr>
            <w:tcW w:w="16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Enterprise value</w:t>
            </w:r>
          </w:p>
        </w:tc>
        <w:tc>
          <w:tcPr>
            <w:tcW w:w="146" w:type="dxa"/>
            <w:tcBorders/>
            <w:shd w:fill="auto" w:val="clear"/>
            <w:vAlign w:val="center"/>
          </w:tcPr>
          <w:p>
            <w:pPr>
              <w:pStyle w:val="TableContents"/>
              <w:spacing w:before="0" w:after="0"/>
              <w:ind w:left="0" w:right="0" w:hanging="0"/>
              <w:jc w:val="left"/>
              <w:rPr/>
            </w:pPr>
            <w:r>
              <w:rPr/>
              <w:t> </w:t>
            </w:r>
          </w:p>
        </w:tc>
        <w:tc>
          <w:tcPr>
            <w:tcW w:w="244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EBITDA multiples</w:t>
            </w:r>
          </w:p>
        </w:tc>
        <w:tc>
          <w:tcPr>
            <w:tcW w:w="146" w:type="dxa"/>
            <w:tcBorders/>
            <w:shd w:fill="auto" w:val="clear"/>
            <w:vAlign w:val="center"/>
          </w:tcPr>
          <w:p>
            <w:pPr>
              <w:pStyle w:val="TableContents"/>
              <w:spacing w:before="0" w:after="0"/>
              <w:ind w:left="0" w:right="0" w:hanging="0"/>
              <w:jc w:val="left"/>
              <w:rPr/>
            </w:pPr>
            <w:r>
              <w:rPr/>
              <w:t> </w:t>
            </w:r>
          </w:p>
        </w:tc>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5.0x - 5.0x (5.0x)</w:t>
            </w:r>
          </w:p>
        </w:tc>
      </w:tr>
      <w:tr>
        <w:trPr/>
        <w:tc>
          <w:tcPr>
            <w:tcW w:w="16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Enterprise value</w:t>
            </w:r>
          </w:p>
        </w:tc>
        <w:tc>
          <w:tcPr>
            <w:tcW w:w="146" w:type="dxa"/>
            <w:tcBorders/>
            <w:shd w:fill="auto" w:val="clear"/>
            <w:vAlign w:val="center"/>
          </w:tcPr>
          <w:p>
            <w:pPr>
              <w:pStyle w:val="TableContents"/>
              <w:spacing w:before="0" w:after="0"/>
              <w:ind w:left="0" w:right="0" w:hanging="0"/>
              <w:jc w:val="left"/>
              <w:rPr/>
            </w:pPr>
            <w:r>
              <w:rPr/>
              <w:t> </w:t>
            </w:r>
          </w:p>
        </w:tc>
        <w:tc>
          <w:tcPr>
            <w:tcW w:w="244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Asset Coverage</w:t>
            </w:r>
          </w:p>
        </w:tc>
        <w:tc>
          <w:tcPr>
            <w:tcW w:w="146" w:type="dxa"/>
            <w:tcBorders/>
            <w:shd w:fill="auto" w:val="clear"/>
            <w:vAlign w:val="center"/>
          </w:tcPr>
          <w:p>
            <w:pPr>
              <w:pStyle w:val="TableContents"/>
              <w:spacing w:before="0" w:after="0"/>
              <w:ind w:left="0" w:right="0" w:hanging="0"/>
              <w:jc w:val="left"/>
              <w:rPr/>
            </w:pPr>
            <w:r>
              <w:rPr/>
              <w:t> </w:t>
            </w:r>
          </w:p>
        </w:tc>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0.8x - 0.8x (0.8x)</w:t>
            </w:r>
          </w:p>
        </w:tc>
      </w:tr>
      <w:tr>
        <w:trPr/>
        <w:tc>
          <w:tcPr>
            <w:tcW w:w="16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29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1" w:type="dxa"/>
            <w:tcBorders/>
            <w:shd w:fill="auto" w:val="clear"/>
            <w:vAlign w:val="center"/>
          </w:tcPr>
          <w:p>
            <w:pPr>
              <w:pStyle w:val="TableContents"/>
              <w:spacing w:before="0" w:after="0"/>
              <w:ind w:left="0" w:right="0" w:firstLine="200"/>
              <w:jc w:val="left"/>
              <w:rPr/>
            </w:pPr>
            <w:r>
              <w:rPr/>
              <w:t> </w:t>
            </w:r>
          </w:p>
        </w:tc>
      </w:tr>
      <w:tr>
        <w:trPr/>
        <w:tc>
          <w:tcPr>
            <w:tcW w:w="166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Subordinated Debt</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102,386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Discounted cash flow</w:t>
            </w:r>
          </w:p>
        </w:tc>
        <w:tc>
          <w:tcPr>
            <w:tcW w:w="146" w:type="dxa"/>
            <w:tcBorders/>
            <w:shd w:fill="auto" w:val="clear"/>
            <w:vAlign w:val="center"/>
          </w:tcPr>
          <w:p>
            <w:pPr>
              <w:pStyle w:val="TableContents"/>
              <w:spacing w:before="0" w:after="0"/>
              <w:ind w:left="0" w:right="0" w:hanging="0"/>
              <w:jc w:val="left"/>
              <w:rPr/>
            </w:pPr>
            <w:r>
              <w:rPr/>
              <w:t> </w:t>
            </w:r>
          </w:p>
        </w:tc>
        <w:tc>
          <w:tcPr>
            <w:tcW w:w="244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Weighted average cost of capital</w:t>
            </w:r>
          </w:p>
        </w:tc>
        <w:tc>
          <w:tcPr>
            <w:tcW w:w="146" w:type="dxa"/>
            <w:tcBorders/>
            <w:shd w:fill="auto" w:val="clear"/>
            <w:vAlign w:val="center"/>
          </w:tcPr>
          <w:p>
            <w:pPr>
              <w:pStyle w:val="TableContents"/>
              <w:spacing w:before="0" w:after="0"/>
              <w:ind w:left="0" w:right="0" w:hanging="0"/>
              <w:jc w:val="left"/>
              <w:rPr/>
            </w:pPr>
            <w:r>
              <w:rPr/>
              <w:t> </w:t>
            </w:r>
          </w:p>
        </w:tc>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10.1% - 23.6% (12.7%)</w:t>
            </w:r>
          </w:p>
        </w:tc>
      </w:tr>
      <w:tr>
        <w:trPr/>
        <w:tc>
          <w:tcPr>
            <w:tcW w:w="16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9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1" w:type="dxa"/>
            <w:tcBorders/>
            <w:shd w:fill="auto" w:val="clear"/>
            <w:vAlign w:val="center"/>
          </w:tcPr>
          <w:p>
            <w:pPr>
              <w:pStyle w:val="TableContents"/>
              <w:spacing w:before="0" w:after="0"/>
              <w:ind w:left="0" w:right="0" w:hanging="0"/>
              <w:jc w:val="left"/>
              <w:rPr/>
            </w:pPr>
            <w:r>
              <w:rPr/>
              <w:t> </w:t>
            </w:r>
          </w:p>
        </w:tc>
      </w:tr>
      <w:tr>
        <w:trPr/>
        <w:tc>
          <w:tcPr>
            <w:tcW w:w="1666"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Equity investments:</w:t>
            </w:r>
          </w:p>
        </w:tc>
        <w:tc>
          <w:tcPr>
            <w:tcW w:w="146" w:type="dxa"/>
            <w:tcBorders/>
            <w:shd w:fill="auto" w:val="clear"/>
            <w:vAlign w:val="center"/>
          </w:tcPr>
          <w:p>
            <w:pPr>
              <w:pStyle w:val="TableContents"/>
              <w:spacing w:before="0" w:after="0"/>
              <w:ind w:left="0" w:right="0" w:hanging="0"/>
              <w:jc w:val="left"/>
              <w:rPr/>
            </w:pPr>
            <w:r>
              <w:rPr/>
              <w:t> </w:t>
            </w:r>
          </w:p>
        </w:tc>
        <w:tc>
          <w:tcPr>
            <w:tcW w:w="129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1" w:type="dxa"/>
            <w:tcBorders/>
            <w:shd w:fill="auto" w:val="clear"/>
            <w:vAlign w:val="center"/>
          </w:tcPr>
          <w:p>
            <w:pPr>
              <w:pStyle w:val="TableContents"/>
              <w:spacing w:before="0" w:after="0"/>
              <w:ind w:left="0" w:right="0" w:firstLine="200"/>
              <w:jc w:val="left"/>
              <w:rPr/>
            </w:pPr>
            <w:r>
              <w:rPr/>
              <w:t> </w:t>
            </w:r>
          </w:p>
        </w:tc>
      </w:tr>
      <w:tr>
        <w:trPr/>
        <w:tc>
          <w:tcPr>
            <w:tcW w:w="166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Equity</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115,739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Enterprise value</w:t>
            </w:r>
          </w:p>
        </w:tc>
        <w:tc>
          <w:tcPr>
            <w:tcW w:w="146" w:type="dxa"/>
            <w:tcBorders/>
            <w:shd w:fill="auto" w:val="clear"/>
            <w:vAlign w:val="center"/>
          </w:tcPr>
          <w:p>
            <w:pPr>
              <w:pStyle w:val="TableContents"/>
              <w:spacing w:before="0" w:after="0"/>
              <w:ind w:left="0" w:right="0" w:hanging="0"/>
              <w:jc w:val="left"/>
              <w:rPr/>
            </w:pPr>
            <w:r>
              <w:rPr/>
              <w:t> </w:t>
            </w:r>
          </w:p>
        </w:tc>
        <w:tc>
          <w:tcPr>
            <w:tcW w:w="244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EBITDA multiples</w:t>
            </w:r>
          </w:p>
        </w:tc>
        <w:tc>
          <w:tcPr>
            <w:tcW w:w="146" w:type="dxa"/>
            <w:tcBorders/>
            <w:shd w:fill="auto" w:val="clear"/>
            <w:vAlign w:val="center"/>
          </w:tcPr>
          <w:p>
            <w:pPr>
              <w:pStyle w:val="TableContents"/>
              <w:spacing w:before="0" w:after="0"/>
              <w:ind w:left="0" w:right="0" w:hanging="0"/>
              <w:jc w:val="left"/>
              <w:rPr/>
            </w:pPr>
            <w:r>
              <w:rPr/>
              <w:t> </w:t>
            </w:r>
          </w:p>
        </w:tc>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3.5x - 16.0x (8.3x)</w:t>
            </w:r>
          </w:p>
        </w:tc>
      </w:tr>
      <w:tr>
        <w:trPr/>
        <w:tc>
          <w:tcPr>
            <w:tcW w:w="16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6,102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Enterprise value</w:t>
            </w:r>
          </w:p>
        </w:tc>
        <w:tc>
          <w:tcPr>
            <w:tcW w:w="146" w:type="dxa"/>
            <w:tcBorders/>
            <w:shd w:fill="auto" w:val="clear"/>
            <w:vAlign w:val="center"/>
          </w:tcPr>
          <w:p>
            <w:pPr>
              <w:pStyle w:val="TableContents"/>
              <w:spacing w:before="0" w:after="0"/>
              <w:ind w:left="0" w:right="0" w:hanging="0"/>
              <w:jc w:val="left"/>
              <w:rPr/>
            </w:pPr>
            <w:r>
              <w:rPr/>
              <w:t> </w:t>
            </w:r>
          </w:p>
        </w:tc>
        <w:tc>
          <w:tcPr>
            <w:tcW w:w="244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Revenue multiples</w:t>
            </w:r>
          </w:p>
        </w:tc>
        <w:tc>
          <w:tcPr>
            <w:tcW w:w="146" w:type="dxa"/>
            <w:tcBorders/>
            <w:shd w:fill="auto" w:val="clear"/>
            <w:vAlign w:val="center"/>
          </w:tcPr>
          <w:p>
            <w:pPr>
              <w:pStyle w:val="TableContents"/>
              <w:spacing w:before="0" w:after="0"/>
              <w:ind w:left="0" w:right="0" w:hanging="0"/>
              <w:jc w:val="left"/>
              <w:rPr/>
            </w:pPr>
            <w:r>
              <w:rPr/>
              <w:t> </w:t>
            </w:r>
          </w:p>
        </w:tc>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0.9x - 7.5x (5.8x)</w:t>
            </w:r>
          </w:p>
        </w:tc>
      </w:tr>
      <w:tr>
        <w:trPr/>
        <w:tc>
          <w:tcPr>
            <w:tcW w:w="16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29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1" w:type="dxa"/>
            <w:tcBorders/>
            <w:shd w:fill="auto" w:val="clear"/>
            <w:vAlign w:val="center"/>
          </w:tcPr>
          <w:p>
            <w:pPr>
              <w:pStyle w:val="TableContents"/>
              <w:spacing w:before="0" w:after="0"/>
              <w:ind w:left="0" w:right="0" w:firstLine="200"/>
              <w:jc w:val="left"/>
              <w:rPr/>
            </w:pPr>
            <w:r>
              <w:rPr/>
              <w:t> </w:t>
            </w:r>
          </w:p>
        </w:tc>
      </w:tr>
      <w:tr>
        <w:trPr/>
        <w:tc>
          <w:tcPr>
            <w:tcW w:w="1666"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Warrants</w:t>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Enterprise value</w:t>
            </w:r>
          </w:p>
        </w:tc>
        <w:tc>
          <w:tcPr>
            <w:tcW w:w="146" w:type="dxa"/>
            <w:tcBorders/>
            <w:shd w:fill="auto" w:val="clear"/>
            <w:vAlign w:val="center"/>
          </w:tcPr>
          <w:p>
            <w:pPr>
              <w:pStyle w:val="TableContents"/>
              <w:spacing w:before="0" w:after="0"/>
              <w:ind w:left="0" w:right="0" w:hanging="0"/>
              <w:jc w:val="left"/>
              <w:rPr/>
            </w:pPr>
            <w:r>
              <w:rPr/>
              <w:t> </w:t>
            </w:r>
          </w:p>
        </w:tc>
        <w:tc>
          <w:tcPr>
            <w:tcW w:w="244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EBITDA multiples</w:t>
            </w:r>
          </w:p>
        </w:tc>
        <w:tc>
          <w:tcPr>
            <w:tcW w:w="146" w:type="dxa"/>
            <w:tcBorders/>
            <w:shd w:fill="auto" w:val="clear"/>
            <w:vAlign w:val="center"/>
          </w:tcPr>
          <w:p>
            <w:pPr>
              <w:pStyle w:val="TableContents"/>
              <w:spacing w:before="0" w:after="0"/>
              <w:ind w:left="0" w:right="0" w:hanging="0"/>
              <w:jc w:val="left"/>
              <w:rPr/>
            </w:pPr>
            <w:r>
              <w:rPr/>
              <w:t> </w:t>
            </w:r>
          </w:p>
        </w:tc>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6.0x - 6.0x (6.0x)</w:t>
            </w:r>
          </w:p>
        </w:tc>
      </w:tr>
      <w:tr>
        <w:trPr/>
        <w:tc>
          <w:tcPr>
            <w:tcW w:w="166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84" w:type="dxa"/>
            <w:tcBorders/>
            <w:shd w:fill="auto" w:val="clear"/>
            <w:vAlign w:val="center"/>
          </w:tcPr>
          <w:p>
            <w:pPr>
              <w:pStyle w:val="TableContents"/>
              <w:spacing w:before="0" w:after="0"/>
              <w:ind w:left="0" w:right="0" w:hanging="0"/>
              <w:jc w:val="left"/>
              <w:rPr/>
            </w:pPr>
            <w:r>
              <w:rPr/>
              <w:t> </w:t>
            </w:r>
          </w:p>
        </w:tc>
        <w:tc>
          <w:tcPr>
            <w:tcW w:w="1006"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7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Enterprise value</w:t>
            </w:r>
          </w:p>
        </w:tc>
        <w:tc>
          <w:tcPr>
            <w:tcW w:w="146" w:type="dxa"/>
            <w:tcBorders/>
            <w:shd w:fill="auto" w:val="clear"/>
            <w:vAlign w:val="center"/>
          </w:tcPr>
          <w:p>
            <w:pPr>
              <w:pStyle w:val="TableContents"/>
              <w:spacing w:before="0" w:after="0"/>
              <w:ind w:left="0" w:right="0" w:hanging="0"/>
              <w:jc w:val="left"/>
              <w:rPr/>
            </w:pPr>
            <w:r>
              <w:rPr/>
              <w:t> </w:t>
            </w:r>
          </w:p>
        </w:tc>
        <w:tc>
          <w:tcPr>
            <w:tcW w:w="244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Revenue multiples</w:t>
            </w:r>
          </w:p>
        </w:tc>
        <w:tc>
          <w:tcPr>
            <w:tcW w:w="146" w:type="dxa"/>
            <w:tcBorders/>
            <w:shd w:fill="auto" w:val="clear"/>
            <w:vAlign w:val="center"/>
          </w:tcPr>
          <w:p>
            <w:pPr>
              <w:pStyle w:val="TableContents"/>
              <w:spacing w:before="0" w:after="0"/>
              <w:ind w:left="0" w:right="0" w:hanging="0"/>
              <w:jc w:val="left"/>
              <w:rPr/>
            </w:pPr>
            <w:r>
              <w:rPr/>
              <w:t> </w:t>
            </w:r>
          </w:p>
        </w:tc>
        <w:tc>
          <w:tcPr>
            <w:tcW w:w="186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4.5x - 4.5x (4.5x)</w:t>
            </w:r>
          </w:p>
        </w:tc>
      </w:tr>
      <w:tr>
        <w:trPr/>
        <w:tc>
          <w:tcPr>
            <w:tcW w:w="9704" w:type="dxa"/>
            <w:gridSpan w:val="11"/>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(1) Unobservable inputs were weighted by the relative fair value of the instruments.</w:t>
            </w:r>
          </w:p>
        </w:tc>
      </w:tr>
      <w:tr>
        <w:trPr/>
        <w:tc>
          <w:tcPr>
            <w:tcW w:w="9704" w:type="dxa"/>
            <w:gridSpan w:val="11"/>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180" w:after="0"/>
        <w:jc w:val="both"/>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29</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shares and per share data)</w:t>
      </w:r>
    </w:p>
    <w:tbl>
      <w:tblPr>
        <w:tblW w:w="10205" w:type="dxa"/>
        <w:jc w:val="left"/>
        <w:tblInd w:w="0" w:type="dxa"/>
        <w:tblCellMar>
          <w:top w:w="28" w:type="dxa"/>
          <w:left w:w="28" w:type="dxa"/>
          <w:bottom w:w="28" w:type="dxa"/>
          <w:right w:w="28" w:type="dxa"/>
        </w:tblCellMar>
      </w:tblPr>
      <w:tblGrid>
        <w:gridCol w:w="1664"/>
        <w:gridCol w:w="146"/>
        <w:gridCol w:w="340"/>
        <w:gridCol w:w="1202"/>
        <w:gridCol w:w="146"/>
        <w:gridCol w:w="146"/>
        <w:gridCol w:w="1964"/>
        <w:gridCol w:w="146"/>
        <w:gridCol w:w="2443"/>
        <w:gridCol w:w="146"/>
        <w:gridCol w:w="1862"/>
      </w:tblGrid>
      <w:tr>
        <w:trPr/>
        <w:tc>
          <w:tcPr>
            <w:tcW w:w="166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2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62" w:type="dxa"/>
            <w:tcBorders/>
            <w:shd w:fill="auto" w:val="clear"/>
            <w:vAlign w:val="center"/>
          </w:tcPr>
          <w:p>
            <w:pPr>
              <w:pStyle w:val="TableContents"/>
              <w:spacing w:before="0" w:after="283"/>
              <w:rPr>
                <w:sz w:val="4"/>
                <w:szCs w:val="4"/>
              </w:rPr>
            </w:pPr>
            <w:r>
              <w:rPr>
                <w:sz w:val="4"/>
                <w:szCs w:val="4"/>
              </w:rPr>
            </w:r>
          </w:p>
        </w:tc>
      </w:tr>
      <w:tr>
        <w:trPr/>
        <w:tc>
          <w:tcPr>
            <w:tcW w:w="166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42" w:type="dxa"/>
            <w:gridSpan w:val="2"/>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Fair Value at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4"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Valuation</w:t>
            </w:r>
          </w:p>
        </w:tc>
        <w:tc>
          <w:tcPr>
            <w:tcW w:w="146" w:type="dxa"/>
            <w:tcBorders/>
            <w:shd w:fill="auto" w:val="clear"/>
            <w:vAlign w:val="center"/>
          </w:tcPr>
          <w:p>
            <w:pPr>
              <w:pStyle w:val="TableContents"/>
              <w:spacing w:before="0" w:after="0"/>
              <w:ind w:left="0" w:right="0" w:hanging="0"/>
              <w:jc w:val="center"/>
              <w:rPr/>
            </w:pPr>
            <w:r>
              <w:rPr/>
              <w:t> </w:t>
            </w:r>
          </w:p>
        </w:tc>
        <w:tc>
          <w:tcPr>
            <w:tcW w:w="2443"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Unobservable</w:t>
            </w:r>
          </w:p>
        </w:tc>
        <w:tc>
          <w:tcPr>
            <w:tcW w:w="146" w:type="dxa"/>
            <w:tcBorders/>
            <w:shd w:fill="auto" w:val="clear"/>
            <w:vAlign w:val="center"/>
          </w:tcPr>
          <w:p>
            <w:pPr>
              <w:pStyle w:val="TableContents"/>
              <w:spacing w:before="0" w:after="0"/>
              <w:ind w:left="0" w:right="0" w:hanging="0"/>
              <w:jc w:val="center"/>
              <w:rPr/>
            </w:pPr>
            <w:r>
              <w:rPr/>
              <w:t> </w:t>
            </w:r>
          </w:p>
        </w:tc>
        <w:tc>
          <w:tcPr>
            <w:tcW w:w="1862" w:type="dxa"/>
            <w:tcBorders/>
            <w:shd w:fill="auto" w:val="cle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Range</w:t>
            </w:r>
          </w:p>
        </w:tc>
      </w:tr>
      <w:tr>
        <w:trPr/>
        <w:tc>
          <w:tcPr>
            <w:tcW w:w="166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December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9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Techniques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4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8"/>
              </w:rPr>
            </w:pPr>
            <w:r>
              <w:rPr>
                <w:rFonts w:ascii="Times New Roman;serif" w:hAnsi="Times New Roman;serif"/>
                <w:b/>
                <w:sz w:val="18"/>
              </w:rPr>
              <w:t>Inputs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8"/>
              </w:rPr>
            </w:pPr>
            <w:r>
              <w:rPr>
                <w:rFonts w:ascii="Times New Roman;serif" w:hAnsi="Times New Roman;serif"/>
                <w:b/>
                <w:sz w:val="18"/>
              </w:rPr>
              <w:t>(weighted average)</w:t>
            </w:r>
            <w:r>
              <w:rPr>
                <w:rFonts w:ascii="Times New Roman;serif" w:hAnsi="Times New Roman;serif"/>
                <w:b/>
                <w:sz w:val="12"/>
              </w:rPr>
              <w:t>(1)</w:t>
            </w:r>
          </w:p>
        </w:tc>
      </w:tr>
      <w:tr>
        <w:trPr/>
        <w:tc>
          <w:tcPr>
            <w:tcW w:w="1664"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Debt investments:</w:t>
            </w:r>
          </w:p>
        </w:tc>
        <w:tc>
          <w:tcPr>
            <w:tcW w:w="146" w:type="dxa"/>
            <w:tcBorders/>
            <w:shd w:fill="auto" w:val="clear"/>
            <w:vAlign w:val="center"/>
          </w:tcPr>
          <w:p>
            <w:pPr>
              <w:pStyle w:val="TableContents"/>
              <w:spacing w:before="0" w:after="0"/>
              <w:ind w:left="0" w:right="0" w:hanging="0"/>
              <w:jc w:val="left"/>
              <w:rPr/>
            </w:pPr>
            <w:r>
              <w:rPr/>
              <w:t> </w:t>
            </w:r>
          </w:p>
        </w:tc>
        <w:tc>
          <w:tcPr>
            <w:tcW w:w="1542" w:type="dxa"/>
            <w:gridSpan w:val="2"/>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2" w:type="dxa"/>
            <w:tcBorders/>
            <w:shd w:fill="auto" w:val="clear"/>
            <w:vAlign w:val="center"/>
          </w:tcPr>
          <w:p>
            <w:pPr>
              <w:pStyle w:val="TableContents"/>
              <w:spacing w:before="0" w:after="0"/>
              <w:ind w:left="0" w:right="0" w:firstLine="200"/>
              <w:jc w:val="left"/>
              <w:rPr/>
            </w:pPr>
            <w:r>
              <w:rPr/>
              <w:t> </w:t>
            </w:r>
          </w:p>
        </w:tc>
      </w:tr>
      <w:tr>
        <w:trPr/>
        <w:tc>
          <w:tcPr>
            <w:tcW w:w="1664"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First Lien Debt</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20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441,830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4"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Discounted cash flow</w:t>
            </w:r>
          </w:p>
        </w:tc>
        <w:tc>
          <w:tcPr>
            <w:tcW w:w="146" w:type="dxa"/>
            <w:tcBorders/>
            <w:shd w:fill="auto" w:val="clear"/>
            <w:vAlign w:val="center"/>
          </w:tcPr>
          <w:p>
            <w:pPr>
              <w:pStyle w:val="TableContents"/>
              <w:spacing w:before="0" w:after="0"/>
              <w:ind w:left="0" w:right="0" w:hanging="0"/>
              <w:jc w:val="left"/>
              <w:rPr/>
            </w:pPr>
            <w:r>
              <w:rPr/>
              <w:t> </w:t>
            </w:r>
          </w:p>
        </w:tc>
        <w:tc>
          <w:tcPr>
            <w:tcW w:w="2443"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Weighted average cost of capital</w:t>
            </w:r>
          </w:p>
        </w:tc>
        <w:tc>
          <w:tcPr>
            <w:tcW w:w="146" w:type="dxa"/>
            <w:tcBorders/>
            <w:shd w:fill="auto" w:val="clear"/>
            <w:vAlign w:val="center"/>
          </w:tcPr>
          <w:p>
            <w:pPr>
              <w:pStyle w:val="TableContents"/>
              <w:spacing w:before="0" w:after="0"/>
              <w:ind w:left="0" w:right="0" w:hanging="0"/>
              <w:jc w:val="left"/>
              <w:rPr/>
            </w:pPr>
            <w:r>
              <w:rPr/>
              <w:t> </w:t>
            </w:r>
          </w:p>
        </w:tc>
        <w:tc>
          <w:tcPr>
            <w:tcW w:w="186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8.9% - 21.9% (15.5%)</w:t>
            </w:r>
          </w:p>
        </w:tc>
      </w:tr>
      <w:tr>
        <w:trPr/>
        <w:tc>
          <w:tcPr>
            <w:tcW w:w="166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120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4"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Enterprise value</w:t>
            </w:r>
          </w:p>
        </w:tc>
        <w:tc>
          <w:tcPr>
            <w:tcW w:w="146" w:type="dxa"/>
            <w:tcBorders/>
            <w:shd w:fill="auto" w:val="clear"/>
            <w:vAlign w:val="center"/>
          </w:tcPr>
          <w:p>
            <w:pPr>
              <w:pStyle w:val="TableContents"/>
              <w:spacing w:before="0" w:after="0"/>
              <w:ind w:left="0" w:right="0" w:hanging="0"/>
              <w:jc w:val="left"/>
              <w:rPr/>
            </w:pPr>
            <w:r>
              <w:rPr/>
              <w:t> </w:t>
            </w:r>
          </w:p>
        </w:tc>
        <w:tc>
          <w:tcPr>
            <w:tcW w:w="2443"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Asset Coverage</w:t>
            </w:r>
          </w:p>
        </w:tc>
        <w:tc>
          <w:tcPr>
            <w:tcW w:w="146" w:type="dxa"/>
            <w:tcBorders/>
            <w:shd w:fill="auto" w:val="clear"/>
            <w:vAlign w:val="center"/>
          </w:tcPr>
          <w:p>
            <w:pPr>
              <w:pStyle w:val="TableContents"/>
              <w:spacing w:before="0" w:after="0"/>
              <w:ind w:left="0" w:right="0" w:hanging="0"/>
              <w:jc w:val="left"/>
              <w:rPr/>
            </w:pPr>
            <w:r>
              <w:rPr/>
              <w:t> </w:t>
            </w:r>
          </w:p>
        </w:tc>
        <w:tc>
          <w:tcPr>
            <w:tcW w:w="186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1.1x - 1.1x (1.1x)</w:t>
            </w:r>
          </w:p>
        </w:tc>
      </w:tr>
      <w:tr>
        <w:trPr/>
        <w:tc>
          <w:tcPr>
            <w:tcW w:w="166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120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3,275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4"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Enterprise value</w:t>
            </w:r>
          </w:p>
        </w:tc>
        <w:tc>
          <w:tcPr>
            <w:tcW w:w="146" w:type="dxa"/>
            <w:tcBorders/>
            <w:shd w:fill="auto" w:val="clear"/>
            <w:vAlign w:val="center"/>
          </w:tcPr>
          <w:p>
            <w:pPr>
              <w:pStyle w:val="TableContents"/>
              <w:spacing w:before="0" w:after="0"/>
              <w:ind w:left="0" w:right="0" w:hanging="0"/>
              <w:jc w:val="left"/>
              <w:rPr/>
            </w:pPr>
            <w:r>
              <w:rPr/>
              <w:t> </w:t>
            </w:r>
          </w:p>
        </w:tc>
        <w:tc>
          <w:tcPr>
            <w:tcW w:w="2443"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Revenue multiples</w:t>
            </w:r>
          </w:p>
        </w:tc>
        <w:tc>
          <w:tcPr>
            <w:tcW w:w="146" w:type="dxa"/>
            <w:tcBorders/>
            <w:shd w:fill="auto" w:val="clear"/>
            <w:vAlign w:val="center"/>
          </w:tcPr>
          <w:p>
            <w:pPr>
              <w:pStyle w:val="TableContents"/>
              <w:spacing w:before="0" w:after="0"/>
              <w:ind w:left="0" w:right="0" w:hanging="0"/>
              <w:jc w:val="left"/>
              <w:rPr/>
            </w:pPr>
            <w:r>
              <w:rPr/>
              <w:t> </w:t>
            </w:r>
          </w:p>
        </w:tc>
        <w:tc>
          <w:tcPr>
            <w:tcW w:w="186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4.3x - 4.3x (4.3x)</w:t>
            </w:r>
          </w:p>
        </w:tc>
      </w:tr>
      <w:tr>
        <w:trPr/>
        <w:tc>
          <w:tcPr>
            <w:tcW w:w="166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5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2" w:type="dxa"/>
            <w:tcBorders/>
            <w:shd w:fill="auto" w:val="clear"/>
            <w:vAlign w:val="center"/>
          </w:tcPr>
          <w:p>
            <w:pPr>
              <w:pStyle w:val="TableContents"/>
              <w:spacing w:before="0" w:after="0"/>
              <w:ind w:left="0" w:right="0" w:firstLine="200"/>
              <w:jc w:val="left"/>
              <w:rPr/>
            </w:pPr>
            <w:r>
              <w:rPr/>
              <w:t> </w:t>
            </w:r>
          </w:p>
        </w:tc>
      </w:tr>
      <w:tr>
        <w:trPr/>
        <w:tc>
          <w:tcPr>
            <w:tcW w:w="1664"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Second Lien Debt</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120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180,825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4"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Discounted cash flow (2)</w:t>
            </w:r>
          </w:p>
        </w:tc>
        <w:tc>
          <w:tcPr>
            <w:tcW w:w="146" w:type="dxa"/>
            <w:tcBorders/>
            <w:shd w:fill="auto" w:val="clear"/>
            <w:vAlign w:val="center"/>
          </w:tcPr>
          <w:p>
            <w:pPr>
              <w:pStyle w:val="TableContents"/>
              <w:spacing w:before="0" w:after="0"/>
              <w:ind w:left="0" w:right="0" w:hanging="0"/>
              <w:jc w:val="left"/>
              <w:rPr/>
            </w:pPr>
            <w:r>
              <w:rPr/>
              <w:t> </w:t>
            </w:r>
          </w:p>
        </w:tc>
        <w:tc>
          <w:tcPr>
            <w:tcW w:w="2443"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Weighted average cost of capital</w:t>
            </w:r>
          </w:p>
        </w:tc>
        <w:tc>
          <w:tcPr>
            <w:tcW w:w="146" w:type="dxa"/>
            <w:tcBorders/>
            <w:shd w:fill="auto" w:val="clear"/>
            <w:vAlign w:val="center"/>
          </w:tcPr>
          <w:p>
            <w:pPr>
              <w:pStyle w:val="TableContents"/>
              <w:spacing w:before="0" w:after="0"/>
              <w:ind w:left="0" w:right="0" w:hanging="0"/>
              <w:jc w:val="left"/>
              <w:rPr/>
            </w:pPr>
            <w:r>
              <w:rPr/>
              <w:t> </w:t>
            </w:r>
          </w:p>
        </w:tc>
        <w:tc>
          <w:tcPr>
            <w:tcW w:w="186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11.7% - 25.0% (14.5%)</w:t>
            </w:r>
          </w:p>
        </w:tc>
      </w:tr>
      <w:tr>
        <w:trPr/>
        <w:tc>
          <w:tcPr>
            <w:tcW w:w="166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120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4"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Enterprise value</w:t>
            </w:r>
          </w:p>
        </w:tc>
        <w:tc>
          <w:tcPr>
            <w:tcW w:w="146" w:type="dxa"/>
            <w:tcBorders/>
            <w:shd w:fill="auto" w:val="clear"/>
            <w:vAlign w:val="center"/>
          </w:tcPr>
          <w:p>
            <w:pPr>
              <w:pStyle w:val="TableContents"/>
              <w:spacing w:before="0" w:after="0"/>
              <w:ind w:left="0" w:right="0" w:hanging="0"/>
              <w:jc w:val="left"/>
              <w:rPr/>
            </w:pPr>
            <w:r>
              <w:rPr/>
              <w:t> </w:t>
            </w:r>
          </w:p>
        </w:tc>
        <w:tc>
          <w:tcPr>
            <w:tcW w:w="2443"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EBITDA multiples</w:t>
            </w:r>
          </w:p>
        </w:tc>
        <w:tc>
          <w:tcPr>
            <w:tcW w:w="146" w:type="dxa"/>
            <w:tcBorders/>
            <w:shd w:fill="auto" w:val="clear"/>
            <w:vAlign w:val="center"/>
          </w:tcPr>
          <w:p>
            <w:pPr>
              <w:pStyle w:val="TableContents"/>
              <w:spacing w:before="0" w:after="0"/>
              <w:ind w:left="0" w:right="0" w:hanging="0"/>
              <w:jc w:val="left"/>
              <w:rPr/>
            </w:pPr>
            <w:r>
              <w:rPr/>
              <w:t> </w:t>
            </w:r>
          </w:p>
        </w:tc>
        <w:tc>
          <w:tcPr>
            <w:tcW w:w="186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5.0x - 5.0x (5.0x)</w:t>
            </w:r>
          </w:p>
        </w:tc>
      </w:tr>
      <w:tr>
        <w:trPr/>
        <w:tc>
          <w:tcPr>
            <w:tcW w:w="166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120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2,123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4"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Enterprise value</w:t>
            </w:r>
          </w:p>
        </w:tc>
        <w:tc>
          <w:tcPr>
            <w:tcW w:w="146" w:type="dxa"/>
            <w:tcBorders/>
            <w:shd w:fill="auto" w:val="clear"/>
            <w:vAlign w:val="center"/>
          </w:tcPr>
          <w:p>
            <w:pPr>
              <w:pStyle w:val="TableContents"/>
              <w:spacing w:before="0" w:after="0"/>
              <w:ind w:left="0" w:right="0" w:hanging="0"/>
              <w:jc w:val="left"/>
              <w:rPr/>
            </w:pPr>
            <w:r>
              <w:rPr/>
              <w:t> </w:t>
            </w:r>
          </w:p>
        </w:tc>
        <w:tc>
          <w:tcPr>
            <w:tcW w:w="2443"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Asset Coverage</w:t>
            </w:r>
          </w:p>
        </w:tc>
        <w:tc>
          <w:tcPr>
            <w:tcW w:w="146" w:type="dxa"/>
            <w:tcBorders/>
            <w:shd w:fill="auto" w:val="clear"/>
            <w:vAlign w:val="center"/>
          </w:tcPr>
          <w:p>
            <w:pPr>
              <w:pStyle w:val="TableContents"/>
              <w:spacing w:before="0" w:after="0"/>
              <w:ind w:left="0" w:right="0" w:hanging="0"/>
              <w:jc w:val="left"/>
              <w:rPr/>
            </w:pPr>
            <w:r>
              <w:rPr/>
              <w:t> </w:t>
            </w:r>
          </w:p>
        </w:tc>
        <w:tc>
          <w:tcPr>
            <w:tcW w:w="1862"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0.8x - 0.8x (0.8x)</w:t>
            </w:r>
          </w:p>
        </w:tc>
      </w:tr>
      <w:tr>
        <w:trPr/>
        <w:tc>
          <w:tcPr>
            <w:tcW w:w="1664" w:type="dxa"/>
            <w:tcBorders/>
            <w:shd w:fill="auto" w:val="clear"/>
            <w:vAlign w:val="center"/>
          </w:tcPr>
          <w:p>
            <w:pPr>
              <w:pStyle w:val="TableContents"/>
              <w:spacing w:before="0" w:after="283"/>
              <w:ind w:left="0" w:right="0" w:firstLine="20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5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2" w:type="dxa"/>
            <w:tcBorders/>
            <w:shd w:fill="auto" w:val="clear"/>
            <w:vAlign w:val="center"/>
          </w:tcPr>
          <w:p>
            <w:pPr>
              <w:pStyle w:val="TableContents"/>
              <w:spacing w:before="0" w:after="0"/>
              <w:ind w:left="0" w:right="0" w:firstLine="200"/>
              <w:jc w:val="left"/>
              <w:rPr/>
            </w:pPr>
            <w:r>
              <w:rPr/>
              <w:t> </w:t>
            </w:r>
          </w:p>
        </w:tc>
      </w:tr>
      <w:tr>
        <w:trPr/>
        <w:tc>
          <w:tcPr>
            <w:tcW w:w="1664"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Subordinated Debt</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120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97,706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4"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Discounted cash flow</w:t>
            </w:r>
          </w:p>
        </w:tc>
        <w:tc>
          <w:tcPr>
            <w:tcW w:w="146" w:type="dxa"/>
            <w:tcBorders/>
            <w:shd w:fill="auto" w:val="clear"/>
            <w:vAlign w:val="center"/>
          </w:tcPr>
          <w:p>
            <w:pPr>
              <w:pStyle w:val="TableContents"/>
              <w:spacing w:before="0" w:after="0"/>
              <w:ind w:left="0" w:right="0" w:hanging="0"/>
              <w:jc w:val="left"/>
              <w:rPr/>
            </w:pPr>
            <w:r>
              <w:rPr/>
              <w:t> </w:t>
            </w:r>
          </w:p>
        </w:tc>
        <w:tc>
          <w:tcPr>
            <w:tcW w:w="2443"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Weighted average cost of capital</w:t>
            </w:r>
          </w:p>
        </w:tc>
        <w:tc>
          <w:tcPr>
            <w:tcW w:w="146" w:type="dxa"/>
            <w:tcBorders/>
            <w:shd w:fill="auto" w:val="clear"/>
            <w:vAlign w:val="center"/>
          </w:tcPr>
          <w:p>
            <w:pPr>
              <w:pStyle w:val="TableContents"/>
              <w:spacing w:before="0" w:after="0"/>
              <w:ind w:left="0" w:right="0" w:hanging="0"/>
              <w:jc w:val="left"/>
              <w:rPr/>
            </w:pPr>
            <w:r>
              <w:rPr/>
              <w:t> </w:t>
            </w:r>
          </w:p>
        </w:tc>
        <w:tc>
          <w:tcPr>
            <w:tcW w:w="186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10.0% - 15.2% (12.5%)</w:t>
            </w:r>
          </w:p>
        </w:tc>
      </w:tr>
      <w:tr>
        <w:trPr/>
        <w:tc>
          <w:tcPr>
            <w:tcW w:w="166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120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3,750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4"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Enterprise value</w:t>
            </w:r>
          </w:p>
        </w:tc>
        <w:tc>
          <w:tcPr>
            <w:tcW w:w="146" w:type="dxa"/>
            <w:tcBorders/>
            <w:shd w:fill="auto" w:val="clear"/>
            <w:vAlign w:val="center"/>
          </w:tcPr>
          <w:p>
            <w:pPr>
              <w:pStyle w:val="TableContents"/>
              <w:spacing w:before="0" w:after="0"/>
              <w:ind w:left="0" w:right="0" w:hanging="0"/>
              <w:jc w:val="left"/>
              <w:rPr/>
            </w:pPr>
            <w:r>
              <w:rPr/>
              <w:t> </w:t>
            </w:r>
          </w:p>
        </w:tc>
        <w:tc>
          <w:tcPr>
            <w:tcW w:w="2443"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EBITDA multiples</w:t>
            </w:r>
          </w:p>
        </w:tc>
        <w:tc>
          <w:tcPr>
            <w:tcW w:w="146" w:type="dxa"/>
            <w:tcBorders/>
            <w:shd w:fill="auto" w:val="clear"/>
            <w:vAlign w:val="center"/>
          </w:tcPr>
          <w:p>
            <w:pPr>
              <w:pStyle w:val="TableContents"/>
              <w:spacing w:before="0" w:after="0"/>
              <w:ind w:left="0" w:right="0" w:hanging="0"/>
              <w:jc w:val="left"/>
              <w:rPr/>
            </w:pPr>
            <w:r>
              <w:rPr/>
              <w:t> </w:t>
            </w:r>
          </w:p>
        </w:tc>
        <w:tc>
          <w:tcPr>
            <w:tcW w:w="1862"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8.5x - 8.5x (8.5x)</w:t>
            </w:r>
          </w:p>
        </w:tc>
      </w:tr>
      <w:tr>
        <w:trPr/>
        <w:tc>
          <w:tcPr>
            <w:tcW w:w="1664" w:type="dxa"/>
            <w:tcBorders/>
            <w:shd w:fill="auto" w:val="clear"/>
            <w:vAlign w:val="center"/>
          </w:tcPr>
          <w:p>
            <w:pPr>
              <w:pStyle w:val="TableContents"/>
              <w:spacing w:before="0" w:after="0"/>
              <w:ind w:left="20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2" w:type="dxa"/>
            <w:tcBorders/>
            <w:shd w:fill="auto" w:val="clear"/>
            <w:vAlign w:val="center"/>
          </w:tcPr>
          <w:p>
            <w:pPr>
              <w:pStyle w:val="TableContents"/>
              <w:spacing w:before="0" w:after="0"/>
              <w:ind w:left="0" w:right="0" w:hanging="0"/>
              <w:jc w:val="left"/>
              <w:rPr/>
            </w:pPr>
            <w:r>
              <w:rPr/>
              <w:t> </w:t>
            </w:r>
          </w:p>
        </w:tc>
      </w:tr>
      <w:tr>
        <w:trPr/>
        <w:tc>
          <w:tcPr>
            <w:tcW w:w="1664"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Equity investments:</w:t>
            </w:r>
          </w:p>
        </w:tc>
        <w:tc>
          <w:tcPr>
            <w:tcW w:w="146" w:type="dxa"/>
            <w:tcBorders/>
            <w:shd w:fill="auto" w:val="clear"/>
            <w:vAlign w:val="center"/>
          </w:tcPr>
          <w:p>
            <w:pPr>
              <w:pStyle w:val="TableContents"/>
              <w:spacing w:before="0" w:after="0"/>
              <w:ind w:left="0" w:right="0" w:hanging="0"/>
              <w:jc w:val="left"/>
              <w:rPr/>
            </w:pPr>
            <w:r>
              <w:rPr/>
              <w:t> </w:t>
            </w:r>
          </w:p>
        </w:tc>
        <w:tc>
          <w:tcPr>
            <w:tcW w:w="15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2" w:type="dxa"/>
            <w:tcBorders/>
            <w:shd w:fill="auto" w:val="clear"/>
            <w:vAlign w:val="center"/>
          </w:tcPr>
          <w:p>
            <w:pPr>
              <w:pStyle w:val="TableContents"/>
              <w:spacing w:before="0" w:after="0"/>
              <w:ind w:left="0" w:right="0" w:firstLine="200"/>
              <w:jc w:val="left"/>
              <w:rPr/>
            </w:pPr>
            <w:r>
              <w:rPr/>
              <w:t> </w:t>
            </w:r>
          </w:p>
        </w:tc>
      </w:tr>
      <w:tr>
        <w:trPr/>
        <w:tc>
          <w:tcPr>
            <w:tcW w:w="1664"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Equity</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120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111,808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4"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Enterprise value</w:t>
            </w:r>
          </w:p>
        </w:tc>
        <w:tc>
          <w:tcPr>
            <w:tcW w:w="146" w:type="dxa"/>
            <w:tcBorders/>
            <w:shd w:fill="auto" w:val="clear"/>
            <w:vAlign w:val="center"/>
          </w:tcPr>
          <w:p>
            <w:pPr>
              <w:pStyle w:val="TableContents"/>
              <w:spacing w:before="0" w:after="0"/>
              <w:ind w:left="0" w:right="0" w:hanging="0"/>
              <w:jc w:val="left"/>
              <w:rPr/>
            </w:pPr>
            <w:r>
              <w:rPr/>
              <w:t> </w:t>
            </w:r>
          </w:p>
        </w:tc>
        <w:tc>
          <w:tcPr>
            <w:tcW w:w="2443"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EBITDA multiples</w:t>
            </w:r>
          </w:p>
        </w:tc>
        <w:tc>
          <w:tcPr>
            <w:tcW w:w="146" w:type="dxa"/>
            <w:tcBorders/>
            <w:shd w:fill="auto" w:val="clear"/>
            <w:vAlign w:val="center"/>
          </w:tcPr>
          <w:p>
            <w:pPr>
              <w:pStyle w:val="TableContents"/>
              <w:spacing w:before="0" w:after="0"/>
              <w:ind w:left="0" w:right="0" w:hanging="0"/>
              <w:jc w:val="left"/>
              <w:rPr/>
            </w:pPr>
            <w:r>
              <w:rPr/>
              <w:t> </w:t>
            </w:r>
          </w:p>
        </w:tc>
        <w:tc>
          <w:tcPr>
            <w:tcW w:w="1862" w:type="dxa"/>
            <w:tcBorders/>
            <w:shd w:fill="auto" w:val="cle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4.0x - 16.8x (8.1x)</w:t>
            </w:r>
          </w:p>
        </w:tc>
      </w:tr>
      <w:tr>
        <w:trPr/>
        <w:tc>
          <w:tcPr>
            <w:tcW w:w="1664" w:type="dxa"/>
            <w:tcBorders/>
            <w:shd w:fill="auto" w:val="clear"/>
            <w:vAlign w:val="center"/>
          </w:tcPr>
          <w:p>
            <w:pPr>
              <w:pStyle w:val="TableContents"/>
              <w:spacing w:before="0" w:after="283"/>
              <w:ind w:left="0" w:right="0" w:firstLine="20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120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5,623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4"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Enterprise value</w:t>
            </w:r>
          </w:p>
        </w:tc>
        <w:tc>
          <w:tcPr>
            <w:tcW w:w="146" w:type="dxa"/>
            <w:tcBorders/>
            <w:shd w:fill="auto" w:val="clear"/>
            <w:vAlign w:val="center"/>
          </w:tcPr>
          <w:p>
            <w:pPr>
              <w:pStyle w:val="TableContents"/>
              <w:spacing w:before="0" w:after="0"/>
              <w:ind w:left="0" w:right="0" w:hanging="0"/>
              <w:jc w:val="left"/>
              <w:rPr/>
            </w:pPr>
            <w:r>
              <w:rPr/>
              <w:t> </w:t>
            </w:r>
          </w:p>
        </w:tc>
        <w:tc>
          <w:tcPr>
            <w:tcW w:w="2443"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Revenue multiples</w:t>
            </w:r>
          </w:p>
        </w:tc>
        <w:tc>
          <w:tcPr>
            <w:tcW w:w="146" w:type="dxa"/>
            <w:tcBorders/>
            <w:shd w:fill="auto" w:val="clear"/>
            <w:vAlign w:val="center"/>
          </w:tcPr>
          <w:p>
            <w:pPr>
              <w:pStyle w:val="TableContents"/>
              <w:spacing w:before="0" w:after="0"/>
              <w:ind w:left="0" w:right="0" w:hanging="0"/>
              <w:jc w:val="left"/>
              <w:rPr/>
            </w:pPr>
            <w:r>
              <w:rPr/>
              <w:t> </w:t>
            </w:r>
          </w:p>
        </w:tc>
        <w:tc>
          <w:tcPr>
            <w:tcW w:w="186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0.9x - 7.8x (6.4x)</w:t>
            </w:r>
          </w:p>
        </w:tc>
      </w:tr>
      <w:tr>
        <w:trPr/>
        <w:tc>
          <w:tcPr>
            <w:tcW w:w="166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54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43"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2" w:type="dxa"/>
            <w:tcBorders/>
            <w:shd w:fill="auto" w:val="clear"/>
            <w:vAlign w:val="center"/>
          </w:tcPr>
          <w:p>
            <w:pPr>
              <w:pStyle w:val="TableContents"/>
              <w:spacing w:before="0" w:after="0"/>
              <w:ind w:left="0" w:right="0" w:firstLine="200"/>
              <w:jc w:val="left"/>
              <w:rPr/>
            </w:pPr>
            <w:r>
              <w:rPr/>
              <w:t> </w:t>
            </w:r>
          </w:p>
        </w:tc>
      </w:tr>
      <w:tr>
        <w:trPr/>
        <w:tc>
          <w:tcPr>
            <w:tcW w:w="1664"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Warrants</w:t>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120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4"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Enterprise value</w:t>
            </w:r>
          </w:p>
        </w:tc>
        <w:tc>
          <w:tcPr>
            <w:tcW w:w="146" w:type="dxa"/>
            <w:tcBorders/>
            <w:shd w:fill="auto" w:val="clear"/>
            <w:vAlign w:val="center"/>
          </w:tcPr>
          <w:p>
            <w:pPr>
              <w:pStyle w:val="TableContents"/>
              <w:spacing w:before="0" w:after="0"/>
              <w:ind w:left="0" w:right="0" w:hanging="0"/>
              <w:jc w:val="left"/>
              <w:rPr/>
            </w:pPr>
            <w:r>
              <w:rPr/>
              <w:t> </w:t>
            </w:r>
          </w:p>
        </w:tc>
        <w:tc>
          <w:tcPr>
            <w:tcW w:w="2443"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EBITDA multiples</w:t>
            </w:r>
          </w:p>
        </w:tc>
        <w:tc>
          <w:tcPr>
            <w:tcW w:w="146" w:type="dxa"/>
            <w:tcBorders/>
            <w:shd w:fill="auto" w:val="clear"/>
            <w:vAlign w:val="center"/>
          </w:tcPr>
          <w:p>
            <w:pPr>
              <w:pStyle w:val="TableContents"/>
              <w:spacing w:before="0" w:after="0"/>
              <w:ind w:left="0" w:right="0" w:hanging="0"/>
              <w:jc w:val="left"/>
              <w:rPr/>
            </w:pPr>
            <w:r>
              <w:rPr/>
              <w:t> </w:t>
            </w:r>
          </w:p>
        </w:tc>
        <w:tc>
          <w:tcPr>
            <w:tcW w:w="186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6.0x - 6.0x (6.0x)</w:t>
            </w:r>
          </w:p>
        </w:tc>
      </w:tr>
      <w:tr>
        <w:trPr/>
        <w:tc>
          <w:tcPr>
            <w:tcW w:w="1664"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40" w:type="dxa"/>
            <w:tcBorders/>
            <w:shd w:fill="auto" w:val="clear"/>
            <w:vAlign w:val="center"/>
          </w:tcPr>
          <w:p>
            <w:pPr>
              <w:pStyle w:val="TableContents"/>
              <w:spacing w:before="0" w:after="0"/>
              <w:ind w:left="0" w:right="0" w:hanging="0"/>
              <w:jc w:val="left"/>
              <w:rPr/>
            </w:pPr>
            <w:r>
              <w:rPr/>
              <w:t> </w:t>
            </w:r>
          </w:p>
        </w:tc>
        <w:tc>
          <w:tcPr>
            <w:tcW w:w="1202"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4"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Enterprise value</w:t>
            </w:r>
          </w:p>
        </w:tc>
        <w:tc>
          <w:tcPr>
            <w:tcW w:w="146" w:type="dxa"/>
            <w:tcBorders/>
            <w:shd w:fill="auto" w:val="clear"/>
            <w:vAlign w:val="center"/>
          </w:tcPr>
          <w:p>
            <w:pPr>
              <w:pStyle w:val="TableContents"/>
              <w:spacing w:before="0" w:after="0"/>
              <w:ind w:left="0" w:right="0" w:hanging="0"/>
              <w:jc w:val="left"/>
              <w:rPr/>
            </w:pPr>
            <w:r>
              <w:rPr/>
              <w:t> </w:t>
            </w:r>
          </w:p>
        </w:tc>
        <w:tc>
          <w:tcPr>
            <w:tcW w:w="2443"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18"/>
              </w:rPr>
              <w:t>Revenue multiples</w:t>
            </w:r>
          </w:p>
        </w:tc>
        <w:tc>
          <w:tcPr>
            <w:tcW w:w="146" w:type="dxa"/>
            <w:tcBorders/>
            <w:shd w:fill="auto" w:val="clear"/>
            <w:vAlign w:val="center"/>
          </w:tcPr>
          <w:p>
            <w:pPr>
              <w:pStyle w:val="TableContents"/>
              <w:spacing w:before="0" w:after="0"/>
              <w:ind w:left="0" w:right="0" w:hanging="0"/>
              <w:jc w:val="left"/>
              <w:rPr/>
            </w:pPr>
            <w:r>
              <w:rPr/>
              <w:t> </w:t>
            </w:r>
          </w:p>
        </w:tc>
        <w:tc>
          <w:tcPr>
            <w:tcW w:w="1862"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4.5x - 4.5x (4.5x)</w:t>
            </w:r>
          </w:p>
        </w:tc>
      </w:tr>
    </w:tbl>
    <w:p>
      <w:pPr>
        <w:pStyle w:val="TextBody"/>
        <w:spacing w:before="180" w:after="0"/>
        <w:jc w:val="both"/>
        <w:rPr>
          <w:rFonts w:ascii="Times New Roman;serif" w:hAnsi="Times New Roman;serif"/>
          <w:b w:val="false"/>
          <w:sz w:val="16"/>
        </w:rPr>
      </w:pPr>
      <w:r>
        <w:rPr>
          <w:rFonts w:ascii="Times New Roman;serif" w:hAnsi="Times New Roman;serif"/>
          <w:b w:val="false"/>
          <w:sz w:val="16"/>
        </w:rPr>
        <w:t>(1) Unobservable inputs were weighted by the relative fair value of the instruments.</w:t>
      </w:r>
    </w:p>
    <w:p>
      <w:pPr>
        <w:pStyle w:val="TextBody"/>
        <w:spacing w:before="0" w:after="0"/>
        <w:jc w:val="both"/>
        <w:rPr>
          <w:rFonts w:ascii="Times New Roman" w:hAnsi="Times New Roman"/>
          <w:sz w:val="20"/>
        </w:rPr>
      </w:pPr>
      <w:r>
        <w:rPr>
          <w:rFonts w:ascii="Times New Roman;serif" w:hAnsi="Times New Roman;serif"/>
          <w:b w:val="false"/>
          <w:sz w:val="16"/>
        </w:rPr>
        <w:t>(2) Includes $18.0</w:t>
      </w:r>
      <w:r>
        <w:rPr>
          <w:rFonts w:ascii="Times New Roman" w:hAnsi="Times New Roman"/>
          <w:sz w:val="20"/>
        </w:rPr>
        <w:t xml:space="preserve"> </w:t>
      </w:r>
      <w:r>
        <w:rPr>
          <w:rFonts w:ascii="Times New Roman;serif" w:hAnsi="Times New Roman;serif"/>
          <w:b w:val="false"/>
          <w:sz w:val="16"/>
        </w:rPr>
        <w:t>million of debt investments which were valued using a trading discount to par.</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The significant unobservable input used in determining the fair value under the discounted cash flow technique is the weighted average cost of capital of each security. Significant increases (or decreases) in this input would likely result in significantly lower (or higher) fair value estimates.</w:t>
      </w:r>
    </w:p>
    <w:p>
      <w:pPr>
        <w:pStyle w:val="TextBody"/>
        <w:spacing w:before="0" w:after="180"/>
        <w:jc w:val="both"/>
        <w:rPr>
          <w:rFonts w:ascii="Times New Roman;serif" w:hAnsi="Times New Roman;serif"/>
          <w:b w:val="false"/>
          <w:sz w:val="20"/>
        </w:rPr>
      </w:pPr>
      <w:r>
        <w:rPr>
          <w:rFonts w:ascii="Times New Roman;serif" w:hAnsi="Times New Roman;serif"/>
          <w:b w:val="false"/>
          <w:sz w:val="20"/>
        </w:rPr>
        <w:t>The significant unobservable inputs used in determining fair value under the enterprise value technique are revenue and EBITDA multiples, as well as asset coverage. Significant increases (or decreases) in these inputs could result in significantly higher (or lower) fair value estimates.</w:t>
      </w:r>
    </w:p>
    <w:p>
      <w:pPr>
        <w:pStyle w:val="TextBody"/>
        <w:spacing w:before="0" w:after="180"/>
        <w:jc w:val="both"/>
        <w:rPr>
          <w:rFonts w:ascii="Times New Roman;serif" w:hAnsi="Times New Roman;serif"/>
          <w:b w:val="false"/>
          <w:i/>
          <w:sz w:val="20"/>
        </w:rPr>
      </w:pPr>
      <w:r>
        <w:rPr>
          <w:rFonts w:ascii="Times New Roman;serif" w:hAnsi="Times New Roman;serif"/>
          <w:b w:val="false"/>
          <w:i/>
          <w:sz w:val="20"/>
        </w:rPr>
        <w:t>Other Financial Assets and Liabilities</w:t>
      </w:r>
    </w:p>
    <w:p>
      <w:pPr>
        <w:pStyle w:val="TextBody"/>
        <w:spacing w:before="0" w:after="180"/>
        <w:jc w:val="both"/>
        <w:rPr>
          <w:rFonts w:ascii="Times New Roman" w:hAnsi="Times New Roman"/>
          <w:sz w:val="20"/>
        </w:rPr>
      </w:pPr>
      <w:r>
        <w:rPr>
          <w:rFonts w:ascii="Times New Roman;serif" w:hAnsi="Times New Roman;serif"/>
          <w:b w:val="false"/>
          <w:sz w:val="20"/>
        </w:rPr>
        <w:t>ASC Topic 820 requires disclosure of the fair value of financial instruments for which it is practical to estimate such value. The Company believes that the carrying amounts of its other financial instruments such as cash and cash equivalents, interest receivable and accounts payable and other liabilities approximate the fair value of such items due to the short maturity of such instruments. The Company’s borrowings under the Credit Facility (as defined in Note 6), the SBA debentures, and the Notes (as defined in Note 6) are recorded at their respective carrying values.</w:t>
      </w:r>
      <w:r>
        <w:rPr>
          <w:rFonts w:ascii="Times New Roman" w:hAnsi="Times New Roman"/>
          <w:sz w:val="20"/>
        </w:rPr>
        <w:t xml:space="preserve"> </w:t>
      </w:r>
    </w:p>
    <w:p>
      <w:pPr>
        <w:pStyle w:val="TextBody"/>
        <w:spacing w:before="0" w:after="0"/>
        <w:jc w:val="both"/>
        <w:rPr>
          <w:rFonts w:ascii="Times New Roman" w:hAnsi="Times New Roman"/>
          <w:sz w:val="20"/>
        </w:rPr>
      </w:pPr>
      <w:r>
        <w:rPr>
          <w:rFonts w:ascii="Times New Roman;serif" w:hAnsi="Times New Roman;serif"/>
          <w:b w:val="false"/>
          <w:sz w:val="20"/>
        </w:rPr>
        <w:t>The following tables summarize the carrying value and fair value of the Company’s debt obligations as of March 31, 2023 and December 31, 2022.</w:t>
      </w:r>
      <w:r>
        <w:rPr>
          <w:rFonts w:ascii="Times New Roman" w:hAnsi="Times New Roman"/>
          <w:sz w:val="20"/>
        </w:rPr>
        <w:t xml:space="preserve"> </w:t>
      </w:r>
    </w:p>
    <w:p>
      <w:pPr>
        <w:pStyle w:val="TextBody"/>
        <w:spacing w:before="0" w:after="0"/>
        <w:jc w:val="both"/>
        <w:rPr/>
      </w:pPr>
      <w:r>
        <w:rPr/>
        <w:t> </w:t>
      </w:r>
    </w:p>
    <w:tbl>
      <w:tblPr>
        <w:tblW w:w="9029" w:type="dxa"/>
        <w:jc w:val="left"/>
        <w:tblInd w:w="0" w:type="dxa"/>
        <w:tblCellMar>
          <w:top w:w="28" w:type="dxa"/>
          <w:left w:w="28" w:type="dxa"/>
          <w:bottom w:w="28" w:type="dxa"/>
          <w:right w:w="28" w:type="dxa"/>
        </w:tblCellMar>
      </w:tblPr>
      <w:tblGrid>
        <w:gridCol w:w="2476"/>
        <w:gridCol w:w="146"/>
        <w:gridCol w:w="351"/>
        <w:gridCol w:w="1299"/>
        <w:gridCol w:w="146"/>
        <w:gridCol w:w="146"/>
        <w:gridCol w:w="217"/>
        <w:gridCol w:w="803"/>
        <w:gridCol w:w="146"/>
        <w:gridCol w:w="146"/>
        <w:gridCol w:w="351"/>
        <w:gridCol w:w="1299"/>
        <w:gridCol w:w="146"/>
        <w:gridCol w:w="146"/>
        <w:gridCol w:w="217"/>
        <w:gridCol w:w="803"/>
        <w:gridCol w:w="191"/>
      </w:tblGrid>
      <w:tr>
        <w:trPr/>
        <w:tc>
          <w:tcPr>
            <w:tcW w:w="24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4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96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March 31, 2023</w:t>
            </w:r>
            <w:r>
              <w:rPr>
                <w:rFonts w:ascii="Times New Roman;serif" w:hAnsi="Times New Roman;serif"/>
                <w:b/>
                <w:sz w:val="13"/>
              </w:rPr>
              <w:t>(5)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962"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December 31, 2022</w:t>
            </w:r>
            <w:r>
              <w:rPr>
                <w:rFonts w:ascii="Times New Roman;serif" w:hAnsi="Times New Roman;serif"/>
                <w:b/>
                <w:sz w:val="13"/>
              </w:rPr>
              <w:t>(5)</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7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 xml:space="preserve">Carrying Value </w:t>
            </w:r>
            <w:r>
              <w:rPr>
                <w:rFonts w:ascii="Times New Roman;serif" w:hAnsi="Times New Roman;serif"/>
                <w:b/>
                <w:sz w:val="13"/>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 xml:space="preserve">Carrying Value </w:t>
            </w:r>
            <w:r>
              <w:rPr>
                <w:rFonts w:ascii="Times New Roman;serif" w:hAnsi="Times New Roman;serif"/>
                <w:b/>
                <w:sz w:val="13"/>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47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SBA debentures </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153,000</w:t>
            </w:r>
          </w:p>
        </w:tc>
        <w:tc>
          <w:tcPr>
            <w:tcW w:w="191" w:type="dxa"/>
            <w:tcBorders/>
            <w:shd w:fill="auto" w:val="clear"/>
            <w:vAlign w:val="center"/>
          </w:tcPr>
          <w:p>
            <w:pPr>
              <w:pStyle w:val="TableContents"/>
              <w:spacing w:before="0" w:after="0"/>
              <w:ind w:left="0" w:right="0" w:hanging="0"/>
              <w:jc w:val="left"/>
              <w:rPr/>
            </w:pPr>
            <w:r>
              <w:rPr/>
              <w:t> </w:t>
            </w:r>
          </w:p>
        </w:tc>
      </w:tr>
      <w:tr>
        <w:trPr/>
        <w:tc>
          <w:tcPr>
            <w:tcW w:w="247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Credit Facility borrowings </w:t>
            </w:r>
            <w:r>
              <w:rPr>
                <w:rFonts w:ascii="Times New Roman;serif" w:hAnsi="Times New Roman;serif"/>
                <w:b w:val="false"/>
                <w:sz w:val="13"/>
              </w:rPr>
              <w:t>(3)</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left"/>
              <w:rPr/>
            </w:pPr>
            <w:r>
              <w:rPr/>
              <w:t> </w:t>
            </w:r>
          </w:p>
        </w:tc>
        <w:tc>
          <w:tcPr>
            <w:tcW w:w="12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left"/>
              <w:rPr/>
            </w:pPr>
            <w:r>
              <w:rPr/>
              <w:t> </w:t>
            </w:r>
          </w:p>
        </w:tc>
        <w:tc>
          <w:tcPr>
            <w:tcW w:w="1299"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47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January 2026 Notes </w:t>
            </w:r>
            <w:r>
              <w:rPr>
                <w:rFonts w:ascii="Times New Roman;serif" w:hAnsi="Times New Roman;serif"/>
                <w:b w:val="false"/>
                <w:sz w:val="13"/>
              </w:rPr>
              <w:t>(4)</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left"/>
              <w:rPr/>
            </w:pPr>
            <w:r>
              <w:rPr/>
              <w:t> </w:t>
            </w:r>
          </w:p>
        </w:tc>
        <w:tc>
          <w:tcPr>
            <w:tcW w:w="12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110,759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shd w:fill="auto" w:val="clear"/>
            <w:vAlign w:val="center"/>
          </w:tcPr>
          <w:p>
            <w:pPr>
              <w:pStyle w:val="TableContents"/>
              <w:spacing w:before="0" w:after="0"/>
              <w:ind w:left="0" w:right="0" w:hanging="0"/>
              <w:jc w:val="left"/>
              <w:rPr/>
            </w:pPr>
            <w:r>
              <w:rPr/>
              <w:t> </w:t>
            </w:r>
          </w:p>
        </w:tc>
        <w:tc>
          <w:tcPr>
            <w:tcW w:w="1299"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111,854</w:t>
            </w:r>
          </w:p>
        </w:tc>
        <w:tc>
          <w:tcPr>
            <w:tcW w:w="191" w:type="dxa"/>
            <w:tcBorders/>
            <w:shd w:fill="auto" w:val="clear"/>
            <w:vAlign w:val="center"/>
          </w:tcPr>
          <w:p>
            <w:pPr>
              <w:pStyle w:val="TableContents"/>
              <w:spacing w:before="0" w:after="0"/>
              <w:ind w:left="0" w:right="0" w:hanging="0"/>
              <w:jc w:val="left"/>
              <w:rPr/>
            </w:pPr>
            <w:r>
              <w:rPr/>
              <w:t> </w:t>
            </w:r>
          </w:p>
        </w:tc>
      </w:tr>
      <w:tr>
        <w:trPr/>
        <w:tc>
          <w:tcPr>
            <w:tcW w:w="247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November 2026 Notes </w:t>
            </w:r>
            <w:r>
              <w:rPr>
                <w:rFonts w:ascii="Times New Roman;serif" w:hAnsi="Times New Roman;serif"/>
                <w:b w:val="false"/>
                <w:sz w:val="13"/>
              </w:rPr>
              <w:t>(4)</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102,700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2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103,963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4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3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430,000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393,459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403,000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368,817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20" w:after="0"/>
        <w:jc w:val="both"/>
        <w:rPr>
          <w:rFonts w:ascii="Times New Roman" w:hAnsi="Times New Roman"/>
          <w:b w:val="false"/>
          <w:sz w:val="16"/>
        </w:rPr>
      </w:pPr>
      <w:r>
        <w:rPr>
          <w:rFonts w:ascii="Times New Roman" w:hAnsi="Times New Roman"/>
          <w:b w:val="false"/>
          <w:sz w:val="16"/>
        </w:rPr>
        <w:t>(1)</w:t>
      </w:r>
    </w:p>
    <w:p>
      <w:pPr>
        <w:pStyle w:val="TextBody"/>
        <w:spacing w:before="120" w:after="0"/>
        <w:jc w:val="both"/>
        <w:rPr>
          <w:rFonts w:ascii="Times New Roman;serif" w:hAnsi="Times New Roman;serif"/>
          <w:b w:val="false"/>
          <w:sz w:val="16"/>
        </w:rPr>
      </w:pPr>
      <w:r>
        <w:rPr>
          <w:rFonts w:ascii="Times New Roman;serif" w:hAnsi="Times New Roman;serif"/>
          <w:b w:val="false"/>
          <w:sz w:val="16"/>
        </w:rPr>
        <w:t>Carrying value represents the outstanding principal balance of the debt obligation.</w:t>
      </w:r>
    </w:p>
    <w:p>
      <w:pPr>
        <w:pStyle w:val="TextBody"/>
        <w:spacing w:before="0" w:after="0"/>
        <w:jc w:val="both"/>
        <w:rPr>
          <w:rFonts w:ascii="Times New Roman" w:hAnsi="Times New Roman"/>
          <w:b w:val="false"/>
          <w:sz w:val="16"/>
        </w:rPr>
      </w:pPr>
      <w:r>
        <w:rPr>
          <w:rFonts w:ascii="Times New Roman" w:hAnsi="Times New Roman"/>
          <w:b w:val="false"/>
          <w:sz w:val="16"/>
        </w:rPr>
        <w:t>(2)</w:t>
      </w:r>
    </w:p>
    <w:p>
      <w:pPr>
        <w:pStyle w:val="TextBody"/>
        <w:spacing w:before="0" w:after="0"/>
        <w:jc w:val="both"/>
        <w:rPr>
          <w:rFonts w:ascii="Times New Roman;serif" w:hAnsi="Times New Roman;serif"/>
          <w:b w:val="false"/>
          <w:sz w:val="16"/>
        </w:rPr>
      </w:pPr>
      <w:r>
        <w:rPr>
          <w:rFonts w:ascii="Times New Roman;serif" w:hAnsi="Times New Roman;serif"/>
          <w:b w:val="false"/>
          <w:sz w:val="16"/>
        </w:rPr>
        <w:t>The fair value of the SBA debentures is estimated by discounting the remaining payments using current market rates for similar instruments and considering such factors as the legal maturity date and the ability of market participants to prepay the debentures, which are Level 3 inputs under ASC Topic 820.</w:t>
      </w:r>
    </w:p>
    <w:p>
      <w:pPr>
        <w:pStyle w:val="TextBody"/>
        <w:spacing w:before="0" w:after="0"/>
        <w:jc w:val="both"/>
        <w:rPr>
          <w:rFonts w:ascii="Times New Roman" w:hAnsi="Times New Roman"/>
          <w:b w:val="false"/>
          <w:sz w:val="16"/>
        </w:rPr>
      </w:pPr>
      <w:r>
        <w:rPr>
          <w:rFonts w:ascii="Times New Roman" w:hAnsi="Times New Roman"/>
          <w:b w:val="false"/>
          <w:sz w:val="16"/>
        </w:rPr>
        <w:t>(3)</w:t>
      </w:r>
    </w:p>
    <w:p>
      <w:pPr>
        <w:pStyle w:val="TextBody"/>
        <w:spacing w:before="0" w:after="0"/>
        <w:jc w:val="both"/>
        <w:rPr>
          <w:rFonts w:ascii="Times New Roman;serif" w:hAnsi="Times New Roman;serif"/>
          <w:b w:val="false"/>
          <w:sz w:val="16"/>
        </w:rPr>
      </w:pPr>
      <w:r>
        <w:rPr>
          <w:rFonts w:ascii="Times New Roman;serif" w:hAnsi="Times New Roman;serif"/>
          <w:b w:val="false"/>
          <w:sz w:val="16"/>
        </w:rPr>
        <w:t>The fair value of borrowings under the Credit Facility, if valued under ASC Topic 820, are based on a market yield approach and current interest rates, which are Level 3 inputs to the market yield model.</w:t>
      </w:r>
    </w:p>
    <w:p>
      <w:pPr>
        <w:pStyle w:val="TextBody"/>
        <w:spacing w:before="0" w:after="0"/>
        <w:jc w:val="both"/>
        <w:rPr>
          <w:rFonts w:ascii="Times New Roman" w:hAnsi="Times New Roman"/>
          <w:b w:val="false"/>
          <w:sz w:val="16"/>
        </w:rPr>
      </w:pPr>
      <w:r>
        <w:rPr>
          <w:rFonts w:ascii="Times New Roman" w:hAnsi="Times New Roman"/>
          <w:b w:val="false"/>
          <w:sz w:val="16"/>
        </w:rPr>
        <w:t>(4)</w:t>
      </w:r>
    </w:p>
    <w:p>
      <w:pPr>
        <w:pStyle w:val="TextBody"/>
        <w:spacing w:before="0" w:after="0"/>
        <w:jc w:val="both"/>
        <w:rPr>
          <w:rFonts w:ascii="Times New Roman;serif" w:hAnsi="Times New Roman;serif"/>
          <w:b w:val="false"/>
          <w:sz w:val="16"/>
        </w:rPr>
      </w:pPr>
      <w:r>
        <w:rPr>
          <w:rFonts w:ascii="Times New Roman;serif" w:hAnsi="Times New Roman;serif"/>
          <w:b w:val="false"/>
          <w:sz w:val="16"/>
        </w:rPr>
        <w:t>The fair value of the January 2026 Notes (as defined in Note 6) and the November 2026 Notes (as defined in Note 6) are estimated by discounting the remaining payments using current market rates for similar instruments and considering such factors as the legal maturity date, which are Level 3 inputs under ASC Topic 820.</w:t>
      </w:r>
    </w:p>
    <w:p>
      <w:pPr>
        <w:pStyle w:val="TextBody"/>
        <w:spacing w:before="0" w:after="0"/>
        <w:jc w:val="both"/>
        <w:rPr>
          <w:rFonts w:ascii="Times New Roman" w:hAnsi="Times New Roman"/>
          <w:b w:val="false"/>
          <w:sz w:val="16"/>
        </w:rPr>
      </w:pPr>
      <w:r>
        <w:rPr>
          <w:rFonts w:ascii="Times New Roman" w:hAnsi="Times New Roman"/>
          <w:b w:val="false"/>
          <w:sz w:val="16"/>
        </w:rPr>
        <w:t>(5)</w:t>
      </w:r>
    </w:p>
    <w:p>
      <w:pPr>
        <w:pStyle w:val="TextBody"/>
        <w:jc w:val="both"/>
        <w:rPr>
          <w:rFonts w:ascii="Times New Roman;serif" w:hAnsi="Times New Roman;serif"/>
          <w:sz w:val="20"/>
        </w:rPr>
      </w:pPr>
      <w:r>
        <w:rPr>
          <w:rFonts w:ascii="Times New Roman;serif" w:hAnsi="Times New Roman;serif"/>
          <w:b w:val="false"/>
          <w:sz w:val="16"/>
        </w:rPr>
        <w:t>Totals exclude $16,634</w:t>
      </w:r>
      <w:r>
        <w:rPr>
          <w:rFonts w:ascii="Times New Roman;serif" w:hAnsi="Times New Roman;serif"/>
          <w:sz w:val="20"/>
        </w:rPr>
        <w:t xml:space="preserve"> </w:t>
      </w:r>
      <w:r>
        <w:rPr>
          <w:rFonts w:ascii="Times New Roman;serif" w:hAnsi="Times New Roman;serif"/>
          <w:b w:val="false"/>
          <w:sz w:val="16"/>
        </w:rPr>
        <w:t>and $16,880</w:t>
      </w:r>
      <w:r>
        <w:rPr>
          <w:rFonts w:ascii="Times New Roman;serif" w:hAnsi="Times New Roman;serif"/>
          <w:sz w:val="20"/>
        </w:rPr>
        <w:t xml:space="preserve"> </w:t>
      </w:r>
      <w:r>
        <w:rPr>
          <w:rFonts w:ascii="Times New Roman;serif" w:hAnsi="Times New Roman;serif"/>
          <w:b w:val="false"/>
          <w:sz w:val="16"/>
        </w:rPr>
        <w:t>of Secured Borrowings as of March 31, 2023 and December 31, 2022, respectively.</w:t>
      </w:r>
    </w:p>
    <w:p>
      <w:pPr>
        <w:pStyle w:val="TextBody"/>
        <w:spacing w:before="0" w:after="0"/>
        <w:jc w:val="both"/>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30</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following table summarizes the inputs used to value the Company’s debt obligations if measured at fair value as of March 31, 2023 and December 31, 2022.</w:t>
      </w:r>
    </w:p>
    <w:p>
      <w:pPr>
        <w:pStyle w:val="TextBody"/>
        <w:spacing w:before="0" w:after="0"/>
        <w:jc w:val="both"/>
        <w:rPr/>
      </w:pPr>
      <w:r>
        <w:rPr/>
        <w:t> </w:t>
      </w:r>
    </w:p>
    <w:tbl>
      <w:tblPr>
        <w:tblW w:w="4412" w:type="dxa"/>
        <w:jc w:val="left"/>
        <w:tblInd w:w="0" w:type="dxa"/>
        <w:tblCellMar>
          <w:top w:w="28" w:type="dxa"/>
          <w:left w:w="28" w:type="dxa"/>
          <w:bottom w:w="28" w:type="dxa"/>
          <w:right w:w="28" w:type="dxa"/>
        </w:tblCellMar>
      </w:tblPr>
      <w:tblGrid>
        <w:gridCol w:w="1531"/>
        <w:gridCol w:w="146"/>
        <w:gridCol w:w="211"/>
        <w:gridCol w:w="781"/>
        <w:gridCol w:w="146"/>
        <w:gridCol w:w="146"/>
        <w:gridCol w:w="268"/>
        <w:gridCol w:w="992"/>
        <w:gridCol w:w="191"/>
      </w:tblGrid>
      <w:tr>
        <w:trPr/>
        <w:tc>
          <w:tcPr>
            <w:tcW w:w="15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5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4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Fair Value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3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60"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191" w:type="dxa"/>
            <w:tcBorders/>
            <w:shd w:fill="auto" w:val="clear"/>
            <w:vAlign w:val="center"/>
          </w:tcPr>
          <w:p>
            <w:pPr>
              <w:pStyle w:val="TableContents"/>
              <w:spacing w:before="0" w:after="0"/>
              <w:ind w:left="0" w:right="0" w:hanging="0"/>
              <w:jc w:val="center"/>
              <w:rPr/>
            </w:pPr>
            <w:r>
              <w:rPr/>
              <w:t> </w:t>
            </w:r>
          </w:p>
        </w:tc>
      </w:tr>
      <w:tr>
        <w:trPr/>
        <w:tc>
          <w:tcPr>
            <w:tcW w:w="15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Valuation Inputs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Level 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Level 2</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Level 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393,459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368,817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5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393,459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368,817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serif" w:hAnsi="Times New Roman;serif"/>
          <w:b/>
          <w:sz w:val="20"/>
        </w:rPr>
      </w:pPr>
      <w:r>
        <w:rPr>
          <w:rFonts w:ascii="Times New Roman;serif" w:hAnsi="Times New Roman;serif"/>
          <w:b/>
          <w:sz w:val="20"/>
        </w:rPr>
        <w:t>Note 5. Related Party Transactions</w:t>
      </w:r>
    </w:p>
    <w:p>
      <w:pPr>
        <w:pStyle w:val="TextBody"/>
        <w:spacing w:before="180" w:after="0"/>
        <w:jc w:val="both"/>
        <w:rPr>
          <w:rFonts w:ascii="Times New Roman" w:hAnsi="Times New Roman"/>
          <w:sz w:val="20"/>
        </w:rPr>
      </w:pPr>
      <w:r>
        <w:rPr>
          <w:rFonts w:ascii="Times New Roman;serif" w:hAnsi="Times New Roman;serif"/>
          <w:b w:val="false"/>
          <w:i/>
          <w:sz w:val="20"/>
        </w:rPr>
        <w:t>Investment Advisory Agreement:</w:t>
      </w:r>
      <w:r>
        <w:rPr>
          <w:rFonts w:ascii="Times New Roman" w:hAnsi="Times New Roman"/>
          <w:sz w:val="20"/>
        </w:rPr>
        <w:t xml:space="preserve"> </w:t>
      </w:r>
      <w:r>
        <w:rPr>
          <w:rFonts w:ascii="Times New Roman;serif" w:hAnsi="Times New Roman;serif"/>
          <w:b w:val="false"/>
          <w:sz w:val="20"/>
        </w:rPr>
        <w:t>The Company has entered into an Investment Advisory Agreement with the Investment Advisor. On June 9, 2022, the Board approved the renewal of the Investment Advisory Agreement for the period beginning June 20, 2022 through June 20, 2023. Pursuant to the Investment Advisory Agreement and subject to the overall supervision of the Board, the Investment Advisor provides investment advisory services to the Company. For providing these services, the Investment Advisor receives a fee, consisting of two components — a base management fee and an incentive fee.</w:t>
      </w:r>
    </w:p>
    <w:p>
      <w:pPr>
        <w:pStyle w:val="TextBody"/>
        <w:spacing w:before="180" w:after="0"/>
        <w:jc w:val="both"/>
        <w:rPr>
          <w:rFonts w:ascii="Times New Roman" w:hAnsi="Times New Roman"/>
          <w:sz w:val="20"/>
        </w:rPr>
      </w:pPr>
      <w:r>
        <w:rPr>
          <w:rFonts w:ascii="Times New Roman;serif" w:hAnsi="Times New Roman;serif"/>
          <w:b w:val="false"/>
          <w:sz w:val="20"/>
        </w:rPr>
        <w:t>The base management fee is calculated at an annual rate of 1.75% based on the average value of total assets (other than cash or cash equivalents but including assets purchased with borrowed amounts) at the end of the two most recently completed calendar quarters. The Board accepted a voluntary, non-contractual, and unconditional waiver from the Investment Advisor to exclude any investments recorded as secured borrowings as defined under GAAP from the base management fee payable effective April 1, 2021. The base management fee is payable quarterly in arrears. The base management fee under the Investment Advisory Agreement was $3,854</w:t>
      </w:r>
      <w:r>
        <w:rPr>
          <w:rFonts w:ascii="Times New Roman" w:hAnsi="Times New Roman"/>
          <w:sz w:val="20"/>
        </w:rPr>
        <w:t xml:space="preserve"> </w:t>
      </w:r>
      <w:r>
        <w:rPr>
          <w:rFonts w:ascii="Times New Roman;serif" w:hAnsi="Times New Roman;serif"/>
          <w:b w:val="false"/>
          <w:sz w:val="20"/>
        </w:rPr>
        <w:t>and $3,343</w:t>
      </w:r>
      <w:r>
        <w:rPr>
          <w:rFonts w:ascii="Times New Roman" w:hAnsi="Times New Roman"/>
          <w:sz w:val="20"/>
        </w:rPr>
        <w:t xml:space="preserve"> </w:t>
      </w:r>
      <w:r>
        <w:rPr>
          <w:rFonts w:ascii="Times New Roman;serif" w:hAnsi="Times New Roman;serif"/>
          <w:b w:val="false"/>
          <w:sz w:val="20"/>
        </w:rPr>
        <w:t>for the three months ended March 31, 2023 and 2022, respectively. The base management fee waiver was $72</w:t>
      </w:r>
      <w:r>
        <w:rPr>
          <w:rFonts w:ascii="Times New Roman" w:hAnsi="Times New Roman"/>
          <w:sz w:val="20"/>
        </w:rPr>
        <w:t xml:space="preserve"> </w:t>
      </w:r>
      <w:r>
        <w:rPr>
          <w:rFonts w:ascii="Times New Roman;serif" w:hAnsi="Times New Roman;serif"/>
          <w:b w:val="false"/>
          <w:sz w:val="20"/>
        </w:rPr>
        <w:t>and $76</w:t>
      </w:r>
      <w:r>
        <w:rPr>
          <w:rFonts w:ascii="Times New Roman" w:hAnsi="Times New Roman"/>
          <w:sz w:val="20"/>
        </w:rPr>
        <w:t xml:space="preserve"> </w:t>
      </w:r>
      <w:r>
        <w:rPr>
          <w:rFonts w:ascii="Times New Roman;serif" w:hAnsi="Times New Roman;serif"/>
          <w:b w:val="false"/>
          <w:sz w:val="20"/>
        </w:rPr>
        <w:t>for the three months ended March 31, 2023 and 2022, respectively. As of March 31, 2023 and December 31, 2022, the base management fee payable (net of the base management fee waiver) was $3,782</w:t>
      </w:r>
      <w:r>
        <w:rPr>
          <w:rFonts w:ascii="Times New Roman" w:hAnsi="Times New Roman"/>
          <w:sz w:val="20"/>
        </w:rPr>
        <w:t xml:space="preserve"> </w:t>
      </w:r>
      <w:r>
        <w:rPr>
          <w:rFonts w:ascii="Times New Roman;serif" w:hAnsi="Times New Roman;serif"/>
          <w:b w:val="false"/>
          <w:sz w:val="20"/>
        </w:rPr>
        <w:t>and $3,769, respectively.</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The incentive fee consists of two parts. The first part is calculated and payable quarterly in arrears based on the Company’s pre-incentive fee net investment income for the quarter. Pre-incentive fee net investment income means interest income, dividend income and any other income (including any other fees such as commitment, origination, structuring, diligence and consulting fees or other fees that the Company receives from portfolio companies but excluding fees for providing managerial assistance) accrued during the calendar quarter, minus operating expenses for the quarter (including the base management fee, any expenses payable under the Administration Agreement (defined below) and any interest expense and dividends paid on any outstanding preferred stock, but excluding the incentive fee and excise taxes on realized gains). Pre-incentive fee net investment income includes, in the case of investments with a deferred interest feature (such as market discount, original issue discount, debt instruments with PIK income, preferred stock with PIK dividends and zero-coupon securities), and accrued income the Company has not yet received in cash. The Investment Advisor is not under any obligation to reimburse the Company for any part of the incentive fee it receives that was based on accrued interest that the Company never collects.</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Pre-incentive fee net investment income does not include any realized capital gains, taxes associated with such realized capital gains, realized capital losses or unrealized capital appreciation or depreciation. Because of the structure of the incentive fee, it is possible that the Company may pay an incentive fee in a quarter where the Company incurs a loss. For example, if the Company generates pre-incentive fee net investment income in excess of the hurdle rate (as defined below) for a quarter, the Company will pay the applicable incentive fee even if the Company has incurred a loss in that quarter due to a net loss on investments.</w:t>
      </w:r>
    </w:p>
    <w:p>
      <w:pPr>
        <w:pStyle w:val="TextBody"/>
        <w:spacing w:before="180" w:after="0"/>
        <w:jc w:val="both"/>
        <w:rPr>
          <w:rFonts w:ascii="Times New Roman" w:hAnsi="Times New Roman"/>
          <w:sz w:val="20"/>
        </w:rPr>
      </w:pPr>
      <w:r>
        <w:rPr>
          <w:rFonts w:ascii="Times New Roman;serif" w:hAnsi="Times New Roman;serif"/>
          <w:b w:val="false"/>
          <w:sz w:val="20"/>
        </w:rPr>
        <w:t>Pre-incentive fee net investment income, expressed as a rate of return on the value of the Company’s net assets (defined as total assets less indebtedness and before taking into account any incentive fees payable during the period) at the end of the immediately preceding calendar quarter, is compared to a fixed “hurdle rate” of 2.0% per quarter. Under conditions such as the current rising interest rate environment, the Company may be able to invest funds in debt instruments that provide for a higher return, which would increase the Company’s pre-incentive fee net investment income and make it easier for the Investment Advisor to surpass the fixed hurdle rate and receive an incentive fee based on such net investment income.</w:t>
      </w:r>
      <w:r>
        <w:rPr>
          <w:rFonts w:ascii="Times New Roman" w:hAnsi="Times New Roman"/>
          <w:sz w:val="20"/>
        </w:rPr>
        <w:t xml:space="preserve"> </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The Company pays the Investment Advisor an incentive fee with respect to pre-incentive fee net investment income in each calendar quarter as follows:</w:t>
      </w:r>
    </w:p>
    <w:p>
      <w:pPr>
        <w:pStyle w:val="TextBody"/>
        <w:spacing w:before="120" w:after="0"/>
        <w:jc w:val="both"/>
        <w:rPr/>
      </w:pPr>
      <w:r>
        <w:rPr/>
        <w:t>•</w:t>
      </w:r>
    </w:p>
    <w:p>
      <w:pPr>
        <w:pStyle w:val="TextBody"/>
        <w:spacing w:before="120" w:after="283"/>
        <w:jc w:val="both"/>
        <w:rPr>
          <w:rFonts w:ascii="Times New Roman;serif" w:hAnsi="Times New Roman;serif"/>
          <w:sz w:val="20"/>
        </w:rPr>
      </w:pPr>
      <w:r>
        <w:rPr>
          <w:rFonts w:ascii="Times New Roman;serif" w:hAnsi="Times New Roman;serif"/>
          <w:b w:val="false"/>
          <w:sz w:val="20"/>
        </w:rPr>
        <w:t>no</w:t>
      </w:r>
      <w:r>
        <w:rPr>
          <w:rFonts w:ascii="Times New Roman;serif" w:hAnsi="Times New Roman;serif"/>
          <w:sz w:val="20"/>
        </w:rPr>
        <w:t xml:space="preserve"> </w:t>
      </w:r>
      <w:r>
        <w:rPr>
          <w:rFonts w:ascii="Times New Roman;serif" w:hAnsi="Times New Roman;serif"/>
          <w:b w:val="false"/>
          <w:sz w:val="20"/>
        </w:rPr>
        <w:t>incentive fee in any calendar quarter in which the pre-incentive fee net investment income does not exceed the hurdle rate of 2.0%;</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31</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spacing w:before="120" w:after="0"/>
        <w:jc w:val="both"/>
        <w:rPr/>
      </w:pPr>
      <w:r>
        <w:rPr/>
        <w:t>•</w:t>
      </w:r>
    </w:p>
    <w:p>
      <w:pPr>
        <w:pStyle w:val="TextBody"/>
        <w:spacing w:before="120" w:after="0"/>
        <w:jc w:val="both"/>
        <w:rPr>
          <w:rFonts w:ascii="Times New Roman;serif" w:hAnsi="Times New Roman;serif"/>
          <w:b w:val="false"/>
          <w:sz w:val="20"/>
        </w:rPr>
      </w:pPr>
      <w:r>
        <w:rPr>
          <w:rFonts w:ascii="Times New Roman;serif" w:hAnsi="Times New Roman;serif"/>
          <w:b w:val="false"/>
          <w:sz w:val="20"/>
        </w:rPr>
        <w:t>100.0% of the Company’s pre-incentive fee net investment income with respect to that portion of such pre-incentive fee net investment income, if any, that exceeds the hurdle rate but is less than 2.5% in any calendar quarter. This portion of the pre-incentive fee net investment income (which exceeds the hurdle rate but is less than 2.5%) is referred to as the “catch-up” provision. The catch-up is meant to provide the Investment Advisor with 20.0% of the pre-incentive fee net investment income as if a hurdle rate did not apply if this net investment income exceeds 2.5% in any calendar quarter; and</w:t>
      </w:r>
    </w:p>
    <w:p>
      <w:pPr>
        <w:pStyle w:val="TextBody"/>
        <w:spacing w:before="120" w:after="0"/>
        <w:jc w:val="both"/>
        <w:rPr/>
      </w:pPr>
      <w:r>
        <w:rPr/>
        <w:t>•</w:t>
      </w:r>
    </w:p>
    <w:p>
      <w:pPr>
        <w:pStyle w:val="TextBody"/>
        <w:spacing w:before="120" w:after="283"/>
        <w:jc w:val="both"/>
        <w:rPr>
          <w:rFonts w:ascii="Times New Roman;serif" w:hAnsi="Times New Roman;serif"/>
          <w:b w:val="false"/>
          <w:sz w:val="20"/>
        </w:rPr>
      </w:pPr>
      <w:r>
        <w:rPr>
          <w:rFonts w:ascii="Times New Roman;serif" w:hAnsi="Times New Roman;serif"/>
          <w:b w:val="false"/>
          <w:sz w:val="20"/>
        </w:rPr>
        <w:t>20.0% of the amount of the Company’s pre-incentive fee net investment income, if any, that exceeds 2.5% in any calendar quarter.</w:t>
      </w:r>
    </w:p>
    <w:p>
      <w:pPr>
        <w:pStyle w:val="TextBody"/>
        <w:spacing w:before="180" w:after="0"/>
        <w:jc w:val="both"/>
        <w:rPr>
          <w:rFonts w:ascii="Times New Roman" w:hAnsi="Times New Roman"/>
          <w:sz w:val="20"/>
        </w:rPr>
      </w:pPr>
      <w:r>
        <w:rPr>
          <w:rFonts w:ascii="Times New Roman;serif" w:hAnsi="Times New Roman;serif"/>
          <w:b w:val="false"/>
          <w:sz w:val="20"/>
        </w:rPr>
        <w:t>The sum of the calculations above equals the income incentive fee. The income incentive fee is appropriately prorated for any period of less than three months and adjusted for any share issuances or repurchases during the calendar quarter. The income incentive fee was $3,647</w:t>
      </w:r>
      <w:r>
        <w:rPr>
          <w:rFonts w:ascii="Times New Roman" w:hAnsi="Times New Roman"/>
          <w:sz w:val="20"/>
        </w:rPr>
        <w:t xml:space="preserve"> </w:t>
      </w:r>
      <w:r>
        <w:rPr>
          <w:rFonts w:ascii="Times New Roman;serif" w:hAnsi="Times New Roman;serif"/>
          <w:b w:val="false"/>
          <w:sz w:val="20"/>
        </w:rPr>
        <w:t>and $1,053</w:t>
      </w:r>
      <w:r>
        <w:rPr>
          <w:rFonts w:ascii="Times New Roman" w:hAnsi="Times New Roman"/>
          <w:sz w:val="20"/>
        </w:rPr>
        <w:t xml:space="preserve"> </w:t>
      </w:r>
      <w:r>
        <w:rPr>
          <w:rFonts w:ascii="Times New Roman;serif" w:hAnsi="Times New Roman;serif"/>
          <w:b w:val="false"/>
          <w:sz w:val="20"/>
        </w:rPr>
        <w:t>for the three months ended March 31, 2023 and 2022, respectively. As of March 31, 2023 and December 31, 2022, the income incentive fee payable was $3,647</w:t>
      </w:r>
      <w:r>
        <w:rPr>
          <w:rFonts w:ascii="Times New Roman" w:hAnsi="Times New Roman"/>
          <w:sz w:val="20"/>
        </w:rPr>
        <w:t xml:space="preserve"> </w:t>
      </w:r>
      <w:r>
        <w:rPr>
          <w:rFonts w:ascii="Times New Roman;serif" w:hAnsi="Times New Roman;serif"/>
          <w:b w:val="false"/>
          <w:sz w:val="20"/>
        </w:rPr>
        <w:t>and $3,035, respectively.</w:t>
      </w:r>
    </w:p>
    <w:p>
      <w:pPr>
        <w:pStyle w:val="TextBody"/>
        <w:spacing w:before="180" w:after="0"/>
        <w:jc w:val="both"/>
        <w:rPr>
          <w:rFonts w:ascii="Times New Roman" w:hAnsi="Times New Roman"/>
          <w:sz w:val="20"/>
        </w:rPr>
      </w:pPr>
      <w:r>
        <w:rPr>
          <w:rFonts w:ascii="Times New Roman;serif" w:hAnsi="Times New Roman;serif"/>
          <w:b w:val="false"/>
          <w:sz w:val="20"/>
        </w:rPr>
        <w:t>The second part of the incentive fee is a capital gains incentive fee that is determined and paid in arrears as of the end of each fiscal year (or upon termination of the Investment Advisory Agreement, as of the termination date), and equals 20.0% of the net capital gains as of the end of the fiscal year. In determining the capital gains incentive fee to be paid in cash to the Investment Advisor, the Company calculates the cumulative aggregate realized capital gains and losses since the Formation Transactions (realized capital gains and losses include realized gains and losses on investments, net of income tax provision from realized gains on investments, and realized losses on extinguishment of debt, but excluding income tax (provision) benefit from deemed distribution of long term capital gains), and the aggregate unrealized capital depreciation on investments as of the date of the calculation. At the end of the applicable year, the amount of capital gains that serves as the basis for the calculation of the capital gains incentive fee to be paid equals the cumulative aggregate realized capital gains on investments, less cumulative aggregate tax (provision) benefit on realized gains (losses), less cumulative aggregate realized capital losses on investments, less aggregate unrealized capital depreciation on investments, and less cumulative aggregate realized losses on extinguishment of debt. If this number is positive at the end of such year, then the capital gains incentive fee to be paid in cash for such year equals 20.0% of such amount, less the aggregate amount of any capital gains incentive fees paid in all prior years. As of March 31, 2023 and December 31, 2022, the capital gains incentive fee payable in cash was zero</w:t>
      </w:r>
      <w:r>
        <w:rPr>
          <w:rFonts w:ascii="Times New Roman" w:hAnsi="Times New Roman"/>
          <w:sz w:val="20"/>
        </w:rPr>
        <w:t xml:space="preserve"> </w:t>
      </w:r>
      <w:r>
        <w:rPr>
          <w:rFonts w:ascii="Times New Roman;serif" w:hAnsi="Times New Roman;serif"/>
          <w:b w:val="false"/>
          <w:sz w:val="20"/>
        </w:rPr>
        <w:t>and $7,556, respectively (as cumulative aggregate realized capital gains and losses on investments exceeded aggregate unrealized capital depreciation on investments plus realized losses on extinguishment of debt). The aggregate amount of capital gains incentive fees paid from the IPO through March 31, 2023 was $14,040.</w:t>
      </w:r>
    </w:p>
    <w:p>
      <w:pPr>
        <w:pStyle w:val="TextBody"/>
        <w:spacing w:before="180" w:after="0"/>
        <w:jc w:val="both"/>
        <w:rPr>
          <w:rFonts w:ascii="Times New Roman" w:hAnsi="Times New Roman"/>
          <w:sz w:val="20"/>
        </w:rPr>
      </w:pPr>
      <w:r>
        <w:rPr>
          <w:rFonts w:ascii="Times New Roman;serif" w:hAnsi="Times New Roman;serif"/>
          <w:b w:val="false"/>
          <w:sz w:val="20"/>
        </w:rPr>
        <w:t>In addition, the Company accrues, but does not pay in cash, a capital gains incentive fee in connection with any unrealized capital appreciation on investments, as applicable. If, on a cumulative basis, the sum of (i) net realized gains/(losses) on investments plus (ii) net unrealized appreciation/(depreciation) on investments plus (iii) realized losses on extinguishment of debt decreases during a period, the Company will reverse any excess capital gains incentive fee previously accrued such that the amount of capital gains incentive fee accrued is no more than 20.0% of the sum of (i) net realized gains/(losses) on investments plus (ii) net unrealized appreciation/(depreciation) on investments plus (iii) realized losses on extinguishment of debt. The capital gains incentive fee accrued (reversed) during the three months ended March 31, 2023 and 2022 was $153</w:t>
      </w:r>
      <w:r>
        <w:rPr>
          <w:rFonts w:ascii="Times New Roman" w:hAnsi="Times New Roman"/>
          <w:sz w:val="20"/>
        </w:rPr>
        <w:t xml:space="preserve"> </w:t>
      </w:r>
      <w:r>
        <w:rPr>
          <w:rFonts w:ascii="Times New Roman;serif" w:hAnsi="Times New Roman;serif"/>
          <w:b w:val="false"/>
          <w:sz w:val="20"/>
        </w:rPr>
        <w:t>and $270, respectively. As of March 31, 2023 and December 31, 2022, the accrued capital gains incentive fee payable was $15,257</w:t>
      </w:r>
      <w:r>
        <w:rPr>
          <w:rFonts w:ascii="Times New Roman" w:hAnsi="Times New Roman"/>
          <w:sz w:val="20"/>
        </w:rPr>
        <w:t xml:space="preserve"> </w:t>
      </w:r>
      <w:r>
        <w:rPr>
          <w:rFonts w:ascii="Times New Roman;serif" w:hAnsi="Times New Roman;serif"/>
          <w:b w:val="false"/>
          <w:sz w:val="20"/>
        </w:rPr>
        <w:t>and $22,659, respectively.</w:t>
      </w:r>
    </w:p>
    <w:p>
      <w:pPr>
        <w:pStyle w:val="TextBody"/>
        <w:spacing w:before="180" w:after="0"/>
        <w:jc w:val="both"/>
        <w:rPr>
          <w:rFonts w:ascii="Times New Roman" w:hAnsi="Times New Roman"/>
          <w:sz w:val="20"/>
        </w:rPr>
      </w:pPr>
      <w:r>
        <w:rPr>
          <w:rFonts w:ascii="Times New Roman;serif" w:hAnsi="Times New Roman;serif"/>
          <w:b w:val="false"/>
          <w:sz w:val="20"/>
        </w:rPr>
        <w:t>Unless terminated earlier as described below, the Investment Advisory Agreement will continue in effect from year to year if approved annually by the Board or by the affirmative vote of the holders of a majority of the Company’s outstanding voting securities, and, in either case, if also approved by a majority of the directors who are not “interested persons” of the Company, as such term is defined under Section 2(a)(19) of the 1940 Act (the “Independent Directors”). The Investment Advisory Agreement automatically terminates in the event of its assignment, as defined in the 1940 Act, by the Investment Advisor and may be terminated by either party without penalty upon not less than 60</w:t>
      </w:r>
      <w:r>
        <w:rPr>
          <w:rFonts w:ascii="Times New Roman" w:hAnsi="Times New Roman"/>
          <w:sz w:val="20"/>
        </w:rPr>
        <w:t xml:space="preserve"> </w:t>
      </w:r>
      <w:r>
        <w:rPr>
          <w:rFonts w:ascii="Times New Roman;serif" w:hAnsi="Times New Roman;serif"/>
          <w:b w:val="false"/>
          <w:sz w:val="20"/>
        </w:rPr>
        <w:t>days’ written notice to the other. The holders of a majority of the Company’s outstanding voting securities may also terminate the Investment Advisory Agreement without penalty.</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32</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spacing w:before="180" w:after="0"/>
        <w:jc w:val="both"/>
        <w:rPr>
          <w:rFonts w:ascii="Times New Roman" w:hAnsi="Times New Roman"/>
          <w:sz w:val="20"/>
        </w:rPr>
      </w:pPr>
      <w:r>
        <w:rPr>
          <w:rFonts w:ascii="Times New Roman;serif" w:hAnsi="Times New Roman;serif"/>
          <w:b w:val="false"/>
          <w:i/>
          <w:sz w:val="20"/>
        </w:rPr>
        <w:t xml:space="preserve">Administration Agreement: </w:t>
      </w:r>
      <w:r>
        <w:rPr>
          <w:rFonts w:ascii="Times New Roman;serif" w:hAnsi="Times New Roman;serif"/>
          <w:b w:val="false"/>
          <w:sz w:val="20"/>
        </w:rPr>
        <w:t>The Company also entered into an administration agreement (the “Administration Agreement”) with the Investment Advisor. On June 9, 2022, the Board approved the renewal of the Administration Agreement for the period beginning June 20, 2022 through June 20, 2023. Under the Administration Agreement, the Investment Advisor furnishes the Company with office facilities and equipment, provides clerical, bookkeeping, and record keeping services at such facilities and provides the Company with other administrative services necessary to conduct its day-to-day operations. The Company reimburses the Investment Advisor for the allocable portion of overhead expenses incurred in performing its obligations under the Administration Agreement, including rent and the Company’s allocable portion of the cost of its chief financial officer and chief compliance officer and their respective staffs. Under the Administration Agreement, the Investment Advisor also provides managerial assistance to those portfolio companies on the Company's behalf to those portfolio companies that have accepted the Company's offer to provide such assistance and the Company reimburses the Investment Advisor for fees and expenses incurred with providing such services. In addition, the Company reimburses the Investment Advisor for fees and expenses incurred while performing due diligence on the Company’s prospective portfolio companies, including “dead deal” expenses</w:t>
      </w:r>
      <w:r>
        <w:rPr>
          <w:rFonts w:ascii="Times New Roman;serif" w:hAnsi="Times New Roman;serif"/>
          <w:b w:val="false"/>
          <w:i/>
          <w:sz w:val="20"/>
        </w:rPr>
        <w:t>.</w:t>
      </w:r>
      <w:r>
        <w:rPr>
          <w:rFonts w:ascii="Times New Roman" w:hAnsi="Times New Roman"/>
          <w:sz w:val="20"/>
        </w:rPr>
        <w:t xml:space="preserve"> </w:t>
      </w:r>
      <w:r>
        <w:rPr>
          <w:rFonts w:ascii="Times New Roman;serif" w:hAnsi="Times New Roman;serif"/>
          <w:b w:val="false"/>
          <w:sz w:val="20"/>
        </w:rPr>
        <w:t>Under the Administration Agreement, administrative service expenses for the three months ended March 31, 2023 and 2022 were $473, and $422, respectively. As of March 31, 2023 and December 31, 2022, the accrued administrative service expense payable was $461</w:t>
      </w:r>
      <w:r>
        <w:rPr>
          <w:rFonts w:ascii="Times New Roman" w:hAnsi="Times New Roman"/>
          <w:sz w:val="20"/>
        </w:rPr>
        <w:t xml:space="preserve"> </w:t>
      </w:r>
      <w:r>
        <w:rPr>
          <w:rFonts w:ascii="Times New Roman;serif" w:hAnsi="Times New Roman;serif"/>
          <w:b w:val="false"/>
          <w:sz w:val="20"/>
        </w:rPr>
        <w:t>and $700, respectively.</w:t>
      </w:r>
    </w:p>
    <w:p>
      <w:pPr>
        <w:pStyle w:val="TextBody"/>
        <w:spacing w:before="180" w:after="0"/>
        <w:jc w:val="left"/>
        <w:rPr>
          <w:rFonts w:ascii="Times New Roman;serif" w:hAnsi="Times New Roman;serif"/>
          <w:b/>
          <w:sz w:val="20"/>
        </w:rPr>
      </w:pPr>
      <w:r>
        <w:rPr>
          <w:rFonts w:ascii="Times New Roman;serif" w:hAnsi="Times New Roman;serif"/>
          <w:b/>
          <w:sz w:val="20"/>
        </w:rPr>
        <w:t>Note 6. Debt</w:t>
      </w:r>
    </w:p>
    <w:p>
      <w:pPr>
        <w:pStyle w:val="TextBody"/>
        <w:spacing w:before="180" w:after="0"/>
        <w:jc w:val="both"/>
        <w:rPr>
          <w:rFonts w:ascii="Times New Roman" w:hAnsi="Times New Roman"/>
          <w:sz w:val="20"/>
        </w:rPr>
      </w:pPr>
      <w:r>
        <w:rPr>
          <w:rFonts w:ascii="Times New Roman;serif" w:hAnsi="Times New Roman;serif"/>
          <w:b w:val="false"/>
          <w:i/>
          <w:sz w:val="20"/>
        </w:rPr>
        <w:t>Revolving Credit Facility</w:t>
      </w:r>
      <w:r>
        <w:rPr>
          <w:rFonts w:ascii="Times New Roman;serif" w:hAnsi="Times New Roman;serif"/>
          <w:b w:val="false"/>
          <w:sz w:val="20"/>
        </w:rPr>
        <w:t>: On June 16, 2014, FIC entered into a senior secured revolving credit agreement (the "Credit Agreement" and the senior secured revolving credit facility, the “Credit Facility”) with ING Capital LLC (“ING”), as the administrative agent, collateral agent, and lender. The Credit Facility is secured by certain portfolio investments held by the Company, but portfolio investments held by the Funds are not collateral for the Credit Facility. On April 24, 2019, the Company entered into an Amended &amp; Restated Senior Secured Revolving Credit Agreement (the “Amended Credit Agreement”) among the Company, as borrower, the lenders party thereto, and ING, as administrative agent. On June 26, 2020, the Company entered into an amendment to the Amended Credit Agreement that, among other changes, modified certain financial covenants. On August 17, 2022, the Company entered into a second amendment to the Amended Credit Agreement ("Second Amendment"). The Second Amendment, among other things: (i) changed the underlying benchmark used to compute interest under the Amended Credit Agreement to SOFR from LIBOR; (ii) reduced the applicable margin from 3.00% to 2.675% on SOFR loans prior to satisfying certain step-down conditions, and from 2.675% to 2.50% after satisfying certain step-down conditions, with commensurate reductions in the applicable margins for base rate loans; (iii) provided for a loan commitment availability period ending on August 17, 2026; (iv) extended the maturity date to August 17, 2027</w:t>
      </w:r>
      <w:r>
        <w:rPr>
          <w:rFonts w:ascii="Times New Roman" w:hAnsi="Times New Roman"/>
          <w:sz w:val="20"/>
        </w:rPr>
        <w:t xml:space="preserve"> </w:t>
      </w:r>
      <w:r>
        <w:rPr>
          <w:rFonts w:ascii="Times New Roman;serif" w:hAnsi="Times New Roman;serif"/>
          <w:b w:val="false"/>
          <w:sz w:val="20"/>
        </w:rPr>
        <w:t>from April 24, 2023; and (v) amended certain financial covenants, including (a) amending the asset coverage ratio to no less than 1.50</w:t>
      </w:r>
      <w:r>
        <w:rPr>
          <w:rFonts w:ascii="Times New Roman" w:hAnsi="Times New Roman"/>
          <w:sz w:val="20"/>
        </w:rPr>
        <w:t xml:space="preserve"> </w:t>
      </w:r>
      <w:r>
        <w:rPr>
          <w:rFonts w:ascii="Times New Roman;serif" w:hAnsi="Times New Roman;serif"/>
          <w:b w:val="false"/>
          <w:sz w:val="20"/>
        </w:rPr>
        <w:t>to 1.00 from no less than 2.00</w:t>
      </w:r>
      <w:r>
        <w:rPr>
          <w:rFonts w:ascii="Times New Roman" w:hAnsi="Times New Roman"/>
          <w:sz w:val="20"/>
        </w:rPr>
        <w:t xml:space="preserve"> </w:t>
      </w:r>
      <w:r>
        <w:rPr>
          <w:rFonts w:ascii="Times New Roman;serif" w:hAnsi="Times New Roman;serif"/>
          <w:b w:val="false"/>
          <w:sz w:val="20"/>
        </w:rPr>
        <w:t>to 1.00 (on a regulatory basis); and (b) requiring the Company to maintain a senior asset coverage ratio of no less than 2.00</w:t>
      </w:r>
      <w:r>
        <w:rPr>
          <w:rFonts w:ascii="Times New Roman" w:hAnsi="Times New Roman"/>
          <w:sz w:val="20"/>
        </w:rPr>
        <w:t xml:space="preserve"> </w:t>
      </w:r>
      <w:r>
        <w:rPr>
          <w:rFonts w:ascii="Times New Roman;serif" w:hAnsi="Times New Roman;serif"/>
          <w:b w:val="false"/>
          <w:sz w:val="20"/>
        </w:rPr>
        <w:t>to 1.00.</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The Company pays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Facility is secured by a first priority security interest in all of our assets, excluding the assets of our SBIC subsidiaries.</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Amounts available to borrow under the Credit Facility are subject to a minimum borrowing/collateral base that applies an advance rate to certain investments held by the Company, excluding investments held by the Funds. The Company is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The Company has made customary representations and warranties and is required to comply with various covenants, reporting requirements and other customary requirements for similar credit facilities. These covenants are subject to important limitations and exceptions that are described in the documents governing the Credit Facility. As of March 31, 2023 and December 31, 2022, the Company was in compliance in all material respects with the terms of the Credit Agreement.</w:t>
      </w:r>
    </w:p>
    <w:p>
      <w:pPr>
        <w:pStyle w:val="TextBody"/>
        <w:spacing w:before="180" w:after="0"/>
        <w:jc w:val="both"/>
        <w:rPr>
          <w:rFonts w:ascii="Times New Roman" w:hAnsi="Times New Roman"/>
          <w:sz w:val="20"/>
        </w:rPr>
      </w:pPr>
      <w:r>
        <w:rPr>
          <w:rFonts w:ascii="Times New Roman;serif" w:hAnsi="Times New Roman;serif"/>
          <w:b w:val="false"/>
          <w:i/>
          <w:sz w:val="20"/>
        </w:rPr>
        <w:t>SBA debentures:</w:t>
      </w:r>
      <w:r>
        <w:rPr>
          <w:rFonts w:ascii="Times New Roman" w:hAnsi="Times New Roman"/>
          <w:sz w:val="20"/>
        </w:rPr>
        <w:t xml:space="preserve"> </w:t>
      </w:r>
      <w:r>
        <w:rPr>
          <w:rFonts w:ascii="Times New Roman;serif" w:hAnsi="Times New Roman;serif"/>
          <w:b w:val="false"/>
          <w:sz w:val="20"/>
        </w:rPr>
        <w:t>The Company uses debenture leverage provided through the SBA to fund a portion of its investment purchases.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Times New Roman;serif" w:hAnsi="Times New Roman;serif"/>
          <w:b w:val="false"/>
          <w:sz w:val="20"/>
        </w:rPr>
        <w:t>Under the SBA debenture program, the SBA commits to purchase debentures issued by SBICs; such debentures have 10-year terms with the entire principal balance due at maturity and are guaranteed by the SBA. Interest on SBA debentures is payable semi-annually on March 1 and September 1. As of March 31, 2023 and December 31, 2022, approved and unused SBA debenture commitments were $25,000</w:t>
      </w:r>
      <w:r>
        <w:rPr>
          <w:rFonts w:ascii="Times New Roman" w:hAnsi="Times New Roman"/>
          <w:sz w:val="20"/>
        </w:rPr>
        <w:t xml:space="preserve"> </w:t>
      </w:r>
      <w:r>
        <w:rPr>
          <w:rFonts w:ascii="Times New Roman;serif" w:hAnsi="Times New Roman;serif"/>
          <w:b w:val="false"/>
          <w:sz w:val="20"/>
        </w:rPr>
        <w:t>and $37,000, respectively. The SBA may limit the amount that may be drawn each year under these commitments, and each issuance of leverage is conditioned on the Company’s full compliance, as determined by the SBA, with the terms and conditions under SBA regulations.</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As of March 31, 2023 and December 31, 2022, the Company’s issued and outstanding SBA debentures mature as follows: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33</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spacing w:before="0" w:after="0"/>
        <w:jc w:val="both"/>
        <w:rPr/>
      </w:pPr>
      <w:r>
        <w:rPr/>
        <w:t> </w:t>
      </w:r>
    </w:p>
    <w:tbl>
      <w:tblPr>
        <w:tblW w:w="8486" w:type="dxa"/>
        <w:jc w:val="left"/>
        <w:tblInd w:w="0" w:type="dxa"/>
        <w:tblCellMar>
          <w:top w:w="28" w:type="dxa"/>
          <w:left w:w="28" w:type="dxa"/>
          <w:bottom w:w="28" w:type="dxa"/>
          <w:right w:w="28" w:type="dxa"/>
        </w:tblCellMar>
      </w:tblPr>
      <w:tblGrid>
        <w:gridCol w:w="2926"/>
        <w:gridCol w:w="146"/>
        <w:gridCol w:w="871"/>
        <w:gridCol w:w="146"/>
        <w:gridCol w:w="240"/>
        <w:gridCol w:w="945"/>
        <w:gridCol w:w="146"/>
        <w:gridCol w:w="331"/>
        <w:gridCol w:w="211"/>
        <w:gridCol w:w="781"/>
        <w:gridCol w:w="146"/>
        <w:gridCol w:w="146"/>
        <w:gridCol w:w="268"/>
        <w:gridCol w:w="992"/>
        <w:gridCol w:w="191"/>
      </w:tblGrid>
      <w:tr>
        <w:trPr/>
        <w:tc>
          <w:tcPr>
            <w:tcW w:w="29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92"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Pooling</w:t>
            </w:r>
          </w:p>
        </w:tc>
        <w:tc>
          <w:tcPr>
            <w:tcW w:w="146" w:type="dxa"/>
            <w:tcBorders/>
            <w:shd w:fill="auto" w:val="clear"/>
            <w:vAlign w:val="center"/>
          </w:tcPr>
          <w:p>
            <w:pPr>
              <w:pStyle w:val="TableContents"/>
              <w:spacing w:before="0" w:after="0"/>
              <w:ind w:left="0" w:right="0" w:hanging="0"/>
              <w:jc w:val="center"/>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Maturity</w:t>
            </w:r>
          </w:p>
        </w:tc>
        <w:tc>
          <w:tcPr>
            <w:tcW w:w="146" w:type="dxa"/>
            <w:tcBorders/>
            <w:shd w:fill="auto" w:val="clear"/>
            <w:vAlign w:val="center"/>
          </w:tcPr>
          <w:p>
            <w:pPr>
              <w:pStyle w:val="TableContents"/>
              <w:spacing w:before="0" w:after="0"/>
              <w:ind w:left="0" w:right="0" w:hanging="0"/>
              <w:jc w:val="center"/>
              <w:rPr/>
            </w:pPr>
            <w:r>
              <w:rPr/>
              <w:t> </w:t>
            </w:r>
          </w:p>
        </w:tc>
        <w:tc>
          <w:tcPr>
            <w:tcW w:w="1185"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Fixed</w:t>
            </w:r>
          </w:p>
        </w:tc>
        <w:tc>
          <w:tcPr>
            <w:tcW w:w="146" w:type="dxa"/>
            <w:tcBorders/>
            <w:shd w:fill="auto" w:val="clear"/>
            <w:vAlign w:val="center"/>
          </w:tcPr>
          <w:p>
            <w:pPr>
              <w:pStyle w:val="TableContents"/>
              <w:spacing w:before="0" w:after="0"/>
              <w:ind w:left="0" w:right="0" w:hanging="0"/>
              <w:jc w:val="center"/>
              <w:rPr/>
            </w:pPr>
            <w:r>
              <w:rPr/>
              <w:t> </w:t>
            </w:r>
          </w:p>
        </w:tc>
        <w:tc>
          <w:tcPr>
            <w:tcW w:w="331"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March 31,</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December 31,</w:t>
            </w:r>
          </w:p>
        </w:tc>
        <w:tc>
          <w:tcPr>
            <w:tcW w:w="191" w:type="dxa"/>
            <w:tcBorders/>
            <w:shd w:fill="auto" w:val="clear"/>
            <w:vAlign w:val="center"/>
          </w:tcPr>
          <w:p>
            <w:pPr>
              <w:pStyle w:val="TableContents"/>
              <w:spacing w:before="0" w:after="0"/>
              <w:ind w:left="0" w:right="0" w:hanging="0"/>
              <w:jc w:val="center"/>
              <w:rPr/>
            </w:pPr>
            <w:r>
              <w:rPr/>
              <w:t> </w:t>
            </w:r>
          </w:p>
        </w:tc>
      </w:tr>
      <w:tr>
        <w:trPr/>
        <w:tc>
          <w:tcPr>
            <w:tcW w:w="29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 xml:space="preserve">Date </w:t>
            </w:r>
            <w:r>
              <w:rPr>
                <w:rFonts w:ascii="Times New Roman;serif" w:hAnsi="Times New Roman;serif"/>
                <w:b/>
                <w:sz w:val="13"/>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18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Interest Rate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1"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6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3/25/2015</w:t>
            </w:r>
          </w:p>
        </w:tc>
        <w:tc>
          <w:tcPr>
            <w:tcW w:w="146" w:type="dxa"/>
            <w:tcBorders/>
            <w:shd w:fill="auto" w:val="clear"/>
            <w:vAlign w:val="center"/>
          </w:tcPr>
          <w:p>
            <w:pPr>
              <w:pStyle w:val="TableContents"/>
              <w:spacing w:before="0" w:after="0"/>
              <w:ind w:left="0" w:right="0" w:hanging="0"/>
              <w:jc w:val="center"/>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3/1/2025</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3.277</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3/23/2016</w:t>
            </w:r>
          </w:p>
        </w:tc>
        <w:tc>
          <w:tcPr>
            <w:tcW w:w="146" w:type="dxa"/>
            <w:tcBorders/>
            <w:shd w:fill="auto" w:val="clear"/>
            <w:vAlign w:val="center"/>
          </w:tcPr>
          <w:p>
            <w:pPr>
              <w:pStyle w:val="TableContents"/>
              <w:spacing w:before="0" w:after="0"/>
              <w:ind w:left="0" w:right="0" w:hanging="0"/>
              <w:jc w:val="center"/>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3/1/2026</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3.267</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3/23/2016</w:t>
            </w:r>
          </w:p>
        </w:tc>
        <w:tc>
          <w:tcPr>
            <w:tcW w:w="146" w:type="dxa"/>
            <w:tcBorders/>
            <w:shd w:fill="auto" w:val="clear"/>
            <w:vAlign w:val="center"/>
          </w:tcPr>
          <w:p>
            <w:pPr>
              <w:pStyle w:val="TableContents"/>
              <w:spacing w:before="0" w:after="0"/>
              <w:ind w:left="0" w:right="0" w:hanging="0"/>
              <w:jc w:val="center"/>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3/1/2026</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3.249</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2,500</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9/21/2016</w:t>
            </w:r>
          </w:p>
        </w:tc>
        <w:tc>
          <w:tcPr>
            <w:tcW w:w="146" w:type="dxa"/>
            <w:tcBorders/>
            <w:shd w:fill="auto" w:val="clear"/>
            <w:vAlign w:val="center"/>
          </w:tcPr>
          <w:p>
            <w:pPr>
              <w:pStyle w:val="TableContents"/>
              <w:spacing w:before="0" w:after="0"/>
              <w:ind w:left="0" w:right="0" w:hanging="0"/>
              <w:jc w:val="center"/>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9/1/2026</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2.793</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9/20/2017</w:t>
            </w:r>
          </w:p>
        </w:tc>
        <w:tc>
          <w:tcPr>
            <w:tcW w:w="146" w:type="dxa"/>
            <w:tcBorders/>
            <w:shd w:fill="auto" w:val="clear"/>
            <w:vAlign w:val="center"/>
          </w:tcPr>
          <w:p>
            <w:pPr>
              <w:pStyle w:val="TableContents"/>
              <w:spacing w:before="0" w:after="0"/>
              <w:ind w:left="0" w:right="0" w:hanging="0"/>
              <w:jc w:val="center"/>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9/1/2027</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3.260</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1,000</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9/20/2017</w:t>
            </w:r>
          </w:p>
        </w:tc>
        <w:tc>
          <w:tcPr>
            <w:tcW w:w="146" w:type="dxa"/>
            <w:tcBorders/>
            <w:shd w:fill="auto" w:val="clear"/>
            <w:vAlign w:val="center"/>
          </w:tcPr>
          <w:p>
            <w:pPr>
              <w:pStyle w:val="TableContents"/>
              <w:spacing w:before="0" w:after="0"/>
              <w:ind w:left="0" w:right="0" w:hanging="0"/>
              <w:jc w:val="center"/>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9/1/2027</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3.190</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33,000</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9/25/2019</w:t>
            </w:r>
          </w:p>
        </w:tc>
        <w:tc>
          <w:tcPr>
            <w:tcW w:w="146" w:type="dxa"/>
            <w:tcBorders/>
            <w:shd w:fill="auto" w:val="clear"/>
            <w:vAlign w:val="center"/>
          </w:tcPr>
          <w:p>
            <w:pPr>
              <w:pStyle w:val="TableContents"/>
              <w:spacing w:before="0" w:after="0"/>
              <w:ind w:left="0" w:right="0" w:hanging="0"/>
              <w:jc w:val="center"/>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9/1/2029</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2.377</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7,500</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3/25/2020</w:t>
            </w:r>
          </w:p>
        </w:tc>
        <w:tc>
          <w:tcPr>
            <w:tcW w:w="146" w:type="dxa"/>
            <w:tcBorders/>
            <w:shd w:fill="auto" w:val="clear"/>
            <w:vAlign w:val="center"/>
          </w:tcPr>
          <w:p>
            <w:pPr>
              <w:pStyle w:val="TableContents"/>
              <w:spacing w:before="0" w:after="0"/>
              <w:ind w:left="0" w:right="0" w:hanging="0"/>
              <w:jc w:val="center"/>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3/1/2030</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2.172</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6,000</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9/22/2021</w:t>
            </w:r>
          </w:p>
        </w:tc>
        <w:tc>
          <w:tcPr>
            <w:tcW w:w="146" w:type="dxa"/>
            <w:tcBorders/>
            <w:shd w:fill="auto" w:val="clear"/>
            <w:vAlign w:val="center"/>
          </w:tcPr>
          <w:p>
            <w:pPr>
              <w:pStyle w:val="TableContents"/>
              <w:spacing w:before="0" w:after="0"/>
              <w:ind w:left="0" w:right="0" w:hanging="0"/>
              <w:jc w:val="center"/>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9/1/2031</w:t>
            </w:r>
          </w:p>
        </w:tc>
        <w:tc>
          <w:tcPr>
            <w:tcW w:w="146" w:type="dxa"/>
            <w:tcBorders/>
            <w:shd w:fill="auto" w:val="clear"/>
            <w:vAlign w:val="center"/>
          </w:tcPr>
          <w:p>
            <w:pPr>
              <w:pStyle w:val="TableContents"/>
              <w:spacing w:before="0" w:after="0"/>
              <w:ind w:left="0" w:right="0" w:hanging="0"/>
              <w:jc w:val="left"/>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1.398</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11,500</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3/23/2022</w:t>
            </w:r>
          </w:p>
        </w:tc>
        <w:tc>
          <w:tcPr>
            <w:tcW w:w="146" w:type="dxa"/>
            <w:tcBorders/>
            <w:shd w:fill="auto" w:val="clear"/>
            <w:vAlign w:val="center"/>
          </w:tcPr>
          <w:p>
            <w:pPr>
              <w:pStyle w:val="TableContents"/>
              <w:spacing w:before="0" w:after="0"/>
              <w:ind w:left="0" w:right="0" w:hanging="0"/>
              <w:jc w:val="center"/>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3/1/2032</w:t>
            </w:r>
          </w:p>
        </w:tc>
        <w:tc>
          <w:tcPr>
            <w:tcW w:w="146" w:type="dxa"/>
            <w:tcBorders/>
            <w:shd w:fill="auto" w:val="clear"/>
            <w:vAlign w:val="center"/>
          </w:tcPr>
          <w:p>
            <w:pPr>
              <w:pStyle w:val="TableContents"/>
              <w:spacing w:before="0" w:after="0"/>
              <w:ind w:left="0" w:right="0" w:hanging="0"/>
              <w:jc w:val="center"/>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3.209</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43,500</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9/21/2022</w:t>
            </w:r>
          </w:p>
        </w:tc>
        <w:tc>
          <w:tcPr>
            <w:tcW w:w="146" w:type="dxa"/>
            <w:tcBorders/>
            <w:shd w:fill="auto" w:val="clear"/>
            <w:vAlign w:val="center"/>
          </w:tcPr>
          <w:p>
            <w:pPr>
              <w:pStyle w:val="TableContents"/>
              <w:spacing w:before="0" w:after="0"/>
              <w:ind w:left="0" w:right="0" w:hanging="0"/>
              <w:jc w:val="center"/>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9/1/2032</w:t>
            </w:r>
          </w:p>
        </w:tc>
        <w:tc>
          <w:tcPr>
            <w:tcW w:w="146" w:type="dxa"/>
            <w:tcBorders/>
            <w:shd w:fill="auto" w:val="clear"/>
            <w:vAlign w:val="center"/>
          </w:tcPr>
          <w:p>
            <w:pPr>
              <w:pStyle w:val="TableContents"/>
              <w:spacing w:before="0" w:after="0"/>
              <w:ind w:left="0" w:right="0" w:hanging="0"/>
              <w:jc w:val="center"/>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4.533</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17,500</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3/22/2023</w:t>
            </w:r>
          </w:p>
        </w:tc>
        <w:tc>
          <w:tcPr>
            <w:tcW w:w="146" w:type="dxa"/>
            <w:tcBorders/>
            <w:shd w:fill="auto" w:val="clear"/>
            <w:vAlign w:val="center"/>
          </w:tcPr>
          <w:p>
            <w:pPr>
              <w:pStyle w:val="TableContents"/>
              <w:spacing w:before="0" w:after="0"/>
              <w:ind w:left="0" w:right="0" w:hanging="0"/>
              <w:jc w:val="center"/>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3/1/2033</w:t>
            </w:r>
          </w:p>
        </w:tc>
        <w:tc>
          <w:tcPr>
            <w:tcW w:w="146" w:type="dxa"/>
            <w:tcBorders/>
            <w:shd w:fill="auto" w:val="clear"/>
            <w:vAlign w:val="center"/>
          </w:tcPr>
          <w:p>
            <w:pPr>
              <w:pStyle w:val="TableContents"/>
              <w:spacing w:before="0" w:after="0"/>
              <w:ind w:left="0" w:right="0" w:hanging="0"/>
              <w:jc w:val="center"/>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5.439</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4,000</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3/22/2023</w:t>
            </w:r>
          </w:p>
        </w:tc>
        <w:tc>
          <w:tcPr>
            <w:tcW w:w="146" w:type="dxa"/>
            <w:tcBorders/>
            <w:shd w:fill="auto" w:val="clear"/>
            <w:vAlign w:val="center"/>
          </w:tcPr>
          <w:p>
            <w:pPr>
              <w:pStyle w:val="TableContents"/>
              <w:spacing w:before="0" w:after="0"/>
              <w:ind w:left="0" w:right="0" w:hanging="0"/>
              <w:jc w:val="center"/>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3/1/2033</w:t>
            </w:r>
          </w:p>
        </w:tc>
        <w:tc>
          <w:tcPr>
            <w:tcW w:w="146" w:type="dxa"/>
            <w:tcBorders/>
            <w:shd w:fill="auto" w:val="clear"/>
            <w:vAlign w:val="center"/>
          </w:tcPr>
          <w:p>
            <w:pPr>
              <w:pStyle w:val="TableContents"/>
              <w:spacing w:before="0" w:after="0"/>
              <w:ind w:left="0" w:right="0" w:hanging="0"/>
              <w:jc w:val="center"/>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5.341</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3/22/2023</w:t>
            </w:r>
          </w:p>
        </w:tc>
        <w:tc>
          <w:tcPr>
            <w:tcW w:w="146" w:type="dxa"/>
            <w:tcBorders/>
            <w:shd w:fill="auto" w:val="clear"/>
            <w:vAlign w:val="center"/>
          </w:tcPr>
          <w:p>
            <w:pPr>
              <w:pStyle w:val="TableContents"/>
              <w:spacing w:before="0" w:after="0"/>
              <w:ind w:left="0" w:right="0" w:hanging="0"/>
              <w:jc w:val="center"/>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3/1/2033</w:t>
            </w:r>
          </w:p>
        </w:tc>
        <w:tc>
          <w:tcPr>
            <w:tcW w:w="146" w:type="dxa"/>
            <w:tcBorders/>
            <w:shd w:fill="auto" w:val="clear"/>
            <w:vAlign w:val="center"/>
          </w:tcPr>
          <w:p>
            <w:pPr>
              <w:pStyle w:val="TableContents"/>
              <w:spacing w:before="0" w:after="0"/>
              <w:ind w:left="0" w:right="0" w:hanging="0"/>
              <w:jc w:val="center"/>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5.341</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3,000</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3/22/2023</w:t>
            </w:r>
          </w:p>
        </w:tc>
        <w:tc>
          <w:tcPr>
            <w:tcW w:w="146" w:type="dxa"/>
            <w:tcBorders/>
            <w:shd w:fill="auto" w:val="clear"/>
            <w:vAlign w:val="center"/>
          </w:tcPr>
          <w:p>
            <w:pPr>
              <w:pStyle w:val="TableContents"/>
              <w:spacing w:before="0" w:after="0"/>
              <w:ind w:left="0" w:right="0" w:hanging="0"/>
              <w:jc w:val="center"/>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3/1/2033</w:t>
            </w:r>
          </w:p>
        </w:tc>
        <w:tc>
          <w:tcPr>
            <w:tcW w:w="146" w:type="dxa"/>
            <w:tcBorders/>
            <w:shd w:fill="auto" w:val="clear"/>
            <w:vAlign w:val="center"/>
          </w:tcPr>
          <w:p>
            <w:pPr>
              <w:pStyle w:val="TableContents"/>
              <w:spacing w:before="0" w:after="0"/>
              <w:ind w:left="0" w:right="0" w:hanging="0"/>
              <w:jc w:val="center"/>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5.439</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3/22/2023</w:t>
            </w:r>
          </w:p>
        </w:tc>
        <w:tc>
          <w:tcPr>
            <w:tcW w:w="146" w:type="dxa"/>
            <w:tcBorders/>
            <w:shd w:fill="auto" w:val="clear"/>
            <w:vAlign w:val="center"/>
          </w:tcPr>
          <w:p>
            <w:pPr>
              <w:pStyle w:val="TableContents"/>
              <w:spacing w:before="0" w:after="0"/>
              <w:ind w:left="0" w:right="0" w:hanging="0"/>
              <w:jc w:val="center"/>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3/1/2033</w:t>
            </w:r>
          </w:p>
        </w:tc>
        <w:tc>
          <w:tcPr>
            <w:tcW w:w="146" w:type="dxa"/>
            <w:tcBorders/>
            <w:shd w:fill="auto" w:val="clear"/>
            <w:vAlign w:val="center"/>
          </w:tcPr>
          <w:p>
            <w:pPr>
              <w:pStyle w:val="TableContents"/>
              <w:spacing w:before="0" w:after="0"/>
              <w:ind w:left="0" w:right="0" w:hanging="0"/>
              <w:jc w:val="center"/>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5.439</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5,000</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3/22/2023</w:t>
            </w:r>
          </w:p>
        </w:tc>
        <w:tc>
          <w:tcPr>
            <w:tcW w:w="146" w:type="dxa"/>
            <w:tcBorders/>
            <w:shd w:fill="auto" w:val="clear"/>
            <w:vAlign w:val="center"/>
          </w:tcPr>
          <w:p>
            <w:pPr>
              <w:pStyle w:val="TableContents"/>
              <w:spacing w:before="0" w:after="0"/>
              <w:ind w:left="0" w:right="0" w:hanging="0"/>
              <w:jc w:val="center"/>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3/1/2033</w:t>
            </w:r>
          </w:p>
        </w:tc>
        <w:tc>
          <w:tcPr>
            <w:tcW w:w="146" w:type="dxa"/>
            <w:tcBorders/>
            <w:shd w:fill="auto" w:val="clear"/>
            <w:vAlign w:val="center"/>
          </w:tcPr>
          <w:p>
            <w:pPr>
              <w:pStyle w:val="TableContents"/>
              <w:spacing w:before="0" w:after="0"/>
              <w:ind w:left="0" w:right="0" w:hanging="0"/>
              <w:jc w:val="center"/>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5.341</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7,000</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3/22/2023</w:t>
            </w:r>
          </w:p>
        </w:tc>
        <w:tc>
          <w:tcPr>
            <w:tcW w:w="146" w:type="dxa"/>
            <w:tcBorders/>
            <w:shd w:fill="auto" w:val="clear"/>
            <w:vAlign w:val="center"/>
          </w:tcPr>
          <w:p>
            <w:pPr>
              <w:pStyle w:val="TableContents"/>
              <w:spacing w:before="0" w:after="0"/>
              <w:ind w:left="0" w:right="0" w:hanging="0"/>
              <w:jc w:val="center"/>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3/1/2033</w:t>
            </w:r>
          </w:p>
        </w:tc>
        <w:tc>
          <w:tcPr>
            <w:tcW w:w="146" w:type="dxa"/>
            <w:tcBorders/>
            <w:shd w:fill="auto" w:val="clear"/>
            <w:vAlign w:val="center"/>
          </w:tcPr>
          <w:p>
            <w:pPr>
              <w:pStyle w:val="TableContents"/>
              <w:spacing w:before="0" w:after="0"/>
              <w:ind w:left="0" w:right="0" w:hanging="0"/>
              <w:jc w:val="center"/>
              <w:rPr/>
            </w:pPr>
            <w:r>
              <w:rPr/>
              <w:t> </w:t>
            </w:r>
          </w:p>
        </w:tc>
        <w:tc>
          <w:tcPr>
            <w:tcW w:w="240" w:type="dxa"/>
            <w:tcBorders/>
            <w:shd w:fill="auto" w:val="clear"/>
            <w:vAlign w:val="center"/>
          </w:tcPr>
          <w:p>
            <w:pPr>
              <w:pStyle w:val="TableContents"/>
              <w:spacing w:before="0" w:after="0"/>
              <w:ind w:left="0" w:right="0" w:hanging="0"/>
              <w:jc w:val="left"/>
              <w:rPr/>
            </w:pPr>
            <w:r>
              <w:rPr/>
              <w:t> </w:t>
            </w:r>
          </w:p>
        </w:tc>
        <w:tc>
          <w:tcPr>
            <w:tcW w:w="9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5.341</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992"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w:t>
            </w:r>
          </w:p>
        </w:tc>
        <w:tc>
          <w:tcPr>
            <w:tcW w:w="146" w:type="dxa"/>
            <w:tcBorders/>
            <w:shd w:fill="auto" w:val="clear"/>
            <w:vAlign w:val="center"/>
          </w:tcPr>
          <w:p>
            <w:pPr>
              <w:pStyle w:val="TableContents"/>
              <w:spacing w:before="0" w:after="0"/>
              <w:ind w:left="0" w:right="0" w:hanging="0"/>
              <w:jc w:val="center"/>
              <w:rPr/>
            </w:pPr>
            <w:r>
              <w:rPr/>
              <w:t> </w:t>
            </w:r>
          </w:p>
        </w:tc>
        <w:tc>
          <w:tcPr>
            <w:tcW w:w="871"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w:t>
            </w:r>
          </w:p>
        </w:tc>
        <w:tc>
          <w:tcPr>
            <w:tcW w:w="146" w:type="dxa"/>
            <w:tcBorders/>
            <w:shd w:fill="auto" w:val="clear"/>
            <w:vAlign w:val="center"/>
          </w:tcPr>
          <w:p>
            <w:pPr>
              <w:pStyle w:val="TableContents"/>
              <w:spacing w:before="0" w:after="0"/>
              <w:ind w:left="0" w:right="0" w:hanging="0"/>
              <w:jc w:val="center"/>
              <w:rPr/>
            </w:pPr>
            <w:r>
              <w:rPr/>
              <w:t> </w:t>
            </w:r>
          </w:p>
        </w:tc>
        <w:tc>
          <w:tcPr>
            <w:tcW w:w="1185" w:type="dxa"/>
            <w:gridSpan w:val="2"/>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146" w:type="dxa"/>
            <w:tcBorders/>
            <w:shd w:fill="auto" w:val="clear"/>
            <w:vAlign w:val="center"/>
          </w:tcPr>
          <w:p>
            <w:pPr>
              <w:pStyle w:val="TableContents"/>
              <w:spacing w:before="0" w:after="0"/>
              <w:ind w:left="0" w:right="0" w:hanging="0"/>
              <w:jc w:val="righ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92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outstanding SBA debentures</w:t>
            </w:r>
          </w:p>
        </w:tc>
        <w:tc>
          <w:tcPr>
            <w:tcW w:w="146" w:type="dxa"/>
            <w:tcBorders/>
            <w:shd w:fill="auto" w:val="clear"/>
            <w:vAlign w:val="center"/>
          </w:tcPr>
          <w:p>
            <w:pPr>
              <w:pStyle w:val="TableContents"/>
              <w:spacing w:before="0" w:after="0"/>
              <w:ind w:left="0" w:right="0" w:hanging="0"/>
              <w:jc w:val="left"/>
              <w:rPr/>
            </w:pPr>
            <w:r>
              <w:rPr/>
              <w:t> </w:t>
            </w:r>
          </w:p>
        </w:tc>
        <w:tc>
          <w:tcPr>
            <w:tcW w:w="8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165,000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9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153,000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297"/>
        <w:gridCol w:w="9908"/>
      </w:tblGrid>
      <w:tr>
        <w:trPr/>
        <w:tc>
          <w:tcPr>
            <w:tcW w:w="297" w:type="dxa"/>
            <w:tcBorders/>
            <w:shd w:fill="auto" w:val="clear"/>
            <w:vAlign w:val="center"/>
          </w:tcPr>
          <w:p>
            <w:pPr>
              <w:pStyle w:val="TableContents"/>
              <w:spacing w:before="0" w:after="283"/>
              <w:rPr>
                <w:sz w:val="4"/>
                <w:szCs w:val="4"/>
              </w:rPr>
            </w:pPr>
            <w:r>
              <w:rPr>
                <w:sz w:val="4"/>
                <w:szCs w:val="4"/>
              </w:rPr>
            </w:r>
          </w:p>
        </w:tc>
        <w:tc>
          <w:tcPr>
            <w:tcW w:w="9908" w:type="dxa"/>
            <w:tcBorders/>
            <w:shd w:fill="auto" w:val="clear"/>
            <w:vAlign w:val="center"/>
          </w:tcPr>
          <w:p>
            <w:pPr>
              <w:pStyle w:val="TableContents"/>
              <w:spacing w:before="0" w:after="283"/>
              <w:rPr>
                <w:sz w:val="4"/>
                <w:szCs w:val="4"/>
              </w:rPr>
            </w:pPr>
            <w:r>
              <w:rPr>
                <w:sz w:val="4"/>
                <w:szCs w:val="4"/>
              </w:rPr>
            </w:r>
          </w:p>
        </w:tc>
      </w:tr>
      <w:tr>
        <w:trPr/>
        <w:tc>
          <w:tcPr>
            <w:tcW w:w="29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(1)</w:t>
            </w:r>
          </w:p>
        </w:tc>
        <w:tc>
          <w:tcPr>
            <w:tcW w:w="9908"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The SBA has two scheduled pooling dates for debentures (in March and in September). Certain debentures funded during the reporting periods may not be pooled until the subsequent pooling date.</w:t>
            </w:r>
          </w:p>
        </w:tc>
      </w:tr>
      <w:tr>
        <w:trPr/>
        <w:tc>
          <w:tcPr>
            <w:tcW w:w="297"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w:t>
            </w:r>
          </w:p>
        </w:tc>
        <w:tc>
          <w:tcPr>
            <w:tcW w:w="9908"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6"/>
              </w:rPr>
              <w:t>The Company issued $8,000</w:t>
            </w:r>
            <w:r>
              <w:rPr>
                <w:rFonts w:ascii="Times New Roman" w:hAnsi="Times New Roman"/>
                <w:sz w:val="20"/>
              </w:rPr>
              <w:t> </w:t>
            </w:r>
            <w:r>
              <w:rPr>
                <w:rFonts w:ascii="Times New Roman;serif" w:hAnsi="Times New Roman;serif"/>
                <w:b w:val="false"/>
                <w:sz w:val="16"/>
              </w:rPr>
              <w:t>in SBA debentures which will pool in September 2023. Until the pooling date, the debentures bear interest at a fixed rate interim interest rate of 6.047%. The Company expects the current interim interest rate will reset to a higher long-term fixed rate on the pooling date.</w:t>
            </w:r>
          </w:p>
        </w:tc>
      </w:tr>
    </w:tbl>
    <w:p>
      <w:pPr>
        <w:pStyle w:val="TextBody"/>
        <w:spacing w:before="180" w:after="0"/>
        <w:jc w:val="both"/>
        <w:rPr>
          <w:rFonts w:ascii="Times New Roman" w:hAnsi="Times New Roman"/>
          <w:sz w:val="20"/>
        </w:rPr>
      </w:pPr>
      <w:r>
        <w:rPr>
          <w:rFonts w:ascii="Times New Roman;serif" w:hAnsi="Times New Roman;serif"/>
          <w:b w:val="false"/>
          <w:i/>
          <w:sz w:val="20"/>
        </w:rPr>
        <w:t xml:space="preserve">Notes: </w:t>
      </w:r>
      <w:r>
        <w:rPr>
          <w:rFonts w:ascii="Times New Roman;serif" w:hAnsi="Times New Roman;serif"/>
          <w:b w:val="false"/>
          <w:sz w:val="20"/>
        </w:rPr>
        <w:t>On December 23, 2020, the Company closed the offering of $125,000</w:t>
      </w:r>
      <w:r>
        <w:rPr>
          <w:rFonts w:ascii="Times New Roman" w:hAnsi="Times New Roman"/>
          <w:sz w:val="20"/>
        </w:rPr>
        <w:t xml:space="preserve"> </w:t>
      </w:r>
      <w:r>
        <w:rPr>
          <w:rFonts w:ascii="Times New Roman;serif" w:hAnsi="Times New Roman;serif"/>
          <w:b w:val="false"/>
          <w:sz w:val="20"/>
        </w:rPr>
        <w:t>in aggregate principal amount of its 4.75% notes due 2026, or the “January 2026 Notes”. The total net proceeds to the Company from the January 2026 Notes, based on a public offering price of 100.00% of par, after deducting underwriting discounts of $2,500</w:t>
      </w:r>
      <w:r>
        <w:rPr>
          <w:rFonts w:ascii="Times New Roman" w:hAnsi="Times New Roman"/>
          <w:sz w:val="20"/>
        </w:rPr>
        <w:t xml:space="preserve"> </w:t>
      </w:r>
      <w:r>
        <w:rPr>
          <w:rFonts w:ascii="Times New Roman;serif" w:hAnsi="Times New Roman;serif"/>
          <w:b w:val="false"/>
          <w:sz w:val="20"/>
        </w:rPr>
        <w:t>and estimated offering expenses of approximately $400, were approximately $122,100. The January 2026 Notes will mature on January 31, 2026</w:t>
      </w:r>
      <w:r>
        <w:rPr>
          <w:rFonts w:ascii="Times New Roman" w:hAnsi="Times New Roman"/>
          <w:sz w:val="20"/>
        </w:rPr>
        <w:t xml:space="preserve"> </w:t>
      </w:r>
      <w:r>
        <w:rPr>
          <w:rFonts w:ascii="Times New Roman;serif" w:hAnsi="Times New Roman;serif"/>
          <w:b w:val="false"/>
          <w:sz w:val="20"/>
        </w:rPr>
        <w:t>and bear interest at a rate of 4.75%. The January 2026 Notes may be redeemed in whole or in part at any time or from time to time at our option subject to a make whole provision if redeemed more than three months prior to maturity and at par thereafter. Interest on the January 2026 Notes is payable on January 31 and July 31 of each year. The Company does not intend to list the January 2026 Notes on any securities exchange or automated dealer quotation system.</w:t>
        <w:br/>
      </w:r>
      <w:r>
        <w:rPr>
          <w:rFonts w:ascii="Times New Roman" w:hAnsi="Times New Roman"/>
          <w:sz w:val="20"/>
        </w:rPr>
        <w:t> </w:t>
      </w:r>
    </w:p>
    <w:p>
      <w:pPr>
        <w:pStyle w:val="TextBody"/>
        <w:spacing w:before="180" w:after="0"/>
        <w:jc w:val="both"/>
        <w:rPr>
          <w:rFonts w:ascii="Times New Roman" w:hAnsi="Times New Roman"/>
          <w:sz w:val="20"/>
        </w:rPr>
      </w:pPr>
      <w:r>
        <w:rPr>
          <w:rFonts w:ascii="Times New Roman;serif" w:hAnsi="Times New Roman;serif"/>
          <w:b w:val="false"/>
          <w:sz w:val="20"/>
        </w:rPr>
        <w:t>On October 8, 2021, the Company closed the offering of $125,000</w:t>
      </w:r>
      <w:r>
        <w:rPr>
          <w:rFonts w:ascii="Times New Roman" w:hAnsi="Times New Roman"/>
          <w:sz w:val="20"/>
        </w:rPr>
        <w:t xml:space="preserve"> </w:t>
      </w:r>
      <w:r>
        <w:rPr>
          <w:rFonts w:ascii="Times New Roman;serif" w:hAnsi="Times New Roman;serif"/>
          <w:b w:val="false"/>
          <w:sz w:val="20"/>
        </w:rPr>
        <w:t>in aggregate principal amount of its 3.50% notes due 2026, or the “November 2026 Notes” (collectively with the January 2026 Notes, the “Notes”). The total net proceeds to the Company from the November 2026 Notes, based on a public offering price of 99.996% of par, after deducting underwriting discounts of $2,500</w:t>
      </w:r>
      <w:r>
        <w:rPr>
          <w:rFonts w:ascii="Times New Roman" w:hAnsi="Times New Roman"/>
          <w:sz w:val="20"/>
        </w:rPr>
        <w:t xml:space="preserve"> </w:t>
      </w:r>
      <w:r>
        <w:rPr>
          <w:rFonts w:ascii="Times New Roman;serif" w:hAnsi="Times New Roman;serif"/>
          <w:b w:val="false"/>
          <w:sz w:val="20"/>
        </w:rPr>
        <w:t>and estimated offering expenses of approximately $400, were approximately $122,095. The November 2026 Notes will mature on November 15, 2026</w:t>
      </w:r>
      <w:r>
        <w:rPr>
          <w:rFonts w:ascii="Times New Roman" w:hAnsi="Times New Roman"/>
          <w:sz w:val="20"/>
        </w:rPr>
        <w:t xml:space="preserve"> </w:t>
      </w:r>
      <w:r>
        <w:rPr>
          <w:rFonts w:ascii="Times New Roman;serif" w:hAnsi="Times New Roman;serif"/>
          <w:b w:val="false"/>
          <w:sz w:val="20"/>
        </w:rPr>
        <w:t>and bear interest at a rate of 3.50%. The November 2026 Notes may be redeemed in whole or in part at any time or from time to time at our option subject to a make whole provision if redeemed more than three months prior to maturity and at par thereafter. Interest on the November 2026 Notes is payable on May 15 and November 15 of each year. The Company does not intend to list the November 2026 Notes on any securities exchange or automated dealer quotation system.</w:t>
        <w:br/>
      </w:r>
      <w:r>
        <w:rPr>
          <w:rFonts w:ascii="Times New Roman" w:hAnsi="Times New Roman"/>
          <w:sz w:val="20"/>
        </w:rPr>
        <w:t> </w:t>
      </w:r>
    </w:p>
    <w:p>
      <w:pPr>
        <w:pStyle w:val="TextBody"/>
        <w:spacing w:before="180" w:after="0"/>
        <w:jc w:val="both"/>
        <w:rPr>
          <w:rFonts w:ascii="Times New Roman" w:hAnsi="Times New Roman"/>
          <w:sz w:val="20"/>
        </w:rPr>
      </w:pPr>
      <w:r>
        <w:rPr>
          <w:rFonts w:ascii="Times New Roman;serif" w:hAnsi="Times New Roman;serif"/>
          <w:b w:val="false"/>
          <w:sz w:val="20"/>
        </w:rPr>
        <w:t>Each of the Notes are unsecured obligations of the Company and rank pari passu with the Company’s existing and future unsecured indebtedness; effectively subordinated to all of the Company’s existing and future secured indebtedness; and structurally subordinated to all existing and future indebtedness and other obligations of any of its subsidiaries, financing vehicles, or similar facilities the Company may form in the future, with respect to claims on the assets of any such subsidiaries, financing vehicles, or similar facilities, including the Credit Facility.</w:t>
      </w:r>
      <w:r>
        <w:rPr>
          <w:rFonts w:ascii="Times New Roman;serif" w:hAnsi="Times New Roman;serif"/>
          <w:b w:val="false"/>
          <w:i/>
          <w:sz w:val="20"/>
        </w:rPr>
        <w:br/>
      </w:r>
      <w:r>
        <w:rPr>
          <w:rFonts w:ascii="Times New Roman" w:hAnsi="Times New Roman"/>
          <w:sz w:val="20"/>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34</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spacing w:before="180" w:after="0"/>
        <w:jc w:val="both"/>
        <w:rPr>
          <w:rFonts w:ascii="Times New Roman;serif" w:hAnsi="Times New Roman;serif"/>
          <w:b w:val="false"/>
          <w:i/>
          <w:sz w:val="20"/>
        </w:rPr>
      </w:pPr>
      <w:r>
        <w:rPr>
          <w:rFonts w:ascii="Times New Roman;serif" w:hAnsi="Times New Roman;serif"/>
          <w:b w:val="false"/>
          <w:i/>
          <w:sz w:val="20"/>
        </w:rPr>
        <w:t>Secured Borrowing</w:t>
      </w:r>
    </w:p>
    <w:p>
      <w:pPr>
        <w:pStyle w:val="TextBody"/>
        <w:spacing w:before="180" w:after="0"/>
        <w:jc w:val="both"/>
        <w:rPr>
          <w:rFonts w:ascii="Times New Roman" w:hAnsi="Times New Roman"/>
          <w:sz w:val="20"/>
        </w:rPr>
      </w:pPr>
      <w:r>
        <w:rPr>
          <w:rFonts w:ascii="Times New Roman;serif" w:hAnsi="Times New Roman;serif"/>
          <w:b w:val="false"/>
          <w:sz w:val="20"/>
        </w:rPr>
        <w:t>As of March 31, 2023 and December 31, 2022, the carrying value of secured borrowings totaled $16,634</w:t>
      </w:r>
      <w:r>
        <w:rPr>
          <w:rFonts w:ascii="Times New Roman" w:hAnsi="Times New Roman"/>
          <w:sz w:val="20"/>
        </w:rPr>
        <w:t xml:space="preserve"> </w:t>
      </w:r>
      <w:r>
        <w:rPr>
          <w:rFonts w:ascii="Times New Roman;serif" w:hAnsi="Times New Roman;serif"/>
          <w:b w:val="false"/>
          <w:sz w:val="20"/>
        </w:rPr>
        <w:t>and $16,880, respectively and the fair value of the associated loans included in investments was $16,630</w:t>
      </w:r>
      <w:r>
        <w:rPr>
          <w:rFonts w:ascii="Times New Roman" w:hAnsi="Times New Roman"/>
          <w:sz w:val="20"/>
        </w:rPr>
        <w:t xml:space="preserve"> </w:t>
      </w:r>
      <w:r>
        <w:rPr>
          <w:rFonts w:ascii="Times New Roman;serif" w:hAnsi="Times New Roman;serif"/>
          <w:b w:val="false"/>
          <w:sz w:val="20"/>
        </w:rPr>
        <w:t>and $16,875, respectively. These secured borrowings were created as a result of our completion of partial loan sales of certain unitranche loan assets that did not meet the definition of a “participating interest.” As a result, sale treatment was not permitted and these partial loan sales were treated as secured borrowings. The weighted average interest rate on our secured borrowings was approximately 8.7%</w:t>
      </w:r>
      <w:r>
        <w:rPr>
          <w:rFonts w:ascii="Times New Roman" w:hAnsi="Times New Roman"/>
          <w:sz w:val="20"/>
        </w:rPr>
        <w:t xml:space="preserve"> </w:t>
      </w:r>
      <w:r>
        <w:rPr>
          <w:rFonts w:ascii="Times New Roman;serif" w:hAnsi="Times New Roman;serif"/>
          <w:b w:val="false"/>
          <w:sz w:val="20"/>
        </w:rPr>
        <w:t>and 7.8%</w:t>
      </w:r>
      <w:r>
        <w:rPr>
          <w:rFonts w:ascii="Times New Roman" w:hAnsi="Times New Roman"/>
          <w:sz w:val="20"/>
        </w:rPr>
        <w:t xml:space="preserve"> </w:t>
      </w:r>
      <w:r>
        <w:rPr>
          <w:rFonts w:ascii="Times New Roman;serif" w:hAnsi="Times New Roman;serif"/>
          <w:b w:val="false"/>
          <w:sz w:val="20"/>
        </w:rPr>
        <w:t>as of March 31, 2023, and December 31, 2022, respectively.</w:t>
      </w:r>
    </w:p>
    <w:p>
      <w:pPr>
        <w:pStyle w:val="TextBody"/>
        <w:spacing w:before="180" w:after="0"/>
        <w:jc w:val="both"/>
        <w:rPr>
          <w:rFonts w:ascii="Times New Roman;serif" w:hAnsi="Times New Roman;serif"/>
          <w:b w:val="false"/>
          <w:i/>
          <w:sz w:val="20"/>
        </w:rPr>
      </w:pPr>
      <w:r>
        <w:rPr>
          <w:rFonts w:ascii="Times New Roman;serif" w:hAnsi="Times New Roman;serif"/>
          <w:b w:val="false"/>
          <w:i/>
          <w:sz w:val="20"/>
        </w:rPr>
        <w:t>Senior Securities</w:t>
      </w:r>
    </w:p>
    <w:p>
      <w:pPr>
        <w:pStyle w:val="TextBody"/>
        <w:spacing w:before="180" w:after="0"/>
        <w:jc w:val="both"/>
        <w:rPr>
          <w:rFonts w:ascii="Times New Roman" w:hAnsi="Times New Roman"/>
          <w:sz w:val="20"/>
        </w:rPr>
      </w:pPr>
      <w:r>
        <w:rPr>
          <w:rFonts w:ascii="Times New Roman;serif" w:hAnsi="Times New Roman;serif"/>
          <w:b w:val="false"/>
          <w:sz w:val="20"/>
        </w:rPr>
        <w:t>As of March 31, 2023, and December 31, 2022, the aggregate amount outstanding of the senior securities (including secured borrowings) issued by the Company was $281,634</w:t>
      </w:r>
      <w:r>
        <w:rPr>
          <w:rFonts w:ascii="Times New Roman" w:hAnsi="Times New Roman"/>
          <w:sz w:val="20"/>
        </w:rPr>
        <w:t xml:space="preserve"> </w:t>
      </w:r>
      <w:r>
        <w:rPr>
          <w:rFonts w:ascii="Times New Roman;serif" w:hAnsi="Times New Roman;serif"/>
          <w:b w:val="false"/>
          <w:sz w:val="20"/>
        </w:rPr>
        <w:t>and $266,880, respectively, for which our asset coverage was 272.1%</w:t>
      </w:r>
      <w:r>
        <w:rPr>
          <w:rFonts w:ascii="Times New Roman" w:hAnsi="Times New Roman"/>
          <w:sz w:val="20"/>
        </w:rPr>
        <w:t xml:space="preserve"> </w:t>
      </w:r>
      <w:r>
        <w:rPr>
          <w:rFonts w:ascii="Times New Roman;serif" w:hAnsi="Times New Roman;serif"/>
          <w:b w:val="false"/>
          <w:sz w:val="20"/>
        </w:rPr>
        <w:t>and 280.0%, respectively. The SBA debentures are not subject to the asset coverage requirements of the 1940 Act as a result of exemptive relief granted to us by the SEC on June 30, 2014. The asset coverage ratio for a class of senior securities representing indebtedness is calculated as our consolidated total assets, less all liabilities and indebtedness not represented by senior securities, divided by total senior securities representing indebtedness.</w:t>
      </w:r>
    </w:p>
    <w:p>
      <w:pPr>
        <w:pStyle w:val="TextBody"/>
        <w:spacing w:before="180" w:after="0"/>
        <w:jc w:val="both"/>
        <w:rPr>
          <w:rFonts w:ascii="Times New Roman;serif" w:hAnsi="Times New Roman;serif"/>
          <w:b w:val="false"/>
          <w:i/>
          <w:sz w:val="20"/>
        </w:rPr>
      </w:pPr>
      <w:r>
        <w:rPr>
          <w:rFonts w:ascii="Times New Roman;serif" w:hAnsi="Times New Roman;serif"/>
          <w:b w:val="false"/>
          <w:i/>
          <w:sz w:val="20"/>
        </w:rPr>
        <w:t>Interest and Financing Expenses</w:t>
      </w:r>
    </w:p>
    <w:p>
      <w:pPr>
        <w:pStyle w:val="TextBody"/>
        <w:spacing w:before="180" w:after="120"/>
        <w:jc w:val="both"/>
        <w:rPr>
          <w:rFonts w:ascii="Times New Roman;serif" w:hAnsi="Times New Roman;serif"/>
          <w:b w:val="false"/>
          <w:sz w:val="20"/>
        </w:rPr>
      </w:pPr>
      <w:r>
        <w:rPr>
          <w:rFonts w:ascii="Times New Roman;serif" w:hAnsi="Times New Roman;serif"/>
          <w:b w:val="false"/>
          <w:sz w:val="20"/>
        </w:rPr>
        <w:t>Interest and fees related to the Company’s debt for the three months ended March 31, 2023 and 2022 which are included in interest and financing expenses on the consolidated statements of operations, were as follows:</w:t>
      </w:r>
    </w:p>
    <w:tbl>
      <w:tblPr>
        <w:tblW w:w="10205" w:type="dxa"/>
        <w:jc w:val="left"/>
        <w:tblInd w:w="0" w:type="dxa"/>
        <w:tblCellMar>
          <w:top w:w="28" w:type="dxa"/>
          <w:left w:w="28" w:type="dxa"/>
          <w:bottom w:w="28" w:type="dxa"/>
          <w:right w:w="28" w:type="dxa"/>
        </w:tblCellMar>
      </w:tblPr>
      <w:tblGrid>
        <w:gridCol w:w="752"/>
        <w:gridCol w:w="146"/>
        <w:gridCol w:w="186"/>
        <w:gridCol w:w="423"/>
        <w:gridCol w:w="196"/>
        <w:gridCol w:w="146"/>
        <w:gridCol w:w="168"/>
        <w:gridCol w:w="382"/>
        <w:gridCol w:w="196"/>
        <w:gridCol w:w="146"/>
        <w:gridCol w:w="206"/>
        <w:gridCol w:w="469"/>
        <w:gridCol w:w="196"/>
        <w:gridCol w:w="146"/>
        <w:gridCol w:w="166"/>
        <w:gridCol w:w="376"/>
        <w:gridCol w:w="196"/>
        <w:gridCol w:w="146"/>
        <w:gridCol w:w="166"/>
        <w:gridCol w:w="376"/>
        <w:gridCol w:w="196"/>
        <w:gridCol w:w="146"/>
        <w:gridCol w:w="186"/>
        <w:gridCol w:w="423"/>
        <w:gridCol w:w="196"/>
        <w:gridCol w:w="146"/>
        <w:gridCol w:w="168"/>
        <w:gridCol w:w="382"/>
        <w:gridCol w:w="196"/>
        <w:gridCol w:w="146"/>
        <w:gridCol w:w="206"/>
        <w:gridCol w:w="469"/>
        <w:gridCol w:w="196"/>
        <w:gridCol w:w="146"/>
        <w:gridCol w:w="166"/>
        <w:gridCol w:w="376"/>
        <w:gridCol w:w="196"/>
        <w:gridCol w:w="146"/>
        <w:gridCol w:w="166"/>
        <w:gridCol w:w="376"/>
        <w:gridCol w:w="196"/>
        <w:gridCol w:w="197"/>
      </w:tblGrid>
      <w:tr>
        <w:trPr/>
        <w:tc>
          <w:tcPr>
            <w:tcW w:w="75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752"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4286"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0"/>
              </w:rPr>
            </w:pPr>
            <w:r>
              <w:rPr>
                <w:rFonts w:ascii="Times New Roman;serif" w:hAnsi="Times New Roman;serif"/>
                <w:b/>
                <w:sz w:val="10"/>
              </w:rPr>
              <w:t>Three Months Ended March 31, 2023</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86"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0"/>
              </w:rPr>
            </w:pPr>
            <w:r>
              <w:rPr>
                <w:rFonts w:ascii="Times New Roman;serif" w:hAnsi="Times New Roman;serif"/>
                <w:b/>
                <w:sz w:val="10"/>
              </w:rPr>
              <w:t>Three Months Ended March 31, 2022</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60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0"/>
              </w:rPr>
            </w:pPr>
            <w:r>
              <w:rPr>
                <w:rFonts w:ascii="Times New Roman;serif" w:hAnsi="Times New Roman;serif"/>
                <w:b/>
                <w:sz w:val="10"/>
              </w:rPr>
              <w:t>SBA debentures</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0"/>
              </w:rPr>
            </w:pPr>
            <w:r>
              <w:rPr>
                <w:rFonts w:ascii="Times New Roman;serif" w:hAnsi="Times New Roman;serif"/>
                <w:b/>
                <w:sz w:val="10"/>
              </w:rPr>
              <w:t>Credit Facility</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0"/>
              </w:rPr>
            </w:pPr>
            <w:r>
              <w:rPr>
                <w:rFonts w:ascii="Times New Roman;serif" w:hAnsi="Times New Roman;serif"/>
                <w:b/>
                <w:sz w:val="10"/>
              </w:rPr>
              <w:t>Secured Borrowings</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0"/>
              </w:rPr>
            </w:pPr>
            <w:r>
              <w:rPr>
                <w:rFonts w:ascii="Times New Roman;serif" w:hAnsi="Times New Roman;serif"/>
                <w:b/>
                <w:sz w:val="10"/>
              </w:rPr>
              <w:t>Notes</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0"/>
              </w:rPr>
            </w:pPr>
            <w:r>
              <w:rPr>
                <w:rFonts w:ascii="Times New Roman;serif" w:hAnsi="Times New Roman;serif"/>
                <w:b/>
                <w:sz w:val="10"/>
              </w:rPr>
              <w:t>Total</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0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0"/>
              </w:rPr>
            </w:pPr>
            <w:r>
              <w:rPr>
                <w:rFonts w:ascii="Times New Roman;serif" w:hAnsi="Times New Roman;serif"/>
                <w:b/>
                <w:sz w:val="10"/>
              </w:rPr>
              <w:t>SBA debentures</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0"/>
              </w:rPr>
            </w:pPr>
            <w:r>
              <w:rPr>
                <w:rFonts w:ascii="Times New Roman;serif" w:hAnsi="Times New Roman;serif"/>
                <w:b/>
                <w:sz w:val="10"/>
              </w:rPr>
              <w:t>Credit Facility</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0"/>
              </w:rPr>
            </w:pPr>
            <w:r>
              <w:rPr>
                <w:rFonts w:ascii="Times New Roman;serif" w:hAnsi="Times New Roman;serif"/>
                <w:b/>
                <w:sz w:val="10"/>
              </w:rPr>
              <w:t>Secured Borrowings</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0"/>
              </w:rPr>
            </w:pPr>
            <w:r>
              <w:rPr>
                <w:rFonts w:ascii="Times New Roman;serif" w:hAnsi="Times New Roman;serif"/>
                <w:b/>
                <w:sz w:val="10"/>
              </w:rPr>
              <w:t>Notes</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0"/>
              </w:rPr>
            </w:pPr>
            <w:r>
              <w:rPr>
                <w:rFonts w:ascii="Times New Roman;serif" w:hAnsi="Times New Roman;serif"/>
                <w:b/>
                <w:sz w:val="10"/>
              </w:rPr>
              <w:t>Total</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7" w:type="dxa"/>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both"/>
              <w:rPr>
                <w:rFonts w:ascii="Times New Roman;serif" w:hAnsi="Times New Roman;serif"/>
                <w:b w:val="false"/>
                <w:sz w:val="10"/>
              </w:rPr>
            </w:pPr>
            <w:r>
              <w:rPr>
                <w:rFonts w:ascii="Times New Roman;serif" w:hAnsi="Times New Roman;serif"/>
                <w:b w:val="false"/>
                <w:sz w:val="10"/>
              </w:rPr>
              <w:t>Stated interest expense</w:t>
            </w:r>
          </w:p>
        </w:tc>
        <w:tc>
          <w:tcPr>
            <w:tcW w:w="146" w:type="dxa"/>
            <w:tcBorders/>
            <w:shd w:fill="auto" w:val="clear"/>
            <w:vAlign w:val="center"/>
          </w:tcPr>
          <w:p>
            <w:pPr>
              <w:pStyle w:val="TableContents"/>
              <w:spacing w:before="0" w:after="0"/>
              <w:ind w:left="0" w:right="0" w:hanging="0"/>
              <w:jc w:val="both"/>
              <w:rPr/>
            </w:pPr>
            <w:r>
              <w:rPr/>
              <w:t> </w:t>
            </w:r>
          </w:p>
        </w:tc>
        <w:tc>
          <w:tcPr>
            <w:tcW w:w="18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23"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1,372</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82"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330</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389</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2,578</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4,669</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23"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739</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82"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363</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208</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2,578</w:t>
            </w:r>
          </w:p>
        </w:tc>
        <w:tc>
          <w:tcPr>
            <w:tcW w:w="19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3,888</w:t>
            </w:r>
          </w:p>
        </w:tc>
        <w:tc>
          <w:tcPr>
            <w:tcW w:w="196" w:type="dxa"/>
            <w:tcBorders/>
            <w:shd w:fill="auto" w:val="cle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Amortization of deferred financing costs</w:t>
            </w:r>
          </w:p>
        </w:tc>
        <w:tc>
          <w:tcPr>
            <w:tcW w:w="146" w:type="dxa"/>
            <w:tcBorders/>
            <w:shd w:fill="auto" w:val="clear"/>
            <w:vAlign w:val="center"/>
          </w:tcPr>
          <w:p>
            <w:pPr>
              <w:pStyle w:val="TableContents"/>
              <w:spacing w:before="0" w:after="0"/>
              <w:ind w:left="0" w:right="0" w:hanging="0"/>
              <w:jc w:val="both"/>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168</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73</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275</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516</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138</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8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112</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274</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524</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Total interest and financing expenses</w:t>
            </w:r>
          </w:p>
        </w:tc>
        <w:tc>
          <w:tcPr>
            <w:tcW w:w="146" w:type="dxa"/>
            <w:tcBorders/>
            <w:shd w:fill="auto" w:val="clear"/>
            <w:vAlign w:val="center"/>
          </w:tcPr>
          <w:p>
            <w:pPr>
              <w:pStyle w:val="TableContents"/>
              <w:spacing w:before="0" w:after="0"/>
              <w:ind w:left="0" w:right="0" w:hanging="0"/>
              <w:jc w:val="both"/>
              <w:rPr/>
            </w:pPr>
            <w:r>
              <w:rPr/>
              <w:t> </w:t>
            </w:r>
          </w:p>
        </w:tc>
        <w:tc>
          <w:tcPr>
            <w:tcW w:w="1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1,540</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403</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389</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2,853</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5,185</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877</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8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475</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4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208</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2,852</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3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4,412</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7" w:type="dxa"/>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Weighted average stated interest rate, period end</w:t>
            </w:r>
          </w:p>
        </w:tc>
        <w:tc>
          <w:tcPr>
            <w:tcW w:w="146" w:type="dxa"/>
            <w:tcBorders/>
            <w:shd w:fill="auto" w:val="clear"/>
            <w:vAlign w:val="center"/>
          </w:tcPr>
          <w:p>
            <w:pPr>
              <w:pStyle w:val="TableContents"/>
              <w:spacing w:before="0" w:after="0"/>
              <w:ind w:left="0" w:right="0" w:hanging="0"/>
              <w:jc w:val="both"/>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423"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3.268</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382"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7.390</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8.685</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4.125</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4.244</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left"/>
              <w:rPr/>
            </w:pPr>
            <w:r>
              <w:rPr/>
              <w:t> </w:t>
            </w:r>
          </w:p>
        </w:tc>
        <w:tc>
          <w:tcPr>
            <w:tcW w:w="186" w:type="dxa"/>
            <w:tcBorders/>
            <w:shd w:fill="auto" w:val="clear"/>
            <w:vAlign w:val="center"/>
          </w:tcPr>
          <w:p>
            <w:pPr>
              <w:pStyle w:val="TableContents"/>
              <w:spacing w:before="0" w:after="0"/>
              <w:ind w:left="0" w:right="0" w:hanging="0"/>
              <w:jc w:val="left"/>
              <w:rPr/>
            </w:pPr>
            <w:r>
              <w:rPr/>
              <w:t> </w:t>
            </w:r>
          </w:p>
        </w:tc>
        <w:tc>
          <w:tcPr>
            <w:tcW w:w="423"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2.846</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382"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3.125</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469"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4.497</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4.125</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3.726</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97" w:type="dxa"/>
            <w:tcBorders/>
            <w:shd w:fill="auto" w:val="clear"/>
            <w:vAlign w:val="center"/>
          </w:tcPr>
          <w:p>
            <w:pPr>
              <w:pStyle w:val="TableContents"/>
              <w:spacing w:before="0" w:after="0"/>
              <w:ind w:left="0" w:right="0" w:hanging="0"/>
              <w:jc w:val="left"/>
              <w:rPr/>
            </w:pPr>
            <w:r>
              <w:rPr/>
              <w:t> </w:t>
            </w:r>
          </w:p>
        </w:tc>
      </w:tr>
      <w:tr>
        <w:trPr/>
        <w:tc>
          <w:tcPr>
            <w:tcW w:w="752"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Unused commitment fee rate, period end</w:t>
            </w:r>
          </w:p>
        </w:tc>
        <w:tc>
          <w:tcPr>
            <w:tcW w:w="146" w:type="dxa"/>
            <w:tcBorders/>
            <w:shd w:fill="auto" w:val="clear"/>
            <w:vAlign w:val="center"/>
          </w:tcPr>
          <w:p>
            <w:pPr>
              <w:pStyle w:val="TableContents"/>
              <w:spacing w:before="0" w:after="0"/>
              <w:ind w:left="0" w:right="0" w:hanging="0"/>
              <w:jc w:val="both"/>
              <w:rPr/>
            </w:pPr>
            <w:r>
              <w:rPr/>
              <w:t> </w:t>
            </w:r>
          </w:p>
        </w:tc>
        <w:tc>
          <w:tcPr>
            <w:tcW w:w="609"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N/A</w:t>
            </w:r>
          </w:p>
        </w:tc>
        <w:tc>
          <w:tcPr>
            <w:tcW w:w="1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382"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0.970</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left"/>
              <w:rPr/>
            </w:pPr>
            <w:r>
              <w:rPr/>
              <w:t> </w:t>
            </w:r>
          </w:p>
        </w:tc>
        <w:tc>
          <w:tcPr>
            <w:tcW w:w="675"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N/A</w:t>
            </w:r>
          </w:p>
        </w:tc>
        <w:tc>
          <w:tcPr>
            <w:tcW w:w="1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N/A</w:t>
            </w:r>
          </w:p>
        </w:tc>
        <w:tc>
          <w:tcPr>
            <w:tcW w:w="1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0.970</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left"/>
              <w:rPr/>
            </w:pPr>
            <w:r>
              <w:rPr/>
              <w:t> </w:t>
            </w:r>
          </w:p>
        </w:tc>
        <w:tc>
          <w:tcPr>
            <w:tcW w:w="609"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N/A</w:t>
            </w:r>
          </w:p>
        </w:tc>
        <w:tc>
          <w:tcPr>
            <w:tcW w:w="1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8" w:type="dxa"/>
            <w:tcBorders/>
            <w:shd w:fill="auto" w:val="clear"/>
            <w:vAlign w:val="center"/>
          </w:tcPr>
          <w:p>
            <w:pPr>
              <w:pStyle w:val="TableContents"/>
              <w:spacing w:before="0" w:after="0"/>
              <w:ind w:left="0" w:right="0" w:hanging="0"/>
              <w:jc w:val="left"/>
              <w:rPr/>
            </w:pPr>
            <w:r>
              <w:rPr/>
              <w:t> </w:t>
            </w:r>
          </w:p>
        </w:tc>
        <w:tc>
          <w:tcPr>
            <w:tcW w:w="382"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1.375</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46" w:type="dxa"/>
            <w:tcBorders/>
            <w:shd w:fill="auto" w:val="clear"/>
            <w:vAlign w:val="center"/>
          </w:tcPr>
          <w:p>
            <w:pPr>
              <w:pStyle w:val="TableContents"/>
              <w:spacing w:before="0" w:after="0"/>
              <w:ind w:left="0" w:right="0" w:hanging="0"/>
              <w:jc w:val="left"/>
              <w:rPr/>
            </w:pPr>
            <w:r>
              <w:rPr/>
              <w:t> </w:t>
            </w:r>
          </w:p>
        </w:tc>
        <w:tc>
          <w:tcPr>
            <w:tcW w:w="675"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N/A</w:t>
            </w:r>
          </w:p>
        </w:tc>
        <w:tc>
          <w:tcPr>
            <w:tcW w:w="1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42"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N/A</w:t>
            </w:r>
          </w:p>
        </w:tc>
        <w:tc>
          <w:tcPr>
            <w:tcW w:w="19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76" w:type="dxa"/>
            <w:tcBorders/>
            <w:shd w:fill="auto" w:val="clear"/>
            <w:vAlign w:val="center"/>
          </w:tcPr>
          <w:p>
            <w:pPr>
              <w:pStyle w:val="TableContents"/>
              <w:spacing w:before="0" w:after="0"/>
              <w:ind w:left="0" w:right="0" w:hanging="0"/>
              <w:jc w:val="right"/>
              <w:rPr>
                <w:rFonts w:ascii="Times New Roman;serif" w:hAnsi="Times New Roman;serif"/>
                <w:b w:val="false"/>
                <w:sz w:val="10"/>
              </w:rPr>
            </w:pPr>
            <w:r>
              <w:rPr>
                <w:rFonts w:ascii="Times New Roman;serif" w:hAnsi="Times New Roman;serif"/>
                <w:b w:val="false"/>
                <w:sz w:val="10"/>
              </w:rPr>
              <w:t>1.375</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0"/>
              </w:rPr>
            </w:pPr>
            <w:r>
              <w:rPr>
                <w:rFonts w:ascii="Times New Roman;serif" w:hAnsi="Times New Roman;serif"/>
                <w:b w:val="false"/>
                <w:sz w:val="10"/>
              </w:rPr>
              <w:t>%</w:t>
            </w:r>
          </w:p>
        </w:tc>
        <w:tc>
          <w:tcPr>
            <w:tcW w:w="197"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Times New Roman;serif" w:hAnsi="Times New Roman;serif"/>
          <w:b w:val="false"/>
          <w:i/>
          <w:sz w:val="20"/>
        </w:rPr>
      </w:pPr>
      <w:r>
        <w:rPr>
          <w:rFonts w:ascii="Times New Roman;serif" w:hAnsi="Times New Roman;serif"/>
          <w:b w:val="false"/>
          <w:i/>
          <w:sz w:val="20"/>
        </w:rPr>
        <w:t>Realized Losses on Extinguishment of Debt</w:t>
      </w:r>
    </w:p>
    <w:p>
      <w:pPr>
        <w:pStyle w:val="TextBody"/>
        <w:spacing w:before="180" w:after="0"/>
        <w:jc w:val="both"/>
        <w:rPr>
          <w:rFonts w:ascii="Times New Roman" w:hAnsi="Times New Roman"/>
          <w:sz w:val="20"/>
        </w:rPr>
      </w:pPr>
      <w:r>
        <w:rPr>
          <w:rFonts w:ascii="Times New Roman;serif" w:hAnsi="Times New Roman;serif"/>
          <w:b w:val="false"/>
          <w:sz w:val="20"/>
        </w:rPr>
        <w:t>During the three months ended March 31, 2023 and 2022, the Company prepaid $0</w:t>
      </w:r>
      <w:r>
        <w:rPr>
          <w:rFonts w:ascii="Times New Roman" w:hAnsi="Times New Roman"/>
          <w:sz w:val="20"/>
        </w:rPr>
        <w:t xml:space="preserve"> </w:t>
      </w:r>
      <w:r>
        <w:rPr>
          <w:rFonts w:ascii="Times New Roman;serif" w:hAnsi="Times New Roman;serif"/>
          <w:b w:val="false"/>
          <w:sz w:val="20"/>
        </w:rPr>
        <w:t>and $20,000</w:t>
      </w:r>
      <w:r>
        <w:rPr>
          <w:rFonts w:ascii="Times New Roman" w:hAnsi="Times New Roman"/>
          <w:sz w:val="20"/>
        </w:rPr>
        <w:t xml:space="preserve"> </w:t>
      </w:r>
      <w:r>
        <w:rPr>
          <w:rFonts w:ascii="Times New Roman;serif" w:hAnsi="Times New Roman;serif"/>
          <w:b w:val="false"/>
          <w:sz w:val="20"/>
        </w:rPr>
        <w:t>of SBA debentures, respectively, which were scheduled to mature on dates ranging from 2025</w:t>
      </w:r>
      <w:r>
        <w:rPr>
          <w:rFonts w:ascii="Times New Roman" w:hAnsi="Times New Roman"/>
          <w:sz w:val="20"/>
        </w:rPr>
        <w:t xml:space="preserve"> </w:t>
      </w:r>
      <w:r>
        <w:rPr>
          <w:rFonts w:ascii="Times New Roman;serif" w:hAnsi="Times New Roman;serif"/>
          <w:b w:val="false"/>
          <w:sz w:val="20"/>
        </w:rPr>
        <w:t>to 2028. As a result of the prepayments, the Company recognized realized losses on extinguishment of debt of $0</w:t>
      </w:r>
      <w:r>
        <w:rPr>
          <w:rFonts w:ascii="Times New Roman" w:hAnsi="Times New Roman"/>
          <w:sz w:val="20"/>
        </w:rPr>
        <w:t xml:space="preserve"> </w:t>
      </w:r>
      <w:r>
        <w:rPr>
          <w:rFonts w:ascii="Times New Roman;serif" w:hAnsi="Times New Roman;serif"/>
          <w:b w:val="false"/>
          <w:sz w:val="20"/>
        </w:rPr>
        <w:t>and $198, respectively, equal to the write-off of the related unamortized deferred financing costs, during the three months ended March 31, 2023 and 2022.</w:t>
      </w:r>
    </w:p>
    <w:p>
      <w:pPr>
        <w:pStyle w:val="TextBody"/>
        <w:spacing w:before="180" w:after="180"/>
        <w:jc w:val="both"/>
        <w:rPr>
          <w:rFonts w:ascii="Times New Roman;serif" w:hAnsi="Times New Roman;serif"/>
          <w:b w:val="false"/>
          <w:i/>
          <w:sz w:val="20"/>
        </w:rPr>
      </w:pPr>
      <w:r>
        <w:rPr>
          <w:rFonts w:ascii="Times New Roman;serif" w:hAnsi="Times New Roman;serif"/>
          <w:b w:val="false"/>
          <w:i/>
          <w:sz w:val="20"/>
        </w:rPr>
        <w:t>Deferred Financing Costs</w:t>
      </w:r>
    </w:p>
    <w:p>
      <w:pPr>
        <w:pStyle w:val="TextBody"/>
        <w:spacing w:before="0" w:after="0"/>
        <w:jc w:val="both"/>
        <w:rPr>
          <w:rFonts w:ascii="Times New Roman;serif" w:hAnsi="Times New Roman;serif"/>
          <w:b w:val="false"/>
          <w:sz w:val="20"/>
        </w:rPr>
      </w:pPr>
      <w:bookmarkStart w:id="11" w:name="fis_unidentified_table_13"/>
      <w:bookmarkEnd w:id="11"/>
      <w:r>
        <w:rPr>
          <w:rFonts w:ascii="Times New Roman;serif" w:hAnsi="Times New Roman;serif"/>
          <w:b w:val="false"/>
          <w:sz w:val="20"/>
        </w:rPr>
        <w:t>Deferred financing costs are amortized into interest and financing expenses on the consolidated statements of operations, using the effective interest method, over the term of the respective financing instrument. Deferred financing costs related to the SBA debentures, the Credit Facility, and the Notes as of March 31, 2023 and December 31, 2022 were as follows: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170"/>
        <w:gridCol w:w="146"/>
        <w:gridCol w:w="226"/>
        <w:gridCol w:w="660"/>
        <w:gridCol w:w="166"/>
        <w:gridCol w:w="146"/>
        <w:gridCol w:w="196"/>
        <w:gridCol w:w="571"/>
        <w:gridCol w:w="166"/>
        <w:gridCol w:w="146"/>
        <w:gridCol w:w="196"/>
        <w:gridCol w:w="571"/>
        <w:gridCol w:w="166"/>
        <w:gridCol w:w="146"/>
        <w:gridCol w:w="196"/>
        <w:gridCol w:w="661"/>
        <w:gridCol w:w="166"/>
        <w:gridCol w:w="146"/>
        <w:gridCol w:w="226"/>
        <w:gridCol w:w="660"/>
        <w:gridCol w:w="166"/>
        <w:gridCol w:w="146"/>
        <w:gridCol w:w="196"/>
        <w:gridCol w:w="571"/>
        <w:gridCol w:w="166"/>
        <w:gridCol w:w="146"/>
        <w:gridCol w:w="196"/>
        <w:gridCol w:w="571"/>
        <w:gridCol w:w="166"/>
        <w:gridCol w:w="146"/>
        <w:gridCol w:w="196"/>
        <w:gridCol w:w="601"/>
        <w:gridCol w:w="211"/>
      </w:tblGrid>
      <w:tr>
        <w:trPr/>
        <w:tc>
          <w:tcPr>
            <w:tcW w:w="117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1170"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4213"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53"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70"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SBA</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Credit</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5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SBA</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7"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Credit</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7"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1170"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debentures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Facility</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Notes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5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debentures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Facility</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Notes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17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SBA debenture commitment fees</w:t>
            </w:r>
          </w:p>
        </w:tc>
        <w:tc>
          <w:tcPr>
            <w:tcW w:w="146" w:type="dxa"/>
            <w:tcBorders/>
            <w:shd w:fill="auto" w:val="clear"/>
            <w:vAlign w:val="center"/>
          </w:tcPr>
          <w:p>
            <w:pPr>
              <w:pStyle w:val="TableContents"/>
              <w:spacing w:before="0" w:after="0"/>
              <w:ind w:left="0" w:right="0" w:hanging="0"/>
              <w:jc w:val="both"/>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3,000</w:t>
            </w:r>
          </w:p>
        </w:tc>
        <w:tc>
          <w:tcPr>
            <w:tcW w:w="211" w:type="dxa"/>
            <w:tcBorders/>
            <w:shd w:fill="auto" w:val="clear"/>
            <w:vAlign w:val="center"/>
          </w:tcPr>
          <w:p>
            <w:pPr>
              <w:pStyle w:val="TableContents"/>
              <w:spacing w:before="0" w:after="0"/>
              <w:ind w:left="0" w:right="0" w:hanging="0"/>
              <w:jc w:val="left"/>
              <w:rPr/>
            </w:pPr>
            <w:r>
              <w:rPr/>
              <w:t> </w:t>
            </w:r>
          </w:p>
        </w:tc>
      </w:tr>
      <w:tr>
        <w:trPr/>
        <w:tc>
          <w:tcPr>
            <w:tcW w:w="117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SBA debenture leverage fees</w:t>
            </w:r>
          </w:p>
        </w:tc>
        <w:tc>
          <w:tcPr>
            <w:tcW w:w="146" w:type="dxa"/>
            <w:tcBorders/>
            <w:shd w:fill="auto" w:val="clear"/>
            <w:vAlign w:val="center"/>
          </w:tcPr>
          <w:p>
            <w:pPr>
              <w:pStyle w:val="TableContents"/>
              <w:spacing w:before="0" w:after="0"/>
              <w:ind w:left="0" w:right="0" w:hanging="0"/>
              <w:jc w:val="both"/>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6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6,681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6,681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6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6,389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6,389</w:t>
            </w:r>
          </w:p>
        </w:tc>
        <w:tc>
          <w:tcPr>
            <w:tcW w:w="211" w:type="dxa"/>
            <w:tcBorders/>
            <w:shd w:fill="auto" w:val="clear"/>
            <w:vAlign w:val="center"/>
          </w:tcPr>
          <w:p>
            <w:pPr>
              <w:pStyle w:val="TableContents"/>
              <w:spacing w:before="0" w:after="0"/>
              <w:ind w:left="0" w:right="0" w:hanging="0"/>
              <w:jc w:val="left"/>
              <w:rPr/>
            </w:pPr>
            <w:r>
              <w:rPr/>
              <w:t> </w:t>
            </w:r>
          </w:p>
        </w:tc>
      </w:tr>
      <w:tr>
        <w:trPr/>
        <w:tc>
          <w:tcPr>
            <w:tcW w:w="117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Credit Facility upfront fees</w:t>
            </w:r>
          </w:p>
        </w:tc>
        <w:tc>
          <w:tcPr>
            <w:tcW w:w="146" w:type="dxa"/>
            <w:tcBorders/>
            <w:shd w:fill="auto" w:val="clear"/>
            <w:vAlign w:val="center"/>
          </w:tcPr>
          <w:p>
            <w:pPr>
              <w:pStyle w:val="TableContents"/>
              <w:spacing w:before="0" w:after="0"/>
              <w:ind w:left="0" w:right="0" w:hanging="0"/>
              <w:jc w:val="both"/>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6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6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4,417</w:t>
            </w:r>
          </w:p>
        </w:tc>
        <w:tc>
          <w:tcPr>
            <w:tcW w:w="211" w:type="dxa"/>
            <w:tcBorders/>
            <w:shd w:fill="auto" w:val="clear"/>
            <w:vAlign w:val="center"/>
          </w:tcPr>
          <w:p>
            <w:pPr>
              <w:pStyle w:val="TableContents"/>
              <w:spacing w:before="0" w:after="0"/>
              <w:ind w:left="0" w:right="0" w:hanging="0"/>
              <w:jc w:val="left"/>
              <w:rPr/>
            </w:pPr>
            <w:r>
              <w:rPr/>
              <w:t> </w:t>
            </w:r>
          </w:p>
        </w:tc>
      </w:tr>
      <w:tr>
        <w:trPr/>
        <w:tc>
          <w:tcPr>
            <w:tcW w:w="117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Notes underwriting discounts</w:t>
            </w:r>
          </w:p>
        </w:tc>
        <w:tc>
          <w:tcPr>
            <w:tcW w:w="146" w:type="dxa"/>
            <w:tcBorders/>
            <w:shd w:fill="auto" w:val="clear"/>
            <w:vAlign w:val="center"/>
          </w:tcPr>
          <w:p>
            <w:pPr>
              <w:pStyle w:val="TableContents"/>
              <w:spacing w:before="0" w:after="0"/>
              <w:ind w:left="0" w:right="0" w:hanging="0"/>
              <w:jc w:val="both"/>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6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60"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5,005</w:t>
            </w:r>
          </w:p>
        </w:tc>
        <w:tc>
          <w:tcPr>
            <w:tcW w:w="211" w:type="dxa"/>
            <w:tcBorders/>
            <w:shd w:fill="auto" w:val="clear"/>
            <w:vAlign w:val="center"/>
          </w:tcPr>
          <w:p>
            <w:pPr>
              <w:pStyle w:val="TableContents"/>
              <w:spacing w:before="0" w:after="0"/>
              <w:ind w:left="0" w:right="0" w:hanging="0"/>
              <w:jc w:val="left"/>
              <w:rPr/>
            </w:pPr>
            <w:r>
              <w:rPr/>
              <w:t> </w:t>
            </w:r>
          </w:p>
        </w:tc>
      </w:tr>
      <w:tr>
        <w:trPr/>
        <w:tc>
          <w:tcPr>
            <w:tcW w:w="117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Notes debt issue costs</w:t>
            </w:r>
          </w:p>
        </w:tc>
        <w:tc>
          <w:tcPr>
            <w:tcW w:w="146" w:type="dxa"/>
            <w:tcBorders/>
            <w:shd w:fill="auto" w:val="clear"/>
            <w:vAlign w:val="center"/>
          </w:tcPr>
          <w:p>
            <w:pPr>
              <w:pStyle w:val="TableContents"/>
              <w:spacing w:before="0" w:after="0"/>
              <w:ind w:left="0" w:right="0" w:hanging="0"/>
              <w:jc w:val="both"/>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685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685</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117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deferred financing costs</w:t>
            </w:r>
          </w:p>
        </w:tc>
        <w:tc>
          <w:tcPr>
            <w:tcW w:w="146" w:type="dxa"/>
            <w:tcBorders/>
            <w:shd w:fill="auto" w:val="clear"/>
            <w:vAlign w:val="center"/>
          </w:tcPr>
          <w:p>
            <w:pPr>
              <w:pStyle w:val="TableContents"/>
              <w:spacing w:before="0" w:after="0"/>
              <w:ind w:left="0" w:right="0" w:hanging="0"/>
              <w:jc w:val="both"/>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6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9,681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5,690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19,788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66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9,389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5,690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19,496</w:t>
            </w:r>
          </w:p>
        </w:tc>
        <w:tc>
          <w:tcPr>
            <w:tcW w:w="211" w:type="dxa"/>
            <w:tcBorders/>
            <w:shd w:fill="auto" w:val="clear"/>
            <w:vAlign w:val="center"/>
          </w:tcPr>
          <w:p>
            <w:pPr>
              <w:pStyle w:val="TableContents"/>
              <w:spacing w:before="0" w:after="0"/>
              <w:ind w:left="0" w:right="0" w:hanging="0"/>
              <w:jc w:val="left"/>
              <w:rPr/>
            </w:pPr>
            <w:r>
              <w:rPr/>
              <w:t> </w:t>
            </w:r>
          </w:p>
        </w:tc>
      </w:tr>
      <w:tr>
        <w:trPr/>
        <w:tc>
          <w:tcPr>
            <w:tcW w:w="117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Less: accumulated amortization</w:t>
            </w:r>
          </w:p>
        </w:tc>
        <w:tc>
          <w:tcPr>
            <w:tcW w:w="146" w:type="dxa"/>
            <w:tcBorders/>
            <w:shd w:fill="auto" w:val="clear"/>
            <w:vAlign w:val="center"/>
          </w:tcPr>
          <w:p>
            <w:pPr>
              <w:pStyle w:val="TableContents"/>
              <w:spacing w:before="0" w:after="0"/>
              <w:ind w:left="0" w:right="0" w:hanging="0"/>
              <w:jc w:val="both"/>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(5,033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(3,111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(2,092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(10,236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(4,865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(3,037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(1,818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(9,720</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117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Unamortized deferred financing costs</w:t>
            </w:r>
          </w:p>
        </w:tc>
        <w:tc>
          <w:tcPr>
            <w:tcW w:w="146" w:type="dxa"/>
            <w:tcBorders/>
            <w:shd w:fill="auto" w:val="clear"/>
            <w:vAlign w:val="center"/>
          </w:tcPr>
          <w:p>
            <w:pPr>
              <w:pStyle w:val="TableContents"/>
              <w:spacing w:before="0" w:after="0"/>
              <w:ind w:left="0" w:right="0" w:hanging="0"/>
              <w:jc w:val="both"/>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4,648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1,306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3,598</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9,552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4,524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1,380</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3,872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9,776</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Unamortized deferred financing costs are presented as a direct offset to the SBA debentures, the Credit Facility and the Notes liabilities on the consolidated statements of assets and liabilities. The following table summarizes the outstanding debt net of unamortized deferred financing costs as of March 31, 2023 and December 31, 2022:</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1828"/>
        <w:gridCol w:w="146"/>
        <w:gridCol w:w="181"/>
        <w:gridCol w:w="586"/>
        <w:gridCol w:w="151"/>
        <w:gridCol w:w="146"/>
        <w:gridCol w:w="181"/>
        <w:gridCol w:w="511"/>
        <w:gridCol w:w="151"/>
        <w:gridCol w:w="146"/>
        <w:gridCol w:w="181"/>
        <w:gridCol w:w="586"/>
        <w:gridCol w:w="151"/>
        <w:gridCol w:w="146"/>
        <w:gridCol w:w="181"/>
        <w:gridCol w:w="586"/>
        <w:gridCol w:w="151"/>
        <w:gridCol w:w="146"/>
        <w:gridCol w:w="181"/>
        <w:gridCol w:w="586"/>
        <w:gridCol w:w="151"/>
        <w:gridCol w:w="146"/>
        <w:gridCol w:w="181"/>
        <w:gridCol w:w="481"/>
        <w:gridCol w:w="151"/>
        <w:gridCol w:w="146"/>
        <w:gridCol w:w="181"/>
        <w:gridCol w:w="586"/>
        <w:gridCol w:w="151"/>
        <w:gridCol w:w="146"/>
        <w:gridCol w:w="181"/>
        <w:gridCol w:w="586"/>
        <w:gridCol w:w="196"/>
      </w:tblGrid>
      <w:tr>
        <w:trPr/>
        <w:tc>
          <w:tcPr>
            <w:tcW w:w="182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1828"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3884"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4"/>
              </w:rPr>
            </w:pPr>
            <w:r>
              <w:rPr>
                <w:rFonts w:ascii="Times New Roman;serif" w:hAnsi="Times New Roman;serif"/>
                <w:b/>
                <w:sz w:val="14"/>
              </w:rPr>
              <w:t>March 31, 2023</w:t>
            </w:r>
            <w:r>
              <w:rPr>
                <w:rFonts w:ascii="Times New Roman;serif" w:hAnsi="Times New Roman;serif"/>
                <w:b/>
                <w:sz w:val="9"/>
              </w:rPr>
              <w:t>(1)</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54"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4"/>
              </w:rPr>
            </w:pPr>
            <w:r>
              <w:rPr>
                <w:rFonts w:ascii="Times New Roman;serif" w:hAnsi="Times New Roman;serif"/>
                <w:b/>
                <w:sz w:val="14"/>
              </w:rPr>
              <w:t>December 31, 2022</w:t>
            </w:r>
            <w:r>
              <w:rPr>
                <w:rFonts w:ascii="Times New Roman;serif" w:hAnsi="Times New Roman;serif"/>
                <w:b/>
                <w:sz w:val="9"/>
              </w:rPr>
              <w:t>(1)</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28"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767"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SBA</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2"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Credit</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7"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7"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7"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SBA</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Credit</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7"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7" w:type="dxa"/>
            <w:gridSpan w:val="2"/>
            <w:tcBorders/>
            <w:shd w:fill="auto" w:val="clear"/>
            <w:vAlign w:val="center"/>
          </w:tcPr>
          <w:p>
            <w:pPr>
              <w:pStyle w:val="TableContents"/>
              <w:spacing w:before="0" w:after="0"/>
              <w:ind w:left="0" w:right="0" w:hanging="0"/>
              <w:jc w:val="center"/>
              <w:rPr/>
            </w:pPr>
            <w:r>
              <w:rPr/>
              <w:t> </w:t>
            </w:r>
          </w:p>
        </w:tc>
        <w:tc>
          <w:tcPr>
            <w:tcW w:w="196" w:type="dxa"/>
            <w:tcBorders/>
            <w:shd w:fill="auto" w:val="clear"/>
            <w:vAlign w:val="center"/>
          </w:tcPr>
          <w:p>
            <w:pPr>
              <w:pStyle w:val="TableContents"/>
              <w:spacing w:before="0" w:after="0"/>
              <w:ind w:left="0" w:right="0" w:hanging="0"/>
              <w:jc w:val="center"/>
              <w:rPr/>
            </w:pPr>
            <w:r>
              <w:rPr/>
              <w:t> </w:t>
            </w:r>
          </w:p>
        </w:tc>
      </w:tr>
      <w:tr>
        <w:trPr/>
        <w:tc>
          <w:tcPr>
            <w:tcW w:w="1828" w:type="dxa"/>
            <w:tcBorders/>
            <w:shd w:fill="auto" w:val="clear"/>
            <w:vAlign w:val="center"/>
          </w:tcPr>
          <w:p>
            <w:pPr>
              <w:pStyle w:val="TableContents"/>
              <w:spacing w:before="0" w:after="0"/>
              <w:ind w:left="0" w:right="0" w:hanging="0"/>
              <w:jc w:val="both"/>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debentures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Facility</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Notes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debentures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6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Facility</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Notes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6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828"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Outstanding debt</w:t>
            </w:r>
          </w:p>
        </w:tc>
        <w:tc>
          <w:tcPr>
            <w:tcW w:w="146" w:type="dxa"/>
            <w:tcBorders/>
            <w:shd w:fill="auto" w:val="clear"/>
            <w:vAlign w:val="center"/>
          </w:tcPr>
          <w:p>
            <w:pPr>
              <w:pStyle w:val="TableContents"/>
              <w:spacing w:before="0" w:after="0"/>
              <w:ind w:left="0" w:right="0" w:hanging="0"/>
              <w:jc w:val="both"/>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165,000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15,000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250,000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430,000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153,000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250,000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403,000</w:t>
            </w:r>
          </w:p>
        </w:tc>
        <w:tc>
          <w:tcPr>
            <w:tcW w:w="196" w:type="dxa"/>
            <w:tcBorders/>
            <w:shd w:fill="auto" w:val="clear"/>
            <w:vAlign w:val="center"/>
          </w:tcPr>
          <w:p>
            <w:pPr>
              <w:pStyle w:val="TableContents"/>
              <w:spacing w:before="0" w:after="0"/>
              <w:ind w:left="0" w:right="0" w:hanging="0"/>
              <w:jc w:val="left"/>
              <w:rPr/>
            </w:pPr>
            <w:r>
              <w:rPr/>
              <w:t> </w:t>
            </w:r>
          </w:p>
        </w:tc>
      </w:tr>
      <w:tr>
        <w:trPr/>
        <w:tc>
          <w:tcPr>
            <w:tcW w:w="1828"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Less: unamortized deferred financing costs</w:t>
            </w:r>
          </w:p>
        </w:tc>
        <w:tc>
          <w:tcPr>
            <w:tcW w:w="146" w:type="dxa"/>
            <w:tcBorders/>
            <w:shd w:fill="auto" w:val="clear"/>
            <w:vAlign w:val="center"/>
          </w:tcPr>
          <w:p>
            <w:pPr>
              <w:pStyle w:val="TableContents"/>
              <w:spacing w:before="0" w:after="0"/>
              <w:ind w:left="0" w:right="0" w:hanging="0"/>
              <w:jc w:val="both"/>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(4,648</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(1,306</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(3,598</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(9,552</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(4,524</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(1,380</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(3,872</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(9,776</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r>
      <w:tr>
        <w:trPr/>
        <w:tc>
          <w:tcPr>
            <w:tcW w:w="1828"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Debt, net of deferred financing costs</w:t>
            </w:r>
          </w:p>
        </w:tc>
        <w:tc>
          <w:tcPr>
            <w:tcW w:w="146" w:type="dxa"/>
            <w:tcBorders/>
            <w:shd w:fill="auto" w:val="clear"/>
            <w:vAlign w:val="center"/>
          </w:tcPr>
          <w:p>
            <w:pPr>
              <w:pStyle w:val="TableContents"/>
              <w:spacing w:before="0" w:after="0"/>
              <w:ind w:left="0" w:right="0" w:hanging="0"/>
              <w:jc w:val="both"/>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160,352</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13,694</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246,402</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420,448</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148,476</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4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(1,380</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246,128</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58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393,224</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35</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spacing w:before="120" w:after="0"/>
        <w:jc w:val="both"/>
        <w:rPr>
          <w:rFonts w:ascii="Times New Roman" w:hAnsi="Times New Roman"/>
          <w:b w:val="false"/>
          <w:sz w:val="16"/>
        </w:rPr>
      </w:pPr>
      <w:r>
        <w:rPr>
          <w:rFonts w:ascii="Times New Roman" w:hAnsi="Times New Roman"/>
          <w:b w:val="false"/>
          <w:sz w:val="16"/>
        </w:rPr>
        <w:t>(1)</w:t>
      </w:r>
    </w:p>
    <w:p>
      <w:pPr>
        <w:pStyle w:val="TextBody"/>
        <w:spacing w:before="120" w:after="283"/>
        <w:jc w:val="both"/>
        <w:rPr>
          <w:rFonts w:ascii="Times New Roman;serif" w:hAnsi="Times New Roman;serif"/>
          <w:sz w:val="20"/>
        </w:rPr>
      </w:pPr>
      <w:r>
        <w:rPr>
          <w:rFonts w:ascii="Times New Roman;serif" w:hAnsi="Times New Roman;serif"/>
          <w:b w:val="false"/>
          <w:sz w:val="16"/>
        </w:rPr>
        <w:t>Total excludes $16,634</w:t>
      </w:r>
      <w:r>
        <w:rPr>
          <w:rFonts w:ascii="Times New Roman;serif" w:hAnsi="Times New Roman;serif"/>
          <w:sz w:val="20"/>
        </w:rPr>
        <w:t xml:space="preserve"> </w:t>
      </w:r>
      <w:r>
        <w:rPr>
          <w:rFonts w:ascii="Times New Roman;serif" w:hAnsi="Times New Roman;serif"/>
          <w:b w:val="false"/>
          <w:sz w:val="16"/>
        </w:rPr>
        <w:t>and $16,880</w:t>
      </w:r>
      <w:r>
        <w:rPr>
          <w:rFonts w:ascii="Times New Roman;serif" w:hAnsi="Times New Roman;serif"/>
          <w:sz w:val="20"/>
        </w:rPr>
        <w:t xml:space="preserve"> </w:t>
      </w:r>
      <w:r>
        <w:rPr>
          <w:rFonts w:ascii="Times New Roman;serif" w:hAnsi="Times New Roman;serif"/>
          <w:b w:val="false"/>
          <w:sz w:val="16"/>
        </w:rPr>
        <w:t>of Secured Borrowings as of March 31, 2023 and December 31, 2022, respectively.</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 xml:space="preserve">As of March 31, 2023, the Company’s debt liabilities are scheduled to mature as follows </w:t>
      </w:r>
      <w:r>
        <w:rPr>
          <w:rFonts w:ascii="Times New Roman;serif" w:hAnsi="Times New Roman;serif"/>
          <w:b w:val="false"/>
          <w:sz w:val="13"/>
        </w:rPr>
        <w:t>(1)</w:t>
      </w:r>
      <w:r>
        <w:rPr>
          <w:rFonts w:ascii="Times New Roman;serif" w:hAnsi="Times New Roman;serif"/>
          <w:b w:val="false"/>
          <w:sz w:val="20"/>
        </w:rPr>
        <w:t>:</w:t>
      </w:r>
    </w:p>
    <w:p>
      <w:pPr>
        <w:pStyle w:val="TextBody"/>
        <w:spacing w:before="0" w:after="0"/>
        <w:jc w:val="left"/>
        <w:rPr/>
      </w:pPr>
      <w:r>
        <w:rPr/>
        <w:t> </w:t>
      </w:r>
    </w:p>
    <w:tbl>
      <w:tblPr>
        <w:tblW w:w="7542" w:type="dxa"/>
        <w:jc w:val="left"/>
        <w:tblInd w:w="0" w:type="dxa"/>
        <w:tblCellMar>
          <w:top w:w="28" w:type="dxa"/>
          <w:left w:w="28" w:type="dxa"/>
          <w:bottom w:w="28" w:type="dxa"/>
          <w:right w:w="28" w:type="dxa"/>
        </w:tblCellMar>
      </w:tblPr>
      <w:tblGrid>
        <w:gridCol w:w="946"/>
        <w:gridCol w:w="146"/>
        <w:gridCol w:w="217"/>
        <w:gridCol w:w="804"/>
        <w:gridCol w:w="146"/>
        <w:gridCol w:w="146"/>
        <w:gridCol w:w="232"/>
        <w:gridCol w:w="743"/>
        <w:gridCol w:w="146"/>
        <w:gridCol w:w="146"/>
        <w:gridCol w:w="264"/>
        <w:gridCol w:w="847"/>
        <w:gridCol w:w="146"/>
        <w:gridCol w:w="146"/>
        <w:gridCol w:w="211"/>
        <w:gridCol w:w="781"/>
        <w:gridCol w:w="146"/>
        <w:gridCol w:w="146"/>
        <w:gridCol w:w="211"/>
        <w:gridCol w:w="781"/>
        <w:gridCol w:w="191"/>
      </w:tblGrid>
      <w:tr>
        <w:trPr/>
        <w:tc>
          <w:tcPr>
            <w:tcW w:w="9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9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1"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SBA</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5"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Credit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1" w:type="dxa"/>
            <w:gridSpan w:val="2"/>
            <w:tcBorders/>
            <w:shd w:fill="auto" w:val="cle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Secured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9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debentures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 xml:space="preserve">Facility </w:t>
            </w:r>
            <w:r>
              <w:rPr>
                <w:rFonts w:ascii="Times New Roman;serif" w:hAnsi="Times New Roman;serif"/>
                <w:b/>
                <w:sz w:val="13"/>
              </w:rPr>
              <w:t>(2)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Borrowings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Notes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Total</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94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2024</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4"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94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2025</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w:t>
            </w:r>
          </w:p>
        </w:tc>
        <w:tc>
          <w:tcPr>
            <w:tcW w:w="191" w:type="dxa"/>
            <w:tcBorders/>
            <w:shd w:fill="auto" w:val="clear"/>
            <w:vAlign w:val="center"/>
          </w:tcPr>
          <w:p>
            <w:pPr>
              <w:pStyle w:val="TableContents"/>
              <w:spacing w:before="0" w:after="0"/>
              <w:ind w:left="0" w:right="0" w:hanging="0"/>
              <w:jc w:val="left"/>
              <w:rPr/>
            </w:pPr>
            <w:r>
              <w:rPr/>
              <w:t> </w:t>
            </w:r>
          </w:p>
        </w:tc>
      </w:tr>
      <w:tr>
        <w:trPr/>
        <w:tc>
          <w:tcPr>
            <w:tcW w:w="94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2026</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271,134</w:t>
            </w:r>
          </w:p>
        </w:tc>
        <w:tc>
          <w:tcPr>
            <w:tcW w:w="191" w:type="dxa"/>
            <w:tcBorders/>
            <w:shd w:fill="auto" w:val="clear"/>
            <w:vAlign w:val="center"/>
          </w:tcPr>
          <w:p>
            <w:pPr>
              <w:pStyle w:val="TableContents"/>
              <w:spacing w:before="0" w:after="0"/>
              <w:ind w:left="0" w:right="0" w:hanging="0"/>
              <w:jc w:val="left"/>
              <w:rPr/>
            </w:pPr>
            <w:r>
              <w:rPr/>
              <w:t> </w:t>
            </w:r>
          </w:p>
        </w:tc>
      </w:tr>
      <w:tr>
        <w:trPr/>
        <w:tc>
          <w:tcPr>
            <w:tcW w:w="94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2027</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49,000</w:t>
            </w:r>
          </w:p>
        </w:tc>
        <w:tc>
          <w:tcPr>
            <w:tcW w:w="191" w:type="dxa"/>
            <w:tcBorders/>
            <w:shd w:fill="auto" w:val="clear"/>
            <w:vAlign w:val="center"/>
          </w:tcPr>
          <w:p>
            <w:pPr>
              <w:pStyle w:val="TableContents"/>
              <w:spacing w:before="0" w:after="0"/>
              <w:ind w:left="0" w:right="0" w:hanging="0"/>
              <w:jc w:val="left"/>
              <w:rPr/>
            </w:pPr>
            <w:r>
              <w:rPr/>
              <w:t> </w:t>
            </w:r>
          </w:p>
        </w:tc>
      </w:tr>
      <w:tr>
        <w:trPr/>
        <w:tc>
          <w:tcPr>
            <w:tcW w:w="94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2028</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80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shd w:fill="auto" w:val="clear"/>
            <w:vAlign w:val="center"/>
          </w:tcPr>
          <w:p>
            <w:pPr>
              <w:pStyle w:val="TableContents"/>
              <w:spacing w:before="0" w:after="0"/>
              <w:ind w:left="0" w:right="0" w:hanging="0"/>
              <w:jc w:val="left"/>
              <w:rPr/>
            </w:pPr>
            <w:r>
              <w:rPr/>
              <w:t> </w:t>
            </w:r>
          </w:p>
        </w:tc>
        <w:tc>
          <w:tcPr>
            <w:tcW w:w="74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shd w:fill="auto" w:val="clear"/>
            <w:vAlign w:val="center"/>
          </w:tcPr>
          <w:p>
            <w:pPr>
              <w:pStyle w:val="TableContents"/>
              <w:spacing w:before="0" w:after="0"/>
              <w:ind w:left="0" w:right="0" w:hanging="0"/>
              <w:jc w:val="left"/>
              <w:rPr/>
            </w:pPr>
            <w:r>
              <w:rPr/>
              <w:t> </w:t>
            </w:r>
          </w:p>
        </w:tc>
        <w:tc>
          <w:tcPr>
            <w:tcW w:w="847"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94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Thereafter</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4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125,000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94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165,000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4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16,634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250,000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446,634</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291"/>
        <w:gridCol w:w="9914"/>
      </w:tblGrid>
      <w:tr>
        <w:trPr/>
        <w:tc>
          <w:tcPr>
            <w:tcW w:w="291" w:type="dxa"/>
            <w:tcBorders/>
            <w:shd w:fill="auto" w:val="clear"/>
            <w:vAlign w:val="center"/>
          </w:tcPr>
          <w:p>
            <w:pPr>
              <w:pStyle w:val="TableContents"/>
              <w:spacing w:before="0" w:after="283"/>
              <w:rPr>
                <w:sz w:val="4"/>
                <w:szCs w:val="4"/>
              </w:rPr>
            </w:pPr>
            <w:r>
              <w:rPr>
                <w:sz w:val="4"/>
                <w:szCs w:val="4"/>
              </w:rPr>
            </w:r>
          </w:p>
        </w:tc>
        <w:tc>
          <w:tcPr>
            <w:tcW w:w="9914" w:type="dxa"/>
            <w:tcBorders/>
            <w:shd w:fill="auto" w:val="clear"/>
            <w:vAlign w:val="center"/>
          </w:tcPr>
          <w:p>
            <w:pPr>
              <w:pStyle w:val="TableContents"/>
              <w:spacing w:before="0" w:after="283"/>
              <w:rPr>
                <w:sz w:val="4"/>
                <w:szCs w:val="4"/>
              </w:rPr>
            </w:pPr>
            <w:r>
              <w:rPr>
                <w:sz w:val="4"/>
                <w:szCs w:val="4"/>
              </w:rPr>
            </w:r>
          </w:p>
        </w:tc>
      </w:tr>
      <w:tr>
        <w:trPr/>
        <w:tc>
          <w:tcPr>
            <w:tcW w:w="2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(1)</w:t>
            </w:r>
          </w:p>
        </w:tc>
        <w:tc>
          <w:tcPr>
            <w:tcW w:w="9914"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The table above presents scheduled maturities of the Company’s outstanding debt liabilities as of a point in time pursuant to the terms of those instruments. The timing of actual repayments of outstanding debt liabilities may not ultimately correspond with the scheduled maturity dates depending on the terms of the underlying instruments and the potential for earlier prepayments.</w:t>
            </w:r>
          </w:p>
        </w:tc>
      </w:tr>
      <w:tr>
        <w:trPr/>
        <w:tc>
          <w:tcPr>
            <w:tcW w:w="2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w:t>
            </w:r>
          </w:p>
        </w:tc>
        <w:tc>
          <w:tcPr>
            <w:tcW w:w="9914"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 w:hAnsi="Times New Roman"/>
                <w:sz w:val="20"/>
              </w:rPr>
            </w:pPr>
            <w:r>
              <w:rPr>
                <w:rFonts w:ascii="Times New Roman;serif" w:hAnsi="Times New Roman;serif"/>
                <w:b w:val="false"/>
                <w:sz w:val="16"/>
              </w:rPr>
              <w:t>The Credit Facility matures on August 17, 2027.</w:t>
            </w:r>
            <w:r>
              <w:rPr>
                <w:rFonts w:ascii="Times New Roman" w:hAnsi="Times New Roman"/>
                <w:sz w:val="20"/>
              </w:rPr>
              <w:t xml:space="preserve"> </w:t>
            </w:r>
          </w:p>
        </w:tc>
      </w:tr>
    </w:tbl>
    <w:p>
      <w:pPr>
        <w:pStyle w:val="TextBody"/>
        <w:spacing w:before="0" w:after="0"/>
        <w:jc w:val="left"/>
        <w:rPr/>
      </w:pPr>
      <w:r>
        <w:rPr/>
        <w:t> </w:t>
      </w:r>
    </w:p>
    <w:p>
      <w:pPr>
        <w:pStyle w:val="TextBody"/>
        <w:spacing w:before="180" w:after="0"/>
        <w:jc w:val="left"/>
        <w:rPr>
          <w:rFonts w:ascii="Times New Roman;serif" w:hAnsi="Times New Roman;serif"/>
          <w:b/>
          <w:sz w:val="20"/>
        </w:rPr>
      </w:pPr>
      <w:r>
        <w:rPr>
          <w:rFonts w:ascii="Times New Roman;serif" w:hAnsi="Times New Roman;serif"/>
          <w:b/>
          <w:sz w:val="20"/>
        </w:rPr>
        <w:t>Note 7. Commitments and Contingencies</w:t>
      </w:r>
    </w:p>
    <w:p>
      <w:pPr>
        <w:pStyle w:val="TextBody"/>
        <w:spacing w:before="180" w:after="180"/>
        <w:jc w:val="both"/>
        <w:rPr>
          <w:rFonts w:ascii="Times New Roman" w:hAnsi="Times New Roman"/>
          <w:sz w:val="20"/>
        </w:rPr>
      </w:pPr>
      <w:r>
        <w:rPr>
          <w:rFonts w:ascii="Times New Roman;serif" w:hAnsi="Times New Roman;serif"/>
          <w:b w:val="false"/>
          <w:i/>
          <w:sz w:val="20"/>
        </w:rPr>
        <w:t>Commitments:</w:t>
      </w:r>
      <w:r>
        <w:rPr>
          <w:rFonts w:ascii="Times New Roman" w:hAnsi="Times New Roman"/>
          <w:sz w:val="20"/>
        </w:rPr>
        <w:t xml:space="preserve"> </w:t>
      </w:r>
      <w:r>
        <w:rPr>
          <w:rFonts w:ascii="Times New Roman;serif" w:hAnsi="Times New Roman;serif"/>
          <w:b w:val="false"/>
          <w:sz w:val="20"/>
        </w:rPr>
        <w:t>The Company had outstanding commitments to portfolio companies to fund various undrawn revolving loans, other debt investments and capital commitments totaling $12,964</w:t>
      </w:r>
      <w:r>
        <w:rPr>
          <w:rFonts w:ascii="Times New Roman" w:hAnsi="Times New Roman"/>
          <w:sz w:val="20"/>
        </w:rPr>
        <w:t xml:space="preserve"> </w:t>
      </w:r>
      <w:r>
        <w:rPr>
          <w:rFonts w:ascii="Times New Roman;serif" w:hAnsi="Times New Roman;serif"/>
          <w:b w:val="false"/>
          <w:sz w:val="20"/>
        </w:rPr>
        <w:t>and $16,915</w:t>
      </w:r>
      <w:r>
        <w:rPr>
          <w:rFonts w:ascii="Times New Roman" w:hAnsi="Times New Roman"/>
          <w:sz w:val="20"/>
        </w:rPr>
        <w:t xml:space="preserve"> </w:t>
      </w:r>
      <w:r>
        <w:rPr>
          <w:rFonts w:ascii="Times New Roman;serif" w:hAnsi="Times New Roman;serif"/>
          <w:b w:val="false"/>
          <w:sz w:val="20"/>
        </w:rPr>
        <w:t>as of March 31, 2023 and December 31, 2022, respectively. Such outstanding commitments are summarized in the following table:</w:t>
      </w:r>
    </w:p>
    <w:tbl>
      <w:tblPr>
        <w:tblW w:w="10199" w:type="dxa"/>
        <w:jc w:val="left"/>
        <w:tblInd w:w="0" w:type="dxa"/>
        <w:tblCellMar>
          <w:top w:w="28" w:type="dxa"/>
          <w:left w:w="28" w:type="dxa"/>
          <w:bottom w:w="28" w:type="dxa"/>
          <w:right w:w="28" w:type="dxa"/>
        </w:tblCellMar>
      </w:tblPr>
      <w:tblGrid>
        <w:gridCol w:w="5416"/>
        <w:gridCol w:w="146"/>
        <w:gridCol w:w="223"/>
        <w:gridCol w:w="633"/>
        <w:gridCol w:w="146"/>
        <w:gridCol w:w="146"/>
        <w:gridCol w:w="223"/>
        <w:gridCol w:w="633"/>
        <w:gridCol w:w="146"/>
        <w:gridCol w:w="146"/>
        <w:gridCol w:w="223"/>
        <w:gridCol w:w="633"/>
        <w:gridCol w:w="146"/>
        <w:gridCol w:w="146"/>
        <w:gridCol w:w="223"/>
        <w:gridCol w:w="633"/>
        <w:gridCol w:w="146"/>
        <w:gridCol w:w="191"/>
      </w:tblGrid>
      <w:tr>
        <w:trPr/>
        <w:tc>
          <w:tcPr>
            <w:tcW w:w="54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54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0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0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December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4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56"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56"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Unfunded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56"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Unfunded</w:t>
            </w:r>
          </w:p>
        </w:tc>
        <w:tc>
          <w:tcPr>
            <w:tcW w:w="146" w:type="dxa"/>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4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4"/>
              </w:rPr>
            </w:pPr>
            <w:r>
              <w:rPr>
                <w:rFonts w:ascii="Times New Roman;serif" w:hAnsi="Times New Roman;serif"/>
                <w:b/>
                <w:sz w:val="14"/>
              </w:rPr>
              <w:t>Portfolio Company - Investment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Commitment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Commitment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Commitment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Commitment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41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Acendre Midco, Inc. - Revolving Loan</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41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American AllWaste LLC (dba WasteWater Transport Services) - First Lien Debt</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41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Choice Technology Solutions, LLC (dba Choice Merchant Solutions, LLC) - Revolving Loan</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1,000</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41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Combined Systems, Inc. - Revolving Loan</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162</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41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EBL, LLC (EbLens) - Common Equity (Units)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375</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41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Elements Brands, LLC - Revolving Loan</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1,500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41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Netbase Solutions, Inc. (dba Netbase Quid) - First Lien Debt (last out)</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300</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41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Netbase Solutions, Inc. (dba Netbase Quid) - First Lien Debt (last out)</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3,000</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41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R1 Holdings, LLC (dba RoadOne IntermodaLogistics) - First Lien Debt</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2,489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1,740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2,489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2,489</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41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R1 Holdings, LLC (dba RoadOne IntermodaLogistics) - Senior Subordinated Debt</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417</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41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R1 Holdings, LLC (dba RoadOne IntermodaLogistics) - Common Equity</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70</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41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Tedia Company, LLC - Revolving Loan</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2,400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4,000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2,400</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41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Tedia Company, LLC - Delayed Draw Term Loan</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3,000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633" w:type="dxa"/>
            <w:tcBorders/>
            <w:shd w:fill="auto" w:val="cle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3,000</w:t>
            </w:r>
          </w:p>
        </w:tc>
        <w:tc>
          <w:tcPr>
            <w:tcW w:w="146"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41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Western's Smokehouse, LLC - Delayed Draw Term Loan</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3,500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2,702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5416" w:type="dxa"/>
            <w:tcBorders/>
            <w:shd w:fill="auto" w:val="cle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Total</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19,051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12,964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24,651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4"/>
              </w:rPr>
            </w:pPr>
            <w:r>
              <w:rPr>
                <w:rFonts w:ascii="Times New Roman;serif" w:hAnsi="Times New Roman;serif"/>
                <w:b w:val="false"/>
                <w:sz w:val="14"/>
              </w:rPr>
              <w:t>$</w:t>
            </w:r>
          </w:p>
        </w:tc>
        <w:tc>
          <w:tcPr>
            <w:tcW w:w="6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4"/>
              </w:rPr>
            </w:pPr>
            <w:r>
              <w:rPr>
                <w:rFonts w:ascii="Times New Roman;serif" w:hAnsi="Times New Roman;serif"/>
                <w:b w:val="false"/>
                <w:sz w:val="14"/>
              </w:rPr>
              <w:t>16,915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80" w:after="180"/>
        <w:jc w:val="both"/>
        <w:rPr>
          <w:rFonts w:ascii="Times New Roman;serif" w:hAnsi="Times New Roman;serif"/>
          <w:b w:val="false"/>
          <w:sz w:val="20"/>
        </w:rPr>
      </w:pPr>
      <w:r>
        <w:rPr>
          <w:rFonts w:ascii="Times New Roman;serif" w:hAnsi="Times New Roman;serif"/>
          <w:b w:val="false"/>
          <w:sz w:val="20"/>
        </w:rPr>
        <w:t>Additional detail for each of the commitments above is provided in the Company’s consolidated schedules of investments.</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The commitments are generally subject to the borrowers meeting certain criteria such as compliance with financial and non-financial covenants, which may limit such borrower's ability to draw on a revolving loan or delayed draw loan. Since commitments may expire without being drawn upon, the total commitment amount does not necessarily represent future cash requirements.</w:t>
      </w:r>
    </w:p>
    <w:p>
      <w:pPr>
        <w:pStyle w:val="TextBody"/>
        <w:spacing w:before="180" w:after="0"/>
        <w:jc w:val="both"/>
        <w:rPr>
          <w:rFonts w:ascii="Times New Roman" w:hAnsi="Times New Roman"/>
          <w:sz w:val="20"/>
        </w:rPr>
      </w:pPr>
      <w:r>
        <w:rPr>
          <w:rFonts w:ascii="Times New Roman;serif" w:hAnsi="Times New Roman;serif"/>
          <w:b w:val="false"/>
          <w:i/>
          <w:sz w:val="20"/>
        </w:rPr>
        <w:t>Indemnifications:</w:t>
      </w:r>
      <w:r>
        <w:rPr>
          <w:rFonts w:ascii="Times New Roman" w:hAnsi="Times New Roman"/>
          <w:sz w:val="20"/>
        </w:rPr>
        <w:t xml:space="preserve"> </w:t>
      </w:r>
      <w:r>
        <w:rPr>
          <w:rFonts w:ascii="Times New Roman;serif" w:hAnsi="Times New Roman;serif"/>
          <w:b w:val="false"/>
          <w:sz w:val="20"/>
        </w:rPr>
        <w:t>In the normal course of business, the Company enters into contracts and agreements that contain a variety of representations and warranties that provide indemnifications under certain circumstances. In addition, in connection with the disposition of an investment in a portfolio company, the Company may be required to make representations about the business and financial affairs of such portfolio company typical of those made in connection with the sale of a business. The Company may also be required to indemnify the purchasers of such investment to the extent that any such representations are inaccurate. The Company’s maximum exposure under these arrangements is unknown, as this would involve future claims that may be made against the Company that have not yet occurred. The Company expects the risk of future obligation under these indemnifications to be remote.</w:t>
      </w:r>
    </w:p>
    <w:p>
      <w:pPr>
        <w:pStyle w:val="TextBody"/>
        <w:spacing w:before="180" w:after="0"/>
        <w:jc w:val="both"/>
        <w:rPr>
          <w:rFonts w:ascii="Times New Roman" w:hAnsi="Times New Roman"/>
          <w:sz w:val="20"/>
        </w:rPr>
      </w:pPr>
      <w:bookmarkStart w:id="12" w:name="fis_unidentified_table_14"/>
      <w:bookmarkEnd w:id="12"/>
      <w:r>
        <w:rPr>
          <w:rFonts w:ascii="Times New Roman;serif" w:hAnsi="Times New Roman;serif"/>
          <w:b w:val="false"/>
          <w:i/>
          <w:sz w:val="20"/>
        </w:rPr>
        <w:t>Legal proceedings:</w:t>
      </w:r>
      <w:r>
        <w:rPr>
          <w:rFonts w:ascii="Times New Roman" w:hAnsi="Times New Roman"/>
          <w:sz w:val="20"/>
        </w:rPr>
        <w:t xml:space="preserve"> </w:t>
      </w:r>
      <w:r>
        <w:rPr>
          <w:rFonts w:ascii="Times New Roman;serif" w:hAnsi="Times New Roman;serif"/>
          <w:b w:val="false"/>
          <w:sz w:val="20"/>
        </w:rPr>
        <w:t>In the normal course of business, the Company may be subject to legal and regulatory proceedings that are generally incidental to its ongoing operations. While the outcome of any such legal proceedings cannot be predicted with certainty, the Company does not believe any such legal proceedings will have a material adverse effect on the Company’s consolidated financial statements.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36</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spacing w:before="180" w:after="0"/>
        <w:jc w:val="both"/>
        <w:rPr>
          <w:rFonts w:ascii="Times New Roman;serif" w:hAnsi="Times New Roman;serif"/>
          <w:b/>
          <w:sz w:val="20"/>
        </w:rPr>
      </w:pPr>
      <w:r>
        <w:rPr>
          <w:rFonts w:ascii="Times New Roman;serif" w:hAnsi="Times New Roman;serif"/>
          <w:b/>
          <w:sz w:val="20"/>
        </w:rPr>
        <w:t>Note 8. Common Stock</w:t>
      </w:r>
    </w:p>
    <w:p>
      <w:pPr>
        <w:pStyle w:val="TextBody"/>
        <w:spacing w:before="180" w:after="0"/>
        <w:jc w:val="both"/>
        <w:rPr>
          <w:rFonts w:ascii="Times New Roman;serif" w:hAnsi="Times New Roman;serif"/>
          <w:b w:val="false"/>
          <w:i/>
          <w:sz w:val="20"/>
        </w:rPr>
      </w:pPr>
      <w:r>
        <w:rPr>
          <w:rFonts w:ascii="Times New Roman;serif" w:hAnsi="Times New Roman;serif"/>
          <w:b w:val="false"/>
          <w:i/>
          <w:sz w:val="20"/>
        </w:rPr>
        <w:t>Public Offerings of Common Stock</w:t>
      </w:r>
    </w:p>
    <w:p>
      <w:pPr>
        <w:pStyle w:val="TextBody"/>
        <w:spacing w:before="180" w:after="0"/>
        <w:jc w:val="both"/>
        <w:rPr>
          <w:rFonts w:ascii="Times New Roman" w:hAnsi="Times New Roman"/>
          <w:sz w:val="20"/>
        </w:rPr>
      </w:pPr>
      <w:r>
        <w:rPr>
          <w:rFonts w:ascii="Times New Roman;serif" w:hAnsi="Times New Roman;serif"/>
          <w:b w:val="false"/>
          <w:sz w:val="20"/>
        </w:rPr>
        <w:t>The following table summarizes the cumulative total shares issued, net proceeds received, and weighted average offering price in public offerings of the Company’s common stock since the IPO in June 2011, except for the issuances under the ATM Program as described further below.</w:t>
      </w:r>
      <w:r>
        <w:rPr>
          <w:rFonts w:ascii="Times New Roman" w:hAnsi="Times New Roman"/>
          <w:sz w:val="20"/>
        </w:rPr>
        <w:t xml:space="preserve"> </w:t>
      </w:r>
    </w:p>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1349"/>
        <w:gridCol w:w="146"/>
        <w:gridCol w:w="206"/>
        <w:gridCol w:w="1463"/>
        <w:gridCol w:w="146"/>
        <w:gridCol w:w="146"/>
        <w:gridCol w:w="327"/>
        <w:gridCol w:w="1215"/>
        <w:gridCol w:w="146"/>
        <w:gridCol w:w="146"/>
        <w:gridCol w:w="766"/>
        <w:gridCol w:w="2075"/>
        <w:gridCol w:w="146"/>
        <w:gridCol w:w="146"/>
        <w:gridCol w:w="428"/>
        <w:gridCol w:w="1158"/>
        <w:gridCol w:w="196"/>
      </w:tblGrid>
      <w:tr>
        <w:trPr/>
        <w:tc>
          <w:tcPr>
            <w:tcW w:w="134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46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121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20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13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Period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6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Cumulative Number of 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Cumulative Gross Proceeds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84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20"/>
              </w:rPr>
            </w:pPr>
            <w:r>
              <w:rPr>
                <w:rFonts w:ascii="Times New Roman;serif" w:hAnsi="Times New Roman;serif"/>
                <w:b/>
                <w:sz w:val="20"/>
              </w:rPr>
              <w:t xml:space="preserve">Cumulative Underwriting Fees and Commissions and Offering Costs </w:t>
            </w:r>
            <w:r>
              <w:rPr>
                <w:rFonts w:ascii="Times New Roman;serif" w:hAnsi="Times New Roman;serif"/>
                <w:b/>
                <w:sz w:val="13"/>
              </w:rPr>
              <w:t>(1)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Weighted Average Offering Price</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134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Cumulative since IPO</w:t>
            </w:r>
          </w:p>
        </w:tc>
        <w:tc>
          <w:tcPr>
            <w:tcW w:w="146" w:type="dxa"/>
            <w:tcBorders/>
            <w:shd w:fill="auto" w:val="clear"/>
            <w:vAlign w:val="center"/>
          </w:tcPr>
          <w:p>
            <w:pPr>
              <w:pStyle w:val="TableContents"/>
              <w:spacing w:before="0" w:after="0"/>
              <w:ind w:left="0" w:right="0" w:hanging="0"/>
              <w:jc w:val="left"/>
              <w:rPr/>
            </w:pPr>
            <w:r>
              <w:rPr/>
              <w:t> </w:t>
            </w:r>
          </w:p>
        </w:tc>
        <w:tc>
          <w:tcPr>
            <w:tcW w:w="206" w:type="dxa"/>
            <w:tcBorders/>
            <w:shd w:fill="auto" w:val="clear"/>
            <w:vAlign w:val="center"/>
          </w:tcPr>
          <w:p>
            <w:pPr>
              <w:pStyle w:val="TableContents"/>
              <w:spacing w:before="0" w:after="0"/>
              <w:ind w:left="0" w:right="0" w:hanging="0"/>
              <w:jc w:val="left"/>
              <w:rPr/>
            </w:pPr>
            <w:r>
              <w:rPr/>
              <w:t> </w:t>
            </w:r>
          </w:p>
        </w:tc>
        <w:tc>
          <w:tcPr>
            <w:tcW w:w="1463"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14,388,414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27"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1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236,597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07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16.44</w:t>
            </w:r>
          </w:p>
        </w:tc>
        <w:tc>
          <w:tcPr>
            <w:tcW w:w="196"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16"/>
        </w:rPr>
        <w:t>(1) Fidus Investment Advisors, LLC agreed to bear a cumulative of $1,925</w:t>
      </w:r>
      <w:r>
        <w:rPr>
          <w:rFonts w:ascii="Times New Roman" w:hAnsi="Times New Roman"/>
          <w:sz w:val="20"/>
        </w:rPr>
        <w:t xml:space="preserve"> </w:t>
      </w:r>
      <w:r>
        <w:rPr>
          <w:rFonts w:ascii="Times New Roman;serif" w:hAnsi="Times New Roman;serif"/>
          <w:b w:val="false"/>
          <w:sz w:val="16"/>
        </w:rPr>
        <w:t>of underwriting fees and commissions and offering costs associated with these offerings (such amounts are not included in the number reported above). All such payments made by Fidus Investment Advisors, LLC are not subject to reimbursement by the Company.</w:t>
      </w:r>
    </w:p>
    <w:p>
      <w:pPr>
        <w:pStyle w:val="TextBody"/>
        <w:spacing w:before="180" w:after="180"/>
        <w:jc w:val="both"/>
        <w:rPr>
          <w:rFonts w:ascii="Times New Roman;serif" w:hAnsi="Times New Roman;serif"/>
          <w:b w:val="false"/>
          <w:i/>
          <w:sz w:val="20"/>
        </w:rPr>
      </w:pPr>
      <w:r>
        <w:rPr>
          <w:rFonts w:ascii="Times New Roman;serif" w:hAnsi="Times New Roman;serif"/>
          <w:b w:val="false"/>
          <w:i/>
          <w:sz w:val="20"/>
        </w:rPr>
        <w:t>Equity ATM Program</w:t>
      </w:r>
    </w:p>
    <w:p>
      <w:pPr>
        <w:pStyle w:val="TextBody"/>
        <w:spacing w:before="0" w:after="0"/>
        <w:jc w:val="both"/>
        <w:rPr>
          <w:rFonts w:ascii="Times New Roman;serif" w:hAnsi="Times New Roman;serif"/>
          <w:b w:val="false"/>
          <w:sz w:val="20"/>
        </w:rPr>
      </w:pPr>
      <w:r>
        <w:rPr>
          <w:rFonts w:ascii="Times New Roman;serif" w:hAnsi="Times New Roman;serif"/>
          <w:b w:val="false"/>
          <w:sz w:val="20"/>
        </w:rPr>
        <w:t>On November 10, 2022, the Company established the at-the-market program (the “ATM Program”), pursuant to which the Company may offer and sell, from time to time through Raymond James &amp; Associates, Inc. and B. Riley Securities, Inc., each as sales agents, shares of the Company’s common stock having an aggregate offering price of up to $50,000. The gross proceeds raised, the related sales agent commissions and the offering expenses, the net proceeds raised, and the average price at which shares were issued under the ATM Program for the three months ended March 31, 2023 and 2022 are as follows:</w:t>
      </w:r>
    </w:p>
    <w:tbl>
      <w:tblPr>
        <w:tblW w:w="6835" w:type="dxa"/>
        <w:jc w:val="left"/>
        <w:tblInd w:w="0" w:type="dxa"/>
        <w:tblCellMar>
          <w:top w:w="28" w:type="dxa"/>
          <w:left w:w="28" w:type="dxa"/>
          <w:bottom w:w="28" w:type="dxa"/>
          <w:right w:w="28" w:type="dxa"/>
        </w:tblCellMar>
      </w:tblPr>
      <w:tblGrid>
        <w:gridCol w:w="2116"/>
        <w:gridCol w:w="146"/>
        <w:gridCol w:w="153"/>
        <w:gridCol w:w="522"/>
        <w:gridCol w:w="146"/>
        <w:gridCol w:w="146"/>
        <w:gridCol w:w="170"/>
        <w:gridCol w:w="386"/>
        <w:gridCol w:w="146"/>
        <w:gridCol w:w="146"/>
        <w:gridCol w:w="179"/>
        <w:gridCol w:w="407"/>
        <w:gridCol w:w="146"/>
        <w:gridCol w:w="146"/>
        <w:gridCol w:w="343"/>
        <w:gridCol w:w="468"/>
        <w:gridCol w:w="146"/>
        <w:gridCol w:w="146"/>
        <w:gridCol w:w="179"/>
        <w:gridCol w:w="407"/>
        <w:gridCol w:w="191"/>
      </w:tblGrid>
      <w:tr>
        <w:trPr/>
        <w:tc>
          <w:tcPr>
            <w:tcW w:w="21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1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5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1" w:type="dxa"/>
            <w:gridSpan w:val="2"/>
            <w:tcBorders/>
            <w:shd w:fill="auto" w:val="cle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Underwriting</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1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5"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5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1" w:type="dxa"/>
            <w:gridSpan w:val="2"/>
            <w:tcBorders/>
            <w:shd w:fill="auto" w:val="cle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Fees and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6"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1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5"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56" w:type="dxa"/>
            <w:gridSpan w:val="2"/>
            <w:tcBorders/>
            <w:shd w:fill="auto" w:val="cle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Average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1" w:type="dxa"/>
            <w:gridSpan w:val="2"/>
            <w:tcBorders/>
            <w:shd w:fill="auto" w:val="cle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Commissions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6"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21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75" w:type="dxa"/>
            <w:gridSpan w:val="2"/>
            <w:tcBorders/>
            <w:shd w:fill="auto" w:val="cle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Number of</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56" w:type="dxa"/>
            <w:gridSpan w:val="2"/>
            <w:tcBorders/>
            <w:shd w:fill="auto" w:val="cle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Offering</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gridSpan w:val="2"/>
            <w:tcBorders/>
            <w:shd w:fill="auto" w:val="cle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Gross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1" w:type="dxa"/>
            <w:gridSpan w:val="2"/>
            <w:tcBorders/>
            <w:shd w:fill="auto" w:val="cle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and Offering</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86" w:type="dxa"/>
            <w:gridSpan w:val="2"/>
            <w:tcBorders/>
            <w:shd w:fill="auto" w:val="cle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Net</w:t>
            </w:r>
          </w:p>
        </w:tc>
        <w:tc>
          <w:tcPr>
            <w:tcW w:w="191" w:type="dxa"/>
            <w:tcBorders/>
            <w:shd w:fill="auto" w:val="clear"/>
            <w:vAlign w:val="center"/>
          </w:tcPr>
          <w:p>
            <w:pPr>
              <w:pStyle w:val="TableContents"/>
              <w:spacing w:before="0" w:after="0"/>
              <w:ind w:left="0" w:right="0" w:hanging="0"/>
              <w:jc w:val="center"/>
              <w:rPr/>
            </w:pPr>
            <w:r>
              <w:rPr/>
              <w:t> </w:t>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Three Months Ended March 31, 2022</w:t>
            </w:r>
          </w:p>
        </w:tc>
        <w:tc>
          <w:tcPr>
            <w:tcW w:w="146" w:type="dxa"/>
            <w:tcBorders/>
            <w:shd w:fill="auto" w:val="clear"/>
            <w:vAlign w:val="center"/>
          </w:tcPr>
          <w:p>
            <w:pPr>
              <w:pStyle w:val="TableContents"/>
              <w:spacing w:before="0" w:after="0"/>
              <w:ind w:left="0" w:right="0" w:hanging="0"/>
              <w:jc w:val="left"/>
              <w:rPr/>
            </w:pPr>
            <w:r>
              <w:rPr/>
              <w:t> </w:t>
            </w:r>
          </w:p>
        </w:tc>
        <w:tc>
          <w:tcPr>
            <w:tcW w:w="6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5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Proceeds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Costs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Proceeds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16" w:type="dxa"/>
            <w:tcBorders/>
            <w:shd w:fill="auto" w:val="clear"/>
            <w:vAlign w:val="center"/>
          </w:tcPr>
          <w:p>
            <w:pPr>
              <w:pStyle w:val="TableContents"/>
              <w:spacing w:before="0" w:after="0"/>
              <w:ind w:left="0" w:right="0" w:hanging="0"/>
              <w:jc w:val="both"/>
              <w:rPr>
                <w:rFonts w:ascii="Times New Roman;serif" w:hAnsi="Times New Roman;serif"/>
                <w:b w:val="false"/>
                <w:sz w:val="12"/>
              </w:rPr>
            </w:pPr>
            <w:r>
              <w:rPr>
                <w:rFonts w:ascii="Times New Roman;serif" w:hAnsi="Times New Roman;serif"/>
                <w:b w:val="false"/>
                <w:sz w:val="12"/>
              </w:rPr>
              <w:t>January 1, 2022 through March 31, 2022</w:t>
            </w:r>
          </w:p>
        </w:tc>
        <w:tc>
          <w:tcPr>
            <w:tcW w:w="146" w:type="dxa"/>
            <w:tcBorders/>
            <w:shd w:fill="auto" w:val="clear"/>
            <w:vAlign w:val="center"/>
          </w:tcPr>
          <w:p>
            <w:pPr>
              <w:pStyle w:val="TableContents"/>
              <w:spacing w:before="0" w:after="0"/>
              <w:ind w:left="0" w:right="0" w:hanging="0"/>
              <w:jc w:val="both"/>
              <w:rPr/>
            </w:pPr>
            <w:r>
              <w:rPr/>
              <w:t> </w:t>
            </w:r>
          </w:p>
        </w:tc>
        <w:tc>
          <w:tcPr>
            <w:tcW w:w="153"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7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34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7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116" w:type="dxa"/>
            <w:tcBorders/>
            <w:shd w:fill="auto" w:val="clear"/>
            <w:vAlign w:val="center"/>
          </w:tcPr>
          <w:p>
            <w:pPr>
              <w:pStyle w:val="TableContents"/>
              <w:spacing w:before="0" w:after="0"/>
              <w:ind w:left="0" w:right="0" w:hanging="0"/>
              <w:jc w:val="both"/>
              <w:rPr>
                <w:rFonts w:ascii="Times New Roman;serif" w:hAnsi="Times New Roman;serif"/>
                <w:b w:val="false"/>
                <w:sz w:val="12"/>
              </w:rPr>
            </w:pPr>
            <w:r>
              <w:rPr>
                <w:rFonts w:ascii="Times New Roman;serif" w:hAnsi="Times New Roman;serif"/>
                <w:b w:val="false"/>
                <w:sz w:val="12"/>
              </w:rPr>
              <w:t>Total</w:t>
            </w:r>
          </w:p>
        </w:tc>
        <w:tc>
          <w:tcPr>
            <w:tcW w:w="146" w:type="dxa"/>
            <w:tcBorders/>
            <w:shd w:fill="auto" w:val="clear"/>
            <w:vAlign w:val="center"/>
          </w:tcPr>
          <w:p>
            <w:pPr>
              <w:pStyle w:val="TableContents"/>
              <w:spacing w:before="0" w:after="0"/>
              <w:ind w:left="0" w:right="0" w:hanging="0"/>
              <w:jc w:val="both"/>
              <w:rPr/>
            </w:pPr>
            <w:r>
              <w:rPr/>
              <w:t> </w:t>
            </w:r>
          </w:p>
        </w:tc>
        <w:tc>
          <w:tcPr>
            <w:tcW w:w="15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52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7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8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7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0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34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6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7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0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w:t>
            </w:r>
          </w:p>
        </w:tc>
        <w:tc>
          <w:tcPr>
            <w:tcW w:w="1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r>
        <w:trPr/>
        <w:tc>
          <w:tcPr>
            <w:tcW w:w="211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Three Months Ended March 31, 2023</w:t>
            </w:r>
          </w:p>
        </w:tc>
        <w:tc>
          <w:tcPr>
            <w:tcW w:w="146" w:type="dxa"/>
            <w:tcBorders/>
            <w:shd w:fill="auto" w:val="clear"/>
            <w:vAlign w:val="center"/>
          </w:tcPr>
          <w:p>
            <w:pPr>
              <w:pStyle w:val="TableContents"/>
              <w:spacing w:before="0" w:after="0"/>
              <w:ind w:left="0" w:right="0" w:hanging="0"/>
              <w:jc w:val="left"/>
              <w:rPr/>
            </w:pPr>
            <w:r>
              <w:rPr/>
              <w:t> </w:t>
            </w:r>
          </w:p>
        </w:tc>
        <w:tc>
          <w:tcPr>
            <w:tcW w:w="675"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5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1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116" w:type="dxa"/>
            <w:tcBorders/>
            <w:shd w:fill="auto" w:val="clear"/>
            <w:vAlign w:val="center"/>
          </w:tcPr>
          <w:p>
            <w:pPr>
              <w:pStyle w:val="TableContents"/>
              <w:spacing w:before="0" w:after="0"/>
              <w:ind w:left="0" w:right="0" w:hanging="0"/>
              <w:jc w:val="both"/>
              <w:rPr>
                <w:rFonts w:ascii="Times New Roman;serif" w:hAnsi="Times New Roman;serif"/>
                <w:b w:val="false"/>
                <w:sz w:val="12"/>
              </w:rPr>
            </w:pPr>
            <w:r>
              <w:rPr>
                <w:rFonts w:ascii="Times New Roman;serif" w:hAnsi="Times New Roman;serif"/>
                <w:b w:val="false"/>
                <w:sz w:val="12"/>
              </w:rPr>
              <w:t>January 1, 2023 through March 31, 2023</w:t>
            </w:r>
          </w:p>
        </w:tc>
        <w:tc>
          <w:tcPr>
            <w:tcW w:w="146" w:type="dxa"/>
            <w:tcBorders/>
            <w:shd w:fill="auto" w:val="clear"/>
            <w:vAlign w:val="center"/>
          </w:tcPr>
          <w:p>
            <w:pPr>
              <w:pStyle w:val="TableContents"/>
              <w:spacing w:before="0" w:after="0"/>
              <w:ind w:left="0" w:right="0" w:hanging="0"/>
              <w:jc w:val="both"/>
              <w:rPr/>
            </w:pPr>
            <w:r>
              <w:rPr/>
              <w:t> </w:t>
            </w:r>
          </w:p>
        </w:tc>
        <w:tc>
          <w:tcPr>
            <w:tcW w:w="153" w:type="dxa"/>
            <w:tcBorders/>
            <w:shd w:fill="auto" w:val="clear"/>
            <w:vAlign w:val="center"/>
          </w:tcPr>
          <w:p>
            <w:pPr>
              <w:pStyle w:val="TableContents"/>
              <w:spacing w:before="0" w:after="0"/>
              <w:ind w:left="0" w:right="0" w:hanging="0"/>
              <w:jc w:val="left"/>
              <w:rPr/>
            </w:pPr>
            <w:r>
              <w:rPr/>
              <w:t> </w:t>
            </w:r>
          </w:p>
        </w:tc>
        <w:tc>
          <w:tcPr>
            <w:tcW w:w="522"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260,610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70"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20.68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7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343"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68"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79"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07"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5,306</w:t>
            </w:r>
          </w:p>
        </w:tc>
        <w:tc>
          <w:tcPr>
            <w:tcW w:w="191" w:type="dxa"/>
            <w:tcBorders/>
            <w:shd w:fill="auto" w:val="clear"/>
            <w:vAlign w:val="center"/>
          </w:tcPr>
          <w:p>
            <w:pPr>
              <w:pStyle w:val="TableContents"/>
              <w:spacing w:before="0" w:after="0"/>
              <w:ind w:left="0" w:right="0" w:hanging="0"/>
              <w:jc w:val="left"/>
              <w:rPr/>
            </w:pPr>
            <w:r>
              <w:rPr/>
              <w:t> </w:t>
            </w:r>
          </w:p>
        </w:tc>
      </w:tr>
      <w:tr>
        <w:trPr/>
        <w:tc>
          <w:tcPr>
            <w:tcW w:w="2116" w:type="dxa"/>
            <w:tcBorders/>
            <w:shd w:fill="auto" w:val="clear"/>
            <w:vAlign w:val="center"/>
          </w:tcPr>
          <w:p>
            <w:pPr>
              <w:pStyle w:val="TableContents"/>
              <w:spacing w:before="0" w:after="0"/>
              <w:ind w:left="0" w:right="0" w:hanging="0"/>
              <w:jc w:val="both"/>
              <w:rPr>
                <w:rFonts w:ascii="Times New Roman;serif" w:hAnsi="Times New Roman;serif"/>
                <w:b w:val="false"/>
                <w:sz w:val="12"/>
              </w:rPr>
            </w:pPr>
            <w:r>
              <w:rPr>
                <w:rFonts w:ascii="Times New Roman;serif" w:hAnsi="Times New Roman;serif"/>
                <w:b w:val="false"/>
                <w:sz w:val="12"/>
              </w:rPr>
              <w:t>Total</w:t>
            </w:r>
          </w:p>
        </w:tc>
        <w:tc>
          <w:tcPr>
            <w:tcW w:w="146" w:type="dxa"/>
            <w:tcBorders/>
            <w:shd w:fill="auto" w:val="clear"/>
            <w:vAlign w:val="center"/>
          </w:tcPr>
          <w:p>
            <w:pPr>
              <w:pStyle w:val="TableContents"/>
              <w:spacing w:before="0" w:after="0"/>
              <w:ind w:left="0" w:right="0" w:hanging="0"/>
              <w:jc w:val="both"/>
              <w:rPr/>
            </w:pPr>
            <w:r>
              <w:rPr/>
              <w:t> </w:t>
            </w:r>
          </w:p>
        </w:tc>
        <w:tc>
          <w:tcPr>
            <w:tcW w:w="15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52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260,610</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70"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8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20.68</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7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0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5,389</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34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6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83</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17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0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5,306</w:t>
            </w:r>
          </w:p>
        </w:tc>
        <w:tc>
          <w:tcPr>
            <w:tcW w:w="1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180" w:after="0"/>
        <w:jc w:val="both"/>
        <w:rPr>
          <w:rFonts w:ascii="Times New Roman" w:hAnsi="Times New Roman"/>
          <w:sz w:val="20"/>
        </w:rPr>
      </w:pPr>
      <w:r>
        <w:rPr>
          <w:rFonts w:ascii="Times New Roman;serif" w:hAnsi="Times New Roman;serif"/>
          <w:b w:val="false"/>
          <w:sz w:val="20"/>
        </w:rPr>
        <w:t>Cumulative to date, the Company has sold 550,998</w:t>
      </w:r>
      <w:r>
        <w:rPr>
          <w:rFonts w:ascii="Times New Roman" w:hAnsi="Times New Roman"/>
          <w:sz w:val="20"/>
        </w:rPr>
        <w:t xml:space="preserve"> </w:t>
      </w:r>
      <w:r>
        <w:rPr>
          <w:rFonts w:ascii="Times New Roman;serif" w:hAnsi="Times New Roman;serif"/>
          <w:b w:val="false"/>
          <w:sz w:val="20"/>
        </w:rPr>
        <w:t>shares of common stock under the ATM Program at a weighted-average price of $20.49, raising $11,289</w:t>
      </w:r>
      <w:r>
        <w:rPr>
          <w:rFonts w:ascii="Times New Roman" w:hAnsi="Times New Roman"/>
          <w:sz w:val="20"/>
        </w:rPr>
        <w:t xml:space="preserve"> </w:t>
      </w:r>
      <w:r>
        <w:rPr>
          <w:rFonts w:ascii="Times New Roman;serif" w:hAnsi="Times New Roman;serif"/>
          <w:b w:val="false"/>
          <w:sz w:val="20"/>
        </w:rPr>
        <w:t>of gross proceeds. Net proceeds were $11,120</w:t>
      </w:r>
      <w:r>
        <w:rPr>
          <w:rFonts w:ascii="Times New Roman" w:hAnsi="Times New Roman"/>
          <w:sz w:val="20"/>
        </w:rPr>
        <w:t xml:space="preserve"> </w:t>
      </w:r>
      <w:r>
        <w:rPr>
          <w:rFonts w:ascii="Times New Roman;serif" w:hAnsi="Times New Roman;serif"/>
          <w:b w:val="false"/>
          <w:sz w:val="20"/>
        </w:rPr>
        <w:t>after commissions to the sales agents on shares sold. As of March 31, 2023, the Company has $38,711</w:t>
      </w:r>
      <w:r>
        <w:rPr>
          <w:rFonts w:ascii="Times New Roman" w:hAnsi="Times New Roman"/>
          <w:sz w:val="20"/>
        </w:rPr>
        <w:t xml:space="preserve"> </w:t>
      </w:r>
      <w:r>
        <w:rPr>
          <w:rFonts w:ascii="Times New Roman;serif" w:hAnsi="Times New Roman;serif"/>
          <w:b w:val="false"/>
          <w:sz w:val="20"/>
        </w:rPr>
        <w:t>available under the ATM Program.</w:t>
      </w:r>
    </w:p>
    <w:p>
      <w:pPr>
        <w:pStyle w:val="TextBody"/>
        <w:spacing w:before="180" w:after="0"/>
        <w:jc w:val="both"/>
        <w:rPr>
          <w:rFonts w:ascii="Times New Roman;serif" w:hAnsi="Times New Roman;serif"/>
          <w:b w:val="false"/>
          <w:i/>
          <w:sz w:val="20"/>
        </w:rPr>
      </w:pPr>
      <w:r>
        <w:rPr>
          <w:rFonts w:ascii="Times New Roman;serif" w:hAnsi="Times New Roman;serif"/>
          <w:b w:val="false"/>
          <w:i/>
          <w:sz w:val="20"/>
        </w:rPr>
        <w:t>Stock Repurchase Program</w:t>
      </w:r>
    </w:p>
    <w:p>
      <w:pPr>
        <w:pStyle w:val="TextBody"/>
        <w:spacing w:before="180" w:after="0"/>
        <w:jc w:val="both"/>
        <w:rPr>
          <w:rFonts w:ascii="Times New Roman" w:hAnsi="Times New Roman"/>
          <w:sz w:val="20"/>
        </w:rPr>
      </w:pPr>
      <w:r>
        <w:rPr>
          <w:rFonts w:ascii="Times New Roman;serif" w:hAnsi="Times New Roman;serif"/>
          <w:b w:val="false"/>
          <w:sz w:val="20"/>
        </w:rPr>
        <w:t>As described in Note 2, the Company has a Stock Repurchase Program under which the Company may acquire up to $5,000</w:t>
      </w:r>
      <w:r>
        <w:rPr>
          <w:rFonts w:ascii="Times New Roman" w:hAnsi="Times New Roman"/>
          <w:sz w:val="20"/>
        </w:rPr>
        <w:t xml:space="preserve"> </w:t>
      </w:r>
      <w:r>
        <w:rPr>
          <w:rFonts w:ascii="Times New Roman;serif" w:hAnsi="Times New Roman;serif"/>
          <w:b w:val="false"/>
          <w:sz w:val="20"/>
        </w:rPr>
        <w:t>of its outstanding common stock. The Company did not make any repurchases of common stock during the three months ended March 31, 2023 and 2022.</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Refer to Note 9 for additional information regarding the issuance of shares under the DRIP.</w:t>
      </w:r>
    </w:p>
    <w:p>
      <w:pPr>
        <w:pStyle w:val="TextBody"/>
        <w:spacing w:before="180" w:after="0"/>
        <w:jc w:val="both"/>
        <w:rPr>
          <w:rFonts w:ascii="Times New Roman" w:hAnsi="Times New Roman"/>
          <w:sz w:val="20"/>
        </w:rPr>
      </w:pPr>
      <w:r>
        <w:rPr>
          <w:rFonts w:ascii="Times New Roman;serif" w:hAnsi="Times New Roman;serif"/>
          <w:b w:val="false"/>
          <w:sz w:val="20"/>
        </w:rPr>
        <w:t>The Company had 24,988,398</w:t>
      </w:r>
      <w:r>
        <w:rPr>
          <w:rFonts w:ascii="Times New Roman" w:hAnsi="Times New Roman"/>
          <w:sz w:val="20"/>
        </w:rPr>
        <w:t xml:space="preserve"> </w:t>
      </w:r>
      <w:r>
        <w:rPr>
          <w:rFonts w:ascii="Times New Roman;serif" w:hAnsi="Times New Roman;serif"/>
          <w:b w:val="false"/>
          <w:sz w:val="20"/>
        </w:rPr>
        <w:t>and 24,727,788</w:t>
      </w:r>
      <w:r>
        <w:rPr>
          <w:rFonts w:ascii="Times New Roman" w:hAnsi="Times New Roman"/>
          <w:sz w:val="20"/>
        </w:rPr>
        <w:t xml:space="preserve"> </w:t>
      </w:r>
      <w:r>
        <w:rPr>
          <w:rFonts w:ascii="Times New Roman;serif" w:hAnsi="Times New Roman;serif"/>
          <w:b w:val="false"/>
          <w:sz w:val="20"/>
        </w:rPr>
        <w:t>shares of common stock outstanding as of March 31, 2023 and December 31, 2022, respectively.</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37</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spacing w:before="180" w:after="180"/>
        <w:jc w:val="left"/>
        <w:rPr>
          <w:rFonts w:ascii="Times New Roman;serif" w:hAnsi="Times New Roman;serif"/>
          <w:b/>
          <w:sz w:val="20"/>
        </w:rPr>
      </w:pPr>
      <w:r>
        <w:rPr>
          <w:rFonts w:ascii="Times New Roman;serif" w:hAnsi="Times New Roman;serif"/>
          <w:b/>
          <w:sz w:val="20"/>
        </w:rPr>
        <w:t>Note 9. Dividends and Distributions</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Company’s dividends and distributions are recorded on the record date. The following table summarizes the dividends paid during the last two fiscal years and for the three months ended March 31, 2023.</w:t>
      </w:r>
    </w:p>
    <w:p>
      <w:pPr>
        <w:pStyle w:val="TextBody"/>
        <w:spacing w:before="0" w:after="0"/>
        <w:jc w:val="both"/>
        <w:rPr/>
      </w:pPr>
      <w:r>
        <w:rPr/>
        <w:t> </w:t>
      </w:r>
    </w:p>
    <w:tbl>
      <w:tblPr>
        <w:tblW w:w="9288" w:type="dxa"/>
        <w:jc w:val="left"/>
        <w:tblInd w:w="0" w:type="dxa"/>
        <w:tblCellMar>
          <w:top w:w="28" w:type="dxa"/>
          <w:left w:w="28" w:type="dxa"/>
          <w:bottom w:w="28" w:type="dxa"/>
          <w:right w:w="28" w:type="dxa"/>
        </w:tblCellMar>
      </w:tblPr>
      <w:tblGrid>
        <w:gridCol w:w="2086"/>
        <w:gridCol w:w="146"/>
        <w:gridCol w:w="586"/>
        <w:gridCol w:w="146"/>
        <w:gridCol w:w="646"/>
        <w:gridCol w:w="146"/>
        <w:gridCol w:w="217"/>
        <w:gridCol w:w="413"/>
        <w:gridCol w:w="146"/>
        <w:gridCol w:w="146"/>
        <w:gridCol w:w="198"/>
        <w:gridCol w:w="523"/>
        <w:gridCol w:w="146"/>
        <w:gridCol w:w="146"/>
        <w:gridCol w:w="198"/>
        <w:gridCol w:w="523"/>
        <w:gridCol w:w="146"/>
        <w:gridCol w:w="146"/>
        <w:gridCol w:w="166"/>
        <w:gridCol w:w="346"/>
        <w:gridCol w:w="146"/>
        <w:gridCol w:w="211"/>
        <w:gridCol w:w="146"/>
        <w:gridCol w:w="346"/>
        <w:gridCol w:w="146"/>
        <w:gridCol w:w="211"/>
        <w:gridCol w:w="200"/>
        <w:gridCol w:w="475"/>
        <w:gridCol w:w="191"/>
      </w:tblGrid>
      <w:tr>
        <w:trPr/>
        <w:tc>
          <w:tcPr>
            <w:tcW w:w="20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47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0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2" w:type="dxa"/>
            <w:gridSpan w:val="2"/>
            <w:tcBorders/>
            <w:shd w:fill="auto" w:val="cle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DRIP</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5" w:type="dxa"/>
            <w:gridSpan w:val="2"/>
            <w:tcBorders/>
            <w:shd w:fill="auto" w:val="cle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DRIP</w:t>
            </w:r>
          </w:p>
        </w:tc>
        <w:tc>
          <w:tcPr>
            <w:tcW w:w="191" w:type="dxa"/>
            <w:tcBorders/>
            <w:shd w:fill="auto" w:val="clear"/>
            <w:vAlign w:val="center"/>
          </w:tcPr>
          <w:p>
            <w:pPr>
              <w:pStyle w:val="TableContents"/>
              <w:spacing w:before="0" w:after="0"/>
              <w:ind w:left="0" w:right="0" w:hanging="0"/>
              <w:jc w:val="center"/>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Date</w:t>
            </w:r>
          </w:p>
        </w:tc>
        <w:tc>
          <w:tcPr>
            <w:tcW w:w="146" w:type="dxa"/>
            <w:tcBorders/>
            <w:shd w:fill="auto" w:val="clear"/>
            <w:vAlign w:val="center"/>
          </w:tcPr>
          <w:p>
            <w:pPr>
              <w:pStyle w:val="TableContents"/>
              <w:spacing w:before="0" w:after="0"/>
              <w:ind w:left="0" w:right="0" w:hanging="0"/>
              <w:jc w:val="center"/>
              <w:rPr/>
            </w:pPr>
            <w:r>
              <w:rPr/>
              <w:t> </w:t>
            </w:r>
          </w:p>
        </w:tc>
        <w:tc>
          <w:tcPr>
            <w:tcW w:w="586" w:type="dxa"/>
            <w:tcBorders/>
            <w:shd w:fill="auto" w:val="cle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Record</w:t>
            </w:r>
          </w:p>
        </w:tc>
        <w:tc>
          <w:tcPr>
            <w:tcW w:w="146" w:type="dxa"/>
            <w:tcBorders/>
            <w:shd w:fill="auto" w:val="clear"/>
            <w:vAlign w:val="center"/>
          </w:tcPr>
          <w:p>
            <w:pPr>
              <w:pStyle w:val="TableContents"/>
              <w:spacing w:before="0" w:after="0"/>
              <w:ind w:left="0" w:right="0" w:hanging="0"/>
              <w:jc w:val="center"/>
              <w:rPr/>
            </w:pPr>
            <w:r>
              <w:rPr/>
              <w:t> </w:t>
            </w:r>
          </w:p>
        </w:tc>
        <w:tc>
          <w:tcPr>
            <w:tcW w:w="646" w:type="dxa"/>
            <w:tcBorders/>
            <w:shd w:fill="auto" w:val="cle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Payment</w:t>
            </w:r>
          </w:p>
        </w:tc>
        <w:tc>
          <w:tcPr>
            <w:tcW w:w="146" w:type="dxa"/>
            <w:tcBorders/>
            <w:shd w:fill="auto" w:val="clear"/>
            <w:vAlign w:val="center"/>
          </w:tcPr>
          <w:p>
            <w:pPr>
              <w:pStyle w:val="TableContents"/>
              <w:spacing w:before="0" w:after="0"/>
              <w:ind w:left="0" w:right="0" w:hanging="0"/>
              <w:jc w:val="center"/>
              <w:rPr/>
            </w:pPr>
            <w:r>
              <w:rPr/>
              <w:t> </w:t>
            </w:r>
          </w:p>
        </w:tc>
        <w:tc>
          <w:tcPr>
            <w:tcW w:w="630" w:type="dxa"/>
            <w:gridSpan w:val="2"/>
            <w:tcBorders/>
            <w:shd w:fill="auto" w:val="cle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Amount</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1" w:type="dxa"/>
            <w:gridSpan w:val="2"/>
            <w:tcBorders/>
            <w:shd w:fill="auto" w:val="cle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Total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1" w:type="dxa"/>
            <w:gridSpan w:val="2"/>
            <w:tcBorders/>
            <w:shd w:fill="auto" w:val="cle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Cash</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12" w:type="dxa"/>
            <w:gridSpan w:val="2"/>
            <w:tcBorders/>
            <w:shd w:fill="auto" w:val="cle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Shares</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492" w:type="dxa"/>
            <w:gridSpan w:val="2"/>
            <w:tcBorders/>
            <w:shd w:fill="auto" w:val="cle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DRIP</w:t>
            </w:r>
          </w:p>
        </w:tc>
        <w:tc>
          <w:tcPr>
            <w:tcW w:w="14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5" w:type="dxa"/>
            <w:gridSpan w:val="2"/>
            <w:tcBorders/>
            <w:shd w:fill="auto" w:val="cle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Share</w:t>
            </w:r>
          </w:p>
        </w:tc>
        <w:tc>
          <w:tcPr>
            <w:tcW w:w="191" w:type="dxa"/>
            <w:tcBorders/>
            <w:shd w:fill="auto" w:val="clear"/>
            <w:vAlign w:val="center"/>
          </w:tcPr>
          <w:p>
            <w:pPr>
              <w:pStyle w:val="TableContents"/>
              <w:spacing w:before="0" w:after="0"/>
              <w:ind w:left="0" w:right="0" w:hanging="0"/>
              <w:jc w:val="center"/>
              <w:rPr/>
            </w:pPr>
            <w:r>
              <w:rPr/>
              <w:t> </w:t>
            </w:r>
          </w:p>
        </w:tc>
      </w:tr>
      <w:tr>
        <w:trPr/>
        <w:tc>
          <w:tcPr>
            <w:tcW w:w="20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Declared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Date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Per 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Distribution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Distribution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c>
          <w:tcPr>
            <w:tcW w:w="4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2"/>
              </w:rPr>
            </w:pPr>
            <w:r>
              <w:rPr>
                <w:rFonts w:ascii="Times New Roman;serif" w:hAnsi="Times New Roman;serif"/>
                <w:b/>
                <w:sz w:val="12"/>
              </w:rPr>
              <w:t>Issue Price</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Year Ended December 31, 2021:</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5"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2/09/2021</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3/12/2021</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3/26/2021</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7,575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200"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2/09/2021 (2)</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3/12/2021</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3/26/2021</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200"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5/03/2021</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6/14/2021</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6/28/2021</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7,576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200"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5/03/2021 (2)</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6/14/2021</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6/28/2021</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1,955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200"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8/02/2021</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9/14/2021</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9/28/2021</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0.32</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7820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gridSpan w:val="2"/>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7820</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200"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8/02/2021 (2)</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9/14/2021</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9/28/2021</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1,466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200"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8/02/2021 (1)</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9/14/2021</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9/28/2021</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200"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11/01/2021</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12/3/2021</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12/17/2021</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7,820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7,820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200"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11/01/2021 (2)</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12/3/2021</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12/17/2021</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200"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11/01/2021 (1)</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12/3/2021</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12/17/2021</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200"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39,100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39,100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Year Ended December 31, 2022:</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5"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2/15/2022</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3/11/2022</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3/25/2022</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200"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2/15/2022 (2)</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3/11/2022</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3/25/2022</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4,154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200"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5/02/2022</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6/10/2022</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6/24/2022</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200"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5/02/2022 (2)</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6/10/2022</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6/24/2022</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200"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8/01/2022</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9/9/2022</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9/23/2022</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8,797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200"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8/01/2022 (2)</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9/9/2022</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9/23/2022</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200"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8/01/2022</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12/2/2022</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12/16/2022</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8,902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200"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8/01/2022 (2)</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12/2/2022</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12/16/2022</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1,731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200"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11/03/2022 (2)</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12/2/2022</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12/16/2022</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1,978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200"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11/03/2022 (1)</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12/2/2022</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12/16/2022</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1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2,473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2,473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200"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1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2.00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49,052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49,052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sz w:val="12"/>
              </w:rPr>
            </w:pPr>
            <w:r>
              <w:rPr>
                <w:rFonts w:ascii="Times New Roman;serif" w:hAnsi="Times New Roman;serif"/>
                <w:b/>
                <w:sz w:val="12"/>
              </w:rPr>
              <w:t>Three Months Ended March 31, 2023:</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21"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492" w:type="dxa"/>
            <w:gridSpan w:val="2"/>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5" w:type="dxa"/>
            <w:gridSpan w:val="2"/>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2/15/2023</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3/22/2023</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3/29/2023</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0.41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10,245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200"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2/15/2023 </w:t>
            </w:r>
            <w:r>
              <w:rPr>
                <w:rFonts w:ascii="Times New Roman;serif" w:hAnsi="Times New Roman;serif"/>
                <w:b w:val="false"/>
                <w:sz w:val="8"/>
              </w:rPr>
              <w:t>(2)</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3/22/2023</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3/29/2023</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3,748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200"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rFonts w:ascii="Times New Roman" w:hAnsi="Times New Roman"/>
                <w:sz w:val="12"/>
              </w:rPr>
            </w:pPr>
            <w:r>
              <w:rPr>
                <w:rFonts w:ascii="Times New Roman;serif" w:hAnsi="Times New Roman;serif"/>
                <w:b w:val="false"/>
                <w:sz w:val="12"/>
              </w:rPr>
              <w:t xml:space="preserve">2/15/2023 </w:t>
            </w:r>
            <w:r>
              <w:rPr>
                <w:rFonts w:ascii="Times New Roman;serif" w:hAnsi="Times New Roman;serif"/>
                <w:b w:val="false"/>
                <w:sz w:val="8"/>
              </w:rPr>
              <w:t>(1)</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3/22/2023</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3/29/2023</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41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shd w:fill="auto" w:val="clear"/>
            <w:vAlign w:val="center"/>
          </w:tcPr>
          <w:p>
            <w:pPr>
              <w:pStyle w:val="TableContents"/>
              <w:spacing w:before="0" w:after="0"/>
              <w:ind w:left="0" w:right="0" w:hanging="0"/>
              <w:jc w:val="left"/>
              <w:rPr/>
            </w:pPr>
            <w:r>
              <w:rPr/>
              <w:t> </w:t>
            </w:r>
          </w:p>
        </w:tc>
        <w:tc>
          <w:tcPr>
            <w:tcW w:w="523" w:type="dxa"/>
            <w:tcBorders/>
            <w:shd w:fill="auto" w:val="cle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2,499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14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8"/>
              </w:rPr>
            </w:pPr>
            <w:r>
              <w:rPr>
                <w:rFonts w:ascii="Times New Roman;serif" w:hAnsi="Times New Roman;serif"/>
                <w:b w:val="false"/>
                <w:sz w:val="8"/>
              </w:rPr>
              <w:t>(3)</w:t>
            </w:r>
          </w:p>
        </w:tc>
        <w:tc>
          <w:tcPr>
            <w:tcW w:w="200" w:type="dxa"/>
            <w:tcBorders/>
            <w:shd w:fill="auto" w:val="clear"/>
            <w:vAlign w:val="center"/>
          </w:tcPr>
          <w:p>
            <w:pPr>
              <w:pStyle w:val="TableContents"/>
              <w:spacing w:before="0" w:after="0"/>
              <w:ind w:left="0" w:right="0" w:hanging="0"/>
              <w:jc w:val="left"/>
              <w:rPr/>
            </w:pPr>
            <w:r>
              <w:rPr/>
              <w:t> </w:t>
            </w:r>
          </w:p>
        </w:tc>
        <w:tc>
          <w:tcPr>
            <w:tcW w:w="47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0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8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41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0.66</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16,492</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8"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52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2"/>
              </w:rPr>
            </w:pPr>
            <w:r>
              <w:rPr>
                <w:rFonts w:ascii="Times New Roman;serif" w:hAnsi="Times New Roman;serif"/>
                <w:b w:val="false"/>
                <w:sz w:val="12"/>
              </w:rPr>
              <w:t>16,492</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2"/>
              </w:rPr>
            </w:pPr>
            <w:r>
              <w:rPr>
                <w:rFonts w:ascii="Times New Roman;serif" w:hAnsi="Times New Roman;serif"/>
                <w:b w:val="false"/>
                <w:sz w:val="12"/>
              </w:rPr>
              <w:t>$</w:t>
            </w:r>
          </w:p>
        </w:tc>
        <w:tc>
          <w:tcPr>
            <w:tcW w:w="3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pPr>
            <w:r>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3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pPr>
            <w:r>
              <w:rPr/>
              <w:t>—</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5"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bl>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291"/>
        <w:gridCol w:w="9914"/>
      </w:tblGrid>
      <w:tr>
        <w:trPr/>
        <w:tc>
          <w:tcPr>
            <w:tcW w:w="291" w:type="dxa"/>
            <w:tcBorders/>
            <w:shd w:fill="auto" w:val="clear"/>
            <w:vAlign w:val="center"/>
          </w:tcPr>
          <w:p>
            <w:pPr>
              <w:pStyle w:val="TableContents"/>
              <w:spacing w:before="0" w:after="283"/>
              <w:rPr>
                <w:sz w:val="4"/>
                <w:szCs w:val="4"/>
              </w:rPr>
            </w:pPr>
            <w:r>
              <w:rPr>
                <w:sz w:val="4"/>
                <w:szCs w:val="4"/>
              </w:rPr>
            </w:r>
          </w:p>
        </w:tc>
        <w:tc>
          <w:tcPr>
            <w:tcW w:w="9914" w:type="dxa"/>
            <w:tcBorders/>
            <w:shd w:fill="auto" w:val="clear"/>
            <w:vAlign w:val="center"/>
          </w:tcPr>
          <w:p>
            <w:pPr>
              <w:pStyle w:val="TableContents"/>
              <w:spacing w:before="0" w:after="283"/>
              <w:rPr>
                <w:sz w:val="4"/>
                <w:szCs w:val="4"/>
              </w:rPr>
            </w:pPr>
            <w:r>
              <w:rPr>
                <w:sz w:val="4"/>
                <w:szCs w:val="4"/>
              </w:rPr>
            </w:r>
          </w:p>
        </w:tc>
      </w:tr>
      <w:tr>
        <w:trPr/>
        <w:tc>
          <w:tcPr>
            <w:tcW w:w="2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(1)</w:t>
            </w:r>
          </w:p>
        </w:tc>
        <w:tc>
          <w:tcPr>
            <w:tcW w:w="9914"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Special dividend</w:t>
            </w:r>
          </w:p>
        </w:tc>
      </w:tr>
      <w:tr>
        <w:trPr/>
        <w:tc>
          <w:tcPr>
            <w:tcW w:w="2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w:t>
            </w:r>
          </w:p>
        </w:tc>
        <w:tc>
          <w:tcPr>
            <w:tcW w:w="991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Supplemental dividend</w:t>
            </w:r>
          </w:p>
        </w:tc>
      </w:tr>
      <w:tr>
        <w:trPr/>
        <w:tc>
          <w:tcPr>
            <w:tcW w:w="2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991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During the three months ended March 31, 2023 and the years ended December 31, 2022 and 2021, the Company directed the DRIP plan administrator to repurchase shares on the open market in order to satisfy the DRIP obligation to deliver shares of common stock in lieu of issuing new shares. Accordingly, the Company purchased and reissued shares to satisfy the DRIP obligation as follows:</w:t>
            </w:r>
          </w:p>
        </w:tc>
      </w:tr>
    </w:tbl>
    <w:p>
      <w:pPr>
        <w:pStyle w:val="TextBody"/>
        <w:spacing w:before="0" w:after="0"/>
        <w:jc w:val="left"/>
        <w:rPr/>
      </w:pPr>
      <w:r>
        <w:rPr/>
        <w:t> </w:t>
      </w:r>
    </w:p>
    <w:tbl>
      <w:tblPr>
        <w:tblW w:w="7454" w:type="dxa"/>
        <w:jc w:val="left"/>
        <w:tblInd w:w="0" w:type="dxa"/>
        <w:tblCellMar>
          <w:top w:w="28" w:type="dxa"/>
          <w:left w:w="28" w:type="dxa"/>
          <w:bottom w:w="28" w:type="dxa"/>
          <w:right w:w="28" w:type="dxa"/>
        </w:tblCellMar>
      </w:tblPr>
      <w:tblGrid>
        <w:gridCol w:w="3286"/>
        <w:gridCol w:w="146"/>
        <w:gridCol w:w="146"/>
        <w:gridCol w:w="146"/>
        <w:gridCol w:w="202"/>
        <w:gridCol w:w="833"/>
        <w:gridCol w:w="146"/>
        <w:gridCol w:w="146"/>
        <w:gridCol w:w="236"/>
        <w:gridCol w:w="619"/>
        <w:gridCol w:w="146"/>
        <w:gridCol w:w="146"/>
        <w:gridCol w:w="295"/>
        <w:gridCol w:w="770"/>
        <w:gridCol w:w="191"/>
      </w:tblGrid>
      <w:tr>
        <w:trPr/>
        <w:tc>
          <w:tcPr>
            <w:tcW w:w="3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5"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3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5"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3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Purchased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Price Paid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shd w:fill="auto" w:val="clear"/>
            <w:vAlign w:val="center"/>
          </w:tcPr>
          <w:p>
            <w:pPr>
              <w:pStyle w:val="TableContents"/>
              <w:spacing w:before="0" w:after="0"/>
              <w:ind w:left="0" w:right="0" w:hanging="0"/>
              <w:jc w:val="center"/>
              <w:rPr/>
            </w:pPr>
            <w:r>
              <w:rPr/>
              <w:t> </w:t>
            </w:r>
          </w:p>
        </w:tc>
      </w:tr>
      <w:tr>
        <w:trPr/>
        <w:tc>
          <w:tcPr>
            <w:tcW w:w="3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Year Ended December 31, 2021: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and Reissued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 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 Paid</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January 1, 2021 through March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15,562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7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243</w:t>
            </w:r>
          </w:p>
        </w:tc>
        <w:tc>
          <w:tcPr>
            <w:tcW w:w="19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April 1, 2021 through June 30,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17,042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293</w:t>
            </w:r>
          </w:p>
        </w:tc>
        <w:tc>
          <w:tcPr>
            <w:tcW w:w="19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July 1, 2021 through September 30,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18,201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17.82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324</w:t>
            </w:r>
          </w:p>
        </w:tc>
        <w:tc>
          <w:tcPr>
            <w:tcW w:w="19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October 1, 2021 through December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18,283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17.42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318</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69,088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17.05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1,178</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7454" w:type="dxa"/>
        <w:jc w:val="left"/>
        <w:tblInd w:w="0" w:type="dxa"/>
        <w:tblCellMar>
          <w:top w:w="28" w:type="dxa"/>
          <w:left w:w="28" w:type="dxa"/>
          <w:bottom w:w="28" w:type="dxa"/>
          <w:right w:w="28" w:type="dxa"/>
        </w:tblCellMar>
      </w:tblPr>
      <w:tblGrid>
        <w:gridCol w:w="3286"/>
        <w:gridCol w:w="146"/>
        <w:gridCol w:w="146"/>
        <w:gridCol w:w="146"/>
        <w:gridCol w:w="202"/>
        <w:gridCol w:w="833"/>
        <w:gridCol w:w="146"/>
        <w:gridCol w:w="146"/>
        <w:gridCol w:w="236"/>
        <w:gridCol w:w="619"/>
        <w:gridCol w:w="146"/>
        <w:gridCol w:w="146"/>
        <w:gridCol w:w="295"/>
        <w:gridCol w:w="770"/>
        <w:gridCol w:w="191"/>
      </w:tblGrid>
      <w:tr>
        <w:trPr/>
        <w:tc>
          <w:tcPr>
            <w:tcW w:w="32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5"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3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5"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328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Purchased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Price Paid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shd w:fill="auto" w:val="clear"/>
            <w:vAlign w:val="center"/>
          </w:tcPr>
          <w:p>
            <w:pPr>
              <w:pStyle w:val="TableContents"/>
              <w:spacing w:before="0" w:after="0"/>
              <w:ind w:left="0" w:right="0" w:hanging="0"/>
              <w:jc w:val="center"/>
              <w:rPr/>
            </w:pPr>
            <w:r>
              <w:rPr/>
              <w:t> </w:t>
            </w:r>
          </w:p>
        </w:tc>
      </w:tr>
      <w:tr>
        <w:trPr/>
        <w:tc>
          <w:tcPr>
            <w:tcW w:w="328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Year Ended December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and Reissued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 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 Paid</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January 1, 2022 through March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20,380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20.51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7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418</w:t>
            </w:r>
          </w:p>
        </w:tc>
        <w:tc>
          <w:tcPr>
            <w:tcW w:w="19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April 1, 2022 through June 30,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20,233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362</w:t>
            </w:r>
          </w:p>
        </w:tc>
        <w:tc>
          <w:tcPr>
            <w:tcW w:w="19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July 1, 2022 through September 30,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21,114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17.08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shd w:fill="auto" w:val="clear"/>
            <w:vAlign w:val="center"/>
          </w:tcPr>
          <w:p>
            <w:pPr>
              <w:pStyle w:val="TableContents"/>
              <w:spacing w:before="0" w:after="0"/>
              <w:ind w:left="0" w:right="0" w:hanging="0"/>
              <w:jc w:val="left"/>
              <w:rPr/>
            </w:pPr>
            <w:r>
              <w:rPr/>
              <w:t> </w:t>
            </w:r>
          </w:p>
        </w:tc>
        <w:tc>
          <w:tcPr>
            <w:tcW w:w="770"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360</w:t>
            </w:r>
          </w:p>
        </w:tc>
        <w:tc>
          <w:tcPr>
            <w:tcW w:w="191" w:type="dxa"/>
            <w:tcBorders/>
            <w:shd w:fill="auto" w:val="cle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October 1, 2022 through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23,026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18.99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7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28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84,753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18.61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7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1,577</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7184" w:type="dxa"/>
        <w:jc w:val="left"/>
        <w:tblInd w:w="0" w:type="dxa"/>
        <w:tblCellMar>
          <w:top w:w="28" w:type="dxa"/>
          <w:left w:w="28" w:type="dxa"/>
          <w:bottom w:w="28" w:type="dxa"/>
          <w:right w:w="28" w:type="dxa"/>
        </w:tblCellMar>
      </w:tblPr>
      <w:tblGrid>
        <w:gridCol w:w="3016"/>
        <w:gridCol w:w="146"/>
        <w:gridCol w:w="146"/>
        <w:gridCol w:w="146"/>
        <w:gridCol w:w="202"/>
        <w:gridCol w:w="833"/>
        <w:gridCol w:w="146"/>
        <w:gridCol w:w="146"/>
        <w:gridCol w:w="236"/>
        <w:gridCol w:w="619"/>
        <w:gridCol w:w="146"/>
        <w:gridCol w:w="146"/>
        <w:gridCol w:w="364"/>
        <w:gridCol w:w="701"/>
        <w:gridCol w:w="191"/>
      </w:tblGrid>
      <w:tr>
        <w:trPr/>
        <w:tc>
          <w:tcPr>
            <w:tcW w:w="30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0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5"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30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Shares</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Average</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5" w:type="dxa"/>
            <w:gridSpan w:val="2"/>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center"/>
              <w:rPr/>
            </w:pPr>
            <w:r>
              <w:rPr/>
              <w:t> </w:t>
            </w:r>
          </w:p>
        </w:tc>
      </w:tr>
      <w:tr>
        <w:trPr/>
        <w:tc>
          <w:tcPr>
            <w:tcW w:w="301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Purchased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Price Paid</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91" w:type="dxa"/>
            <w:tcBorders/>
            <w:shd w:fill="auto" w:val="clear"/>
            <w:vAlign w:val="center"/>
          </w:tcPr>
          <w:p>
            <w:pPr>
              <w:pStyle w:val="TableContents"/>
              <w:spacing w:before="0" w:after="0"/>
              <w:ind w:left="0" w:right="0" w:hanging="0"/>
              <w:jc w:val="center"/>
              <w:rPr/>
            </w:pPr>
            <w:r>
              <w:rPr/>
              <w:t> </w:t>
            </w:r>
          </w:p>
        </w:tc>
      </w:tr>
      <w:tr>
        <w:trPr/>
        <w:tc>
          <w:tcPr>
            <w:tcW w:w="30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Three Months Ended 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and Reissued</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Per Share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6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Amount Paid</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January 1, 2023 through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shd w:fill="auto" w:val="clear"/>
            <w:vAlign w:val="center"/>
          </w:tcPr>
          <w:p>
            <w:pPr>
              <w:pStyle w:val="TableContents"/>
              <w:spacing w:before="0" w:after="0"/>
              <w:ind w:left="0" w:right="0" w:hanging="0"/>
              <w:jc w:val="left"/>
              <w:rPr/>
            </w:pPr>
            <w:r>
              <w:rPr/>
              <w:t> </w:t>
            </w:r>
          </w:p>
        </w:tc>
        <w:tc>
          <w:tcPr>
            <w:tcW w:w="83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25,512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0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490</w:t>
            </w:r>
          </w:p>
        </w:tc>
        <w:tc>
          <w:tcPr>
            <w:tcW w:w="191" w:type="dxa"/>
            <w:tcBorders/>
            <w:shd w:fill="auto" w:val="clear"/>
            <w:vAlign w:val="center"/>
          </w:tcPr>
          <w:p>
            <w:pPr>
              <w:pStyle w:val="TableContents"/>
              <w:spacing w:before="0" w:after="0"/>
              <w:ind w:left="0" w:right="0" w:hanging="0"/>
              <w:jc w:val="left"/>
              <w:rPr/>
            </w:pPr>
            <w:r>
              <w:rPr/>
              <w:t> </w:t>
            </w:r>
          </w:p>
        </w:tc>
      </w:tr>
      <w:tr>
        <w:trPr/>
        <w:tc>
          <w:tcPr>
            <w:tcW w:w="301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02"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833"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25,512</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19"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19.22</w:t>
            </w:r>
          </w:p>
        </w:tc>
        <w:tc>
          <w:tcPr>
            <w:tcW w:w="146"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4"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0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490</w:t>
            </w:r>
          </w:p>
        </w:tc>
        <w:tc>
          <w:tcPr>
            <w:tcW w:w="191" w:type="dxa"/>
            <w:tcBorders>
              <w:top w:val="single" w:sz="4" w:space="0" w:color="000000"/>
              <w:bottom w:val="double" w:sz="6" w:space="0" w:color="000000"/>
            </w:tcBorders>
            <w:shd w:fill="auto" w:val="clear"/>
            <w:tcMar>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38</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shares and per share data)</w:t>
      </w:r>
    </w:p>
    <w:p>
      <w:pPr>
        <w:pStyle w:val="TextBody"/>
        <w:spacing w:before="180" w:after="0"/>
        <w:jc w:val="both"/>
        <w:rPr>
          <w:rFonts w:ascii="Times New Roman;serif" w:hAnsi="Times New Roman;serif"/>
          <w:b/>
          <w:sz w:val="20"/>
        </w:rPr>
      </w:pPr>
      <w:r>
        <w:rPr>
          <w:rFonts w:ascii="Times New Roman;serif" w:hAnsi="Times New Roman;serif"/>
          <w:b/>
          <w:sz w:val="20"/>
        </w:rPr>
        <w:t>Note 10. Financial Highlights</w:t>
      </w:r>
    </w:p>
    <w:p>
      <w:pPr>
        <w:pStyle w:val="TextBody"/>
        <w:spacing w:before="180" w:after="0"/>
        <w:jc w:val="both"/>
        <w:rPr>
          <w:rFonts w:ascii="Times New Roman;serif" w:hAnsi="Times New Roman;serif"/>
          <w:b w:val="false"/>
          <w:sz w:val="20"/>
        </w:rPr>
      </w:pPr>
      <w:bookmarkStart w:id="13" w:name="fis_unidentified_table_15"/>
      <w:bookmarkEnd w:id="13"/>
      <w:r>
        <w:rPr>
          <w:rFonts w:ascii="Times New Roman;serif" w:hAnsi="Times New Roman;serif"/>
          <w:b w:val="false"/>
          <w:sz w:val="20"/>
        </w:rPr>
        <w:t>The following is a schedule of financial highlights for the three months ended March 31, 2023 and 2022:</w:t>
      </w:r>
    </w:p>
    <w:p>
      <w:pPr>
        <w:pStyle w:val="TextBody"/>
        <w:spacing w:before="0" w:after="0"/>
        <w:jc w:val="both"/>
        <w:rPr/>
      </w:pPr>
      <w:r>
        <w:rPr/>
        <w:t> </w:t>
      </w:r>
    </w:p>
    <w:tbl>
      <w:tblPr>
        <w:tblW w:w="8639" w:type="dxa"/>
        <w:jc w:val="left"/>
        <w:tblInd w:w="0" w:type="dxa"/>
        <w:tblCellMar>
          <w:top w:w="28" w:type="dxa"/>
          <w:left w:w="28" w:type="dxa"/>
          <w:bottom w:w="28" w:type="dxa"/>
          <w:right w:w="28" w:type="dxa"/>
        </w:tblCellMar>
      </w:tblPr>
      <w:tblGrid>
        <w:gridCol w:w="5266"/>
        <w:gridCol w:w="146"/>
        <w:gridCol w:w="211"/>
        <w:gridCol w:w="1036"/>
        <w:gridCol w:w="271"/>
        <w:gridCol w:w="146"/>
        <w:gridCol w:w="211"/>
        <w:gridCol w:w="1036"/>
        <w:gridCol w:w="316"/>
      </w:tblGrid>
      <w:tr>
        <w:trPr/>
        <w:tc>
          <w:tcPr>
            <w:tcW w:w="52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5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11" w:type="dxa"/>
            <w:gridSpan w:val="6"/>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31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2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271"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1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2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Per share data:</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5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asset value at beginning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19.43</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19.96</w:t>
            </w:r>
          </w:p>
        </w:tc>
        <w:tc>
          <w:tcPr>
            <w:tcW w:w="316" w:type="dxa"/>
            <w:tcBorders/>
            <w:shd w:fill="auto" w:val="clear"/>
            <w:vAlign w:val="center"/>
          </w:tcPr>
          <w:p>
            <w:pPr>
              <w:pStyle w:val="TableContents"/>
              <w:spacing w:before="0" w:after="0"/>
              <w:ind w:left="0" w:right="0" w:hanging="0"/>
              <w:jc w:val="left"/>
              <w:rPr/>
            </w:pPr>
            <w:r>
              <w:rPr/>
              <w:t> </w:t>
            </w:r>
          </w:p>
        </w:tc>
      </w:tr>
      <w:tr>
        <w:trPr/>
        <w:tc>
          <w:tcPr>
            <w:tcW w:w="526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Net investment income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0.59</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0.42</w:t>
            </w:r>
          </w:p>
        </w:tc>
        <w:tc>
          <w:tcPr>
            <w:tcW w:w="316" w:type="dxa"/>
            <w:tcBorders/>
            <w:shd w:fill="auto" w:val="clear"/>
            <w:vAlign w:val="center"/>
          </w:tcPr>
          <w:p>
            <w:pPr>
              <w:pStyle w:val="TableContents"/>
              <w:spacing w:before="0" w:after="0"/>
              <w:ind w:left="0" w:right="0" w:hanging="0"/>
              <w:jc w:val="left"/>
              <w:rPr/>
            </w:pPr>
            <w:r>
              <w:rPr/>
              <w:t> </w:t>
            </w:r>
          </w:p>
        </w:tc>
      </w:tr>
      <w:tr>
        <w:trPr/>
        <w:tc>
          <w:tcPr>
            <w:tcW w:w="526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Net realized gain (loss) on investments, net of tax (provision)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0.29</w:t>
            </w:r>
          </w:p>
        </w:tc>
        <w:tc>
          <w:tcPr>
            <w:tcW w:w="316" w:type="dxa"/>
            <w:tcBorders/>
            <w:shd w:fill="auto" w:val="clear"/>
            <w:vAlign w:val="center"/>
          </w:tcPr>
          <w:p>
            <w:pPr>
              <w:pStyle w:val="TableContents"/>
              <w:spacing w:before="0" w:after="0"/>
              <w:ind w:left="0" w:right="0" w:hanging="0"/>
              <w:jc w:val="left"/>
              <w:rPr/>
            </w:pPr>
            <w:r>
              <w:rPr/>
              <w:t> </w:t>
            </w:r>
          </w:p>
        </w:tc>
      </w:tr>
      <w:tr>
        <w:trPr/>
        <w:tc>
          <w:tcPr>
            <w:tcW w:w="526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Net unrealized appreciation (depreciation) on investments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0.03</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(0.22</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6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Realized losses on extinguishment of debt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6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Total increase from investment operations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0.62</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0.48</w:t>
            </w:r>
          </w:p>
        </w:tc>
        <w:tc>
          <w:tcPr>
            <w:tcW w:w="316" w:type="dxa"/>
            <w:tcBorders/>
            <w:shd w:fill="auto" w:val="clear"/>
            <w:vAlign w:val="center"/>
          </w:tcPr>
          <w:p>
            <w:pPr>
              <w:pStyle w:val="TableContents"/>
              <w:spacing w:before="0" w:after="0"/>
              <w:ind w:left="0" w:right="0" w:hanging="0"/>
              <w:jc w:val="left"/>
              <w:rPr/>
            </w:pPr>
            <w:r>
              <w:rPr/>
              <w:t> </w:t>
            </w:r>
          </w:p>
        </w:tc>
      </w:tr>
      <w:tr>
        <w:trPr/>
        <w:tc>
          <w:tcPr>
            <w:tcW w:w="5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Accretive (dilutive) effect of share issuances and repurchases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16" w:type="dxa"/>
            <w:tcBorders/>
            <w:shd w:fill="auto" w:val="clear"/>
            <w:vAlign w:val="center"/>
          </w:tcPr>
          <w:p>
            <w:pPr>
              <w:pStyle w:val="TableContents"/>
              <w:spacing w:before="0" w:after="0"/>
              <w:ind w:left="0" w:right="0" w:hanging="0"/>
              <w:jc w:val="left"/>
              <w:rPr/>
            </w:pPr>
            <w:r>
              <w:rPr/>
              <w:t> </w:t>
            </w:r>
          </w:p>
        </w:tc>
      </w:tr>
      <w:tr>
        <w:trPr/>
        <w:tc>
          <w:tcPr>
            <w:tcW w:w="5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Dividends to stockholders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(0.66</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(0.53</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6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Other </w:t>
            </w:r>
            <w:r>
              <w:rPr>
                <w:rFonts w:ascii="Times New Roman;serif" w:hAnsi="Times New Roman;serif"/>
                <w:b w:val="false"/>
                <w:sz w:val="13"/>
              </w:rPr>
              <w:t>(11)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asset value at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19.39</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19.91</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Market value at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19.07</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20.18</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Shares outstanding at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24,988,398</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24,437,400</w:t>
            </w:r>
          </w:p>
        </w:tc>
        <w:tc>
          <w:tcPr>
            <w:tcW w:w="316" w:type="dxa"/>
            <w:tcBorders/>
            <w:shd w:fill="auto" w:val="clear"/>
            <w:vAlign w:val="center"/>
          </w:tcPr>
          <w:p>
            <w:pPr>
              <w:pStyle w:val="TableContents"/>
              <w:spacing w:before="0" w:after="0"/>
              <w:ind w:left="0" w:right="0" w:hanging="0"/>
              <w:jc w:val="left"/>
              <w:rPr/>
            </w:pPr>
            <w:r>
              <w:rPr/>
              <w:t> </w:t>
            </w:r>
          </w:p>
        </w:tc>
      </w:tr>
      <w:tr>
        <w:trPr/>
        <w:tc>
          <w:tcPr>
            <w:tcW w:w="5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shares outstanding during the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24,803,951</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24,437,400</w:t>
            </w:r>
          </w:p>
        </w:tc>
        <w:tc>
          <w:tcPr>
            <w:tcW w:w="316" w:type="dxa"/>
            <w:tcBorders/>
            <w:shd w:fill="auto" w:val="clear"/>
            <w:vAlign w:val="center"/>
          </w:tcPr>
          <w:p>
            <w:pPr>
              <w:pStyle w:val="TableContents"/>
              <w:spacing w:before="0" w:after="0"/>
              <w:ind w:left="0" w:right="0" w:hanging="0"/>
              <w:jc w:val="left"/>
              <w:rPr/>
            </w:pPr>
            <w:r>
              <w:rPr/>
              <w:t> </w:t>
            </w:r>
          </w:p>
        </w:tc>
      </w:tr>
      <w:tr>
        <w:trPr/>
        <w:tc>
          <w:tcPr>
            <w:tcW w:w="52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assets at end of period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484,646</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486,502</w:t>
            </w:r>
          </w:p>
        </w:tc>
        <w:tc>
          <w:tcPr>
            <w:tcW w:w="316" w:type="dxa"/>
            <w:tcBorders/>
            <w:shd w:fill="auto" w:val="clear"/>
            <w:vAlign w:val="center"/>
          </w:tcPr>
          <w:p>
            <w:pPr>
              <w:pStyle w:val="TableContents"/>
              <w:spacing w:before="0" w:after="0"/>
              <w:ind w:left="0" w:right="0" w:hanging="0"/>
              <w:jc w:val="left"/>
              <w:rPr/>
            </w:pPr>
            <w:r>
              <w:rPr/>
              <w:t> </w:t>
            </w:r>
          </w:p>
        </w:tc>
      </w:tr>
      <w:tr>
        <w:trPr/>
        <w:tc>
          <w:tcPr>
            <w:tcW w:w="526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Average net assets </w:t>
            </w:r>
            <w:r>
              <w:rPr>
                <w:rFonts w:ascii="Times New Roman;serif" w:hAnsi="Times New Roman;serif"/>
                <w:b w:val="false"/>
                <w:sz w:val="13"/>
              </w:rPr>
              <w:t>(6)</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482,495</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487,133</w:t>
            </w:r>
          </w:p>
        </w:tc>
        <w:tc>
          <w:tcPr>
            <w:tcW w:w="316" w:type="dxa"/>
            <w:tcBorders/>
            <w:shd w:fill="auto" w:val="clear"/>
            <w:vAlign w:val="center"/>
          </w:tcPr>
          <w:p>
            <w:pPr>
              <w:pStyle w:val="TableContents"/>
              <w:spacing w:before="0" w:after="0"/>
              <w:ind w:left="0" w:right="0" w:hanging="0"/>
              <w:jc w:val="left"/>
              <w:rPr/>
            </w:pPr>
            <w:r>
              <w:rPr/>
              <w:t> </w:t>
            </w:r>
          </w:p>
        </w:tc>
      </w:tr>
      <w:tr>
        <w:trPr/>
        <w:tc>
          <w:tcPr>
            <w:tcW w:w="52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Ratios to average net assets:</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526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Total expenses </w:t>
            </w:r>
            <w:r>
              <w:rPr>
                <w:rFonts w:ascii="Times New Roman;serif" w:hAnsi="Times New Roman;serif"/>
                <w:b w:val="false"/>
                <w:sz w:val="13"/>
              </w:rPr>
              <w:t>(2)(4)(10)</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6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Net investment income </w:t>
            </w:r>
            <w:r>
              <w:rPr>
                <w:rFonts w:ascii="Times New Roman;serif" w:hAnsi="Times New Roman;serif"/>
                <w:b w:val="false"/>
                <w:sz w:val="13"/>
              </w:rPr>
              <w:t>(5)</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6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Total return based on market value </w:t>
            </w:r>
            <w:r>
              <w:rPr>
                <w:rFonts w:ascii="Times New Roman;serif" w:hAnsi="Times New Roman;serif"/>
                <w:b w:val="false"/>
                <w:sz w:val="13"/>
              </w:rPr>
              <w:t>(3)</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6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Total return based on net asset value </w:t>
            </w:r>
            <w:r>
              <w:rPr>
                <w:rFonts w:ascii="Times New Roman;serif" w:hAnsi="Times New Roman;serif"/>
                <w:b w:val="false"/>
                <w:sz w:val="13"/>
              </w:rPr>
              <w:t>(8)</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6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Portfolio turnover ratio </w:t>
            </w:r>
            <w:r>
              <w:rPr>
                <w:rFonts w:ascii="Times New Roman;serif" w:hAnsi="Times New Roman;serif"/>
                <w:b w:val="false"/>
                <w:sz w:val="13"/>
              </w:rPr>
              <w:t>(9)</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26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Supplemental Data:</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526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 xml:space="preserve">Average debt outstanding </w:t>
            </w:r>
            <w:r>
              <w:rPr>
                <w:rFonts w:ascii="Times New Roman;serif" w:hAnsi="Times New Roman;serif"/>
                <w:b w:val="false"/>
                <w:sz w:val="13"/>
              </w:rPr>
              <w:t>(7)</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433,257</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385,290</w:t>
            </w:r>
          </w:p>
        </w:tc>
        <w:tc>
          <w:tcPr>
            <w:tcW w:w="316" w:type="dxa"/>
            <w:tcBorders/>
            <w:shd w:fill="auto" w:val="clear"/>
            <w:vAlign w:val="center"/>
          </w:tcPr>
          <w:p>
            <w:pPr>
              <w:pStyle w:val="TableContents"/>
              <w:spacing w:before="0" w:after="0"/>
              <w:ind w:left="0" w:right="0" w:hanging="0"/>
              <w:jc w:val="left"/>
              <w:rPr/>
            </w:pPr>
            <w:r>
              <w:rPr/>
              <w:t> </w:t>
            </w:r>
          </w:p>
        </w:tc>
      </w:tr>
      <w:tr>
        <w:trPr/>
        <w:tc>
          <w:tcPr>
            <w:tcW w:w="5266"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Average debt per share</w:t>
            </w:r>
            <w:r>
              <w:rPr>
                <w:rFonts w:ascii="Times New Roman" w:hAnsi="Times New Roman"/>
                <w:sz w:val="20"/>
              </w:rPr>
              <w:t> </w:t>
            </w:r>
            <w:r>
              <w:rPr>
                <w:rFonts w:ascii="Times New Roman;serif" w:hAnsi="Times New Roman;serif"/>
                <w:b w:val="false"/>
                <w:sz w:val="13"/>
              </w:rPr>
              <w:t>(1)</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17.47</w:t>
            </w:r>
          </w:p>
        </w:tc>
        <w:tc>
          <w:tcPr>
            <w:tcW w:w="27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15.77</w:t>
            </w:r>
          </w:p>
        </w:tc>
        <w:tc>
          <w:tcPr>
            <w:tcW w:w="316"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392"/>
        <w:gridCol w:w="9813"/>
      </w:tblGrid>
      <w:tr>
        <w:trPr/>
        <w:tc>
          <w:tcPr>
            <w:tcW w:w="392" w:type="dxa"/>
            <w:tcBorders/>
            <w:shd w:fill="auto" w:val="clear"/>
            <w:vAlign w:val="center"/>
          </w:tcPr>
          <w:p>
            <w:pPr>
              <w:pStyle w:val="TableContents"/>
              <w:spacing w:before="0" w:after="283"/>
              <w:rPr>
                <w:sz w:val="4"/>
                <w:szCs w:val="4"/>
              </w:rPr>
            </w:pPr>
            <w:r>
              <w:rPr>
                <w:sz w:val="4"/>
                <w:szCs w:val="4"/>
              </w:rPr>
            </w:r>
          </w:p>
        </w:tc>
        <w:tc>
          <w:tcPr>
            <w:tcW w:w="9813" w:type="dxa"/>
            <w:tcBorders/>
            <w:shd w:fill="auto" w:val="clear"/>
            <w:vAlign w:val="center"/>
          </w:tcPr>
          <w:p>
            <w:pPr>
              <w:pStyle w:val="TableContents"/>
              <w:spacing w:before="0" w:after="283"/>
              <w:rPr>
                <w:sz w:val="4"/>
                <w:szCs w:val="4"/>
              </w:rPr>
            </w:pPr>
            <w:r>
              <w:rPr>
                <w:sz w:val="4"/>
                <w:szCs w:val="4"/>
              </w:rPr>
            </w:r>
          </w:p>
        </w:tc>
      </w:tr>
      <w:tr>
        <w:trPr/>
        <w:tc>
          <w:tcPr>
            <w:tcW w:w="392" w:type="dxa"/>
            <w:tcBorders/>
            <w:shd w:fill="auto" w:val="clear"/>
            <w:vAlign w:val="center"/>
          </w:tcPr>
          <w:p>
            <w:pPr>
              <w:pStyle w:val="TableContents"/>
              <w:spacing w:before="0" w:after="0"/>
              <w:ind w:left="0" w:right="16" w:hanging="0"/>
              <w:jc w:val="left"/>
              <w:rPr>
                <w:rFonts w:ascii="Times New Roman;serif" w:hAnsi="Times New Roman;serif"/>
                <w:b w:val="false"/>
                <w:sz w:val="16"/>
              </w:rPr>
            </w:pPr>
            <w:r>
              <w:rPr>
                <w:rFonts w:ascii="Times New Roman;serif" w:hAnsi="Times New Roman;serif"/>
                <w:b w:val="false"/>
                <w:sz w:val="16"/>
              </w:rPr>
              <w:t>(1)</w:t>
            </w:r>
          </w:p>
        </w:tc>
        <w:tc>
          <w:tcPr>
            <w:tcW w:w="9813" w:type="dxa"/>
            <w:tcBorders/>
            <w:shd w:fill="auto" w:val="clear"/>
            <w:vAlign w:val="center"/>
          </w:tcPr>
          <w:p>
            <w:pPr>
              <w:pStyle w:val="TableContents"/>
              <w:spacing w:before="0" w:after="0"/>
              <w:ind w:left="0" w:right="16" w:hanging="0"/>
              <w:jc w:val="both"/>
              <w:rPr>
                <w:rFonts w:ascii="Times New Roman;serif" w:hAnsi="Times New Roman;serif"/>
                <w:b w:val="false"/>
                <w:sz w:val="16"/>
              </w:rPr>
            </w:pPr>
            <w:r>
              <w:rPr>
                <w:rFonts w:ascii="Times New Roman;serif" w:hAnsi="Times New Roman;serif"/>
                <w:b w:val="false"/>
                <w:sz w:val="16"/>
              </w:rPr>
              <w:t>Weighted average per share data.</w:t>
            </w:r>
          </w:p>
        </w:tc>
      </w:tr>
      <w:tr>
        <w:trPr/>
        <w:tc>
          <w:tcPr>
            <w:tcW w:w="392" w:type="dxa"/>
            <w:tcBorders/>
            <w:shd w:fill="auto" w:val="clear"/>
            <w:vAlign w:val="center"/>
          </w:tcPr>
          <w:p>
            <w:pPr>
              <w:pStyle w:val="TableContents"/>
              <w:spacing w:before="0" w:after="0"/>
              <w:ind w:left="0" w:right="16" w:hanging="0"/>
              <w:jc w:val="left"/>
              <w:rPr>
                <w:rFonts w:ascii="Times New Roman;serif" w:hAnsi="Times New Roman;serif"/>
                <w:b w:val="false"/>
                <w:sz w:val="16"/>
              </w:rPr>
            </w:pPr>
            <w:r>
              <w:rPr>
                <w:rFonts w:ascii="Times New Roman;serif" w:hAnsi="Times New Roman;serif"/>
                <w:b w:val="false"/>
                <w:sz w:val="16"/>
              </w:rPr>
              <w:t>(2)</w:t>
            </w:r>
          </w:p>
        </w:tc>
        <w:tc>
          <w:tcPr>
            <w:tcW w:w="9813" w:type="dxa"/>
            <w:tcBorders/>
            <w:shd w:fill="auto" w:val="clear"/>
            <w:vAlign w:val="center"/>
          </w:tcPr>
          <w:p>
            <w:pPr>
              <w:pStyle w:val="TableContents"/>
              <w:spacing w:before="0" w:after="0"/>
              <w:ind w:left="0" w:right="16" w:hanging="0"/>
              <w:jc w:val="both"/>
              <w:rPr>
                <w:rFonts w:ascii="Times New Roman;serif" w:hAnsi="Times New Roman;serif"/>
                <w:b w:val="false"/>
                <w:sz w:val="16"/>
              </w:rPr>
            </w:pPr>
            <w:r>
              <w:rPr>
                <w:rFonts w:ascii="Times New Roman;serif" w:hAnsi="Times New Roman;serif"/>
                <w:b w:val="false"/>
                <w:sz w:val="16"/>
              </w:rPr>
              <w:t>Annualized with the exception of income tax (provision) benefit from realized gains on investments.</w:t>
            </w:r>
          </w:p>
        </w:tc>
      </w:tr>
      <w:tr>
        <w:trPr/>
        <w:tc>
          <w:tcPr>
            <w:tcW w:w="392" w:type="dxa"/>
            <w:tcBorders/>
            <w:shd w:fill="auto" w:val="clear"/>
            <w:vAlign w:val="center"/>
          </w:tcPr>
          <w:p>
            <w:pPr>
              <w:pStyle w:val="TableContents"/>
              <w:spacing w:before="0" w:after="0"/>
              <w:ind w:left="0" w:right="16" w:hanging="0"/>
              <w:jc w:val="left"/>
              <w:rPr>
                <w:rFonts w:ascii="Times New Roman;serif" w:hAnsi="Times New Roman;serif"/>
                <w:b w:val="false"/>
                <w:sz w:val="16"/>
              </w:rPr>
            </w:pPr>
            <w:r>
              <w:rPr>
                <w:rFonts w:ascii="Times New Roman;serif" w:hAnsi="Times New Roman;serif"/>
                <w:b w:val="false"/>
                <w:sz w:val="16"/>
              </w:rPr>
              <w:t>(3)</w:t>
            </w:r>
          </w:p>
        </w:tc>
        <w:tc>
          <w:tcPr>
            <w:tcW w:w="9813" w:type="dxa"/>
            <w:tcBorders/>
            <w:shd w:fill="auto" w:val="clear"/>
            <w:vAlign w:val="center"/>
          </w:tcPr>
          <w:p>
            <w:pPr>
              <w:pStyle w:val="TableContents"/>
              <w:spacing w:before="0" w:after="0"/>
              <w:ind w:left="0" w:right="16" w:hanging="0"/>
              <w:jc w:val="both"/>
              <w:rPr>
                <w:rFonts w:ascii="Times New Roman" w:hAnsi="Times New Roman"/>
                <w:sz w:val="16"/>
              </w:rPr>
            </w:pPr>
            <w:r>
              <w:rPr>
                <w:rFonts w:ascii="Times New Roman;serif" w:hAnsi="Times New Roman;serif"/>
                <w:b w:val="false"/>
                <w:sz w:val="16"/>
              </w:rPr>
              <w:t>Total return based on market value equals the change in the market value of the Company’s common stock per share during the period divided by the market value per share at the beginning of the period, and assumes reinvestment of dividends at prices obtained by our dividend reinvestment plan during the period. The return does not reflect any sales load that may be paid by an investor.</w:t>
            </w:r>
            <w:r>
              <w:rPr>
                <w:rFonts w:ascii="Times New Roman" w:hAnsi="Times New Roman"/>
                <w:sz w:val="16"/>
              </w:rPr>
              <w:t xml:space="preserve"> </w:t>
            </w:r>
          </w:p>
        </w:tc>
      </w:tr>
      <w:tr>
        <w:trPr/>
        <w:tc>
          <w:tcPr>
            <w:tcW w:w="392" w:type="dxa"/>
            <w:tcBorders/>
            <w:shd w:fill="auto" w:val="clear"/>
            <w:vAlign w:val="center"/>
          </w:tcPr>
          <w:p>
            <w:pPr>
              <w:pStyle w:val="TableContents"/>
              <w:spacing w:before="0" w:after="0"/>
              <w:ind w:left="0" w:right="16" w:hanging="0"/>
              <w:jc w:val="left"/>
              <w:rPr>
                <w:rFonts w:ascii="Times New Roman;serif" w:hAnsi="Times New Roman;serif"/>
                <w:b w:val="false"/>
                <w:sz w:val="16"/>
              </w:rPr>
            </w:pPr>
            <w:r>
              <w:rPr>
                <w:rFonts w:ascii="Times New Roman;serif" w:hAnsi="Times New Roman;serif"/>
                <w:b w:val="false"/>
                <w:sz w:val="16"/>
              </w:rPr>
              <w:t>(4)</w:t>
            </w:r>
          </w:p>
        </w:tc>
        <w:tc>
          <w:tcPr>
            <w:tcW w:w="9813" w:type="dxa"/>
            <w:tcBorders/>
            <w:shd w:fill="auto" w:val="clear"/>
            <w:vAlign w:val="center"/>
          </w:tcPr>
          <w:p>
            <w:pPr>
              <w:pStyle w:val="TableContents"/>
              <w:spacing w:before="0" w:after="0"/>
              <w:ind w:left="0" w:right="16" w:hanging="0"/>
              <w:jc w:val="both"/>
              <w:rPr>
                <w:rFonts w:ascii="Times New Roman;serif" w:hAnsi="Times New Roman;serif"/>
                <w:b w:val="false"/>
                <w:sz w:val="16"/>
              </w:rPr>
            </w:pPr>
            <w:r>
              <w:rPr>
                <w:rFonts w:ascii="Times New Roman;serif" w:hAnsi="Times New Roman;serif"/>
                <w:b w:val="false"/>
                <w:sz w:val="16"/>
              </w:rPr>
              <w:t>The total expenses to average net assets ratio is calculated using (i) the “total expenses, net of base management waiver”, (ii) the “income tax provision (benefit)”, and (iii) the “income tax (provision) benefit from realized gains on investments” captions, as presented on the consolidated statements of operations.</w:t>
            </w:r>
          </w:p>
        </w:tc>
      </w:tr>
      <w:tr>
        <w:trPr/>
        <w:tc>
          <w:tcPr>
            <w:tcW w:w="392" w:type="dxa"/>
            <w:tcBorders/>
            <w:shd w:fill="auto" w:val="clear"/>
            <w:vAlign w:val="center"/>
          </w:tcPr>
          <w:p>
            <w:pPr>
              <w:pStyle w:val="TableContents"/>
              <w:spacing w:before="0" w:after="0"/>
              <w:ind w:left="0" w:right="16" w:hanging="0"/>
              <w:jc w:val="left"/>
              <w:rPr>
                <w:rFonts w:ascii="Times New Roman;serif" w:hAnsi="Times New Roman;serif"/>
                <w:b w:val="false"/>
                <w:sz w:val="16"/>
              </w:rPr>
            </w:pPr>
            <w:r>
              <w:rPr>
                <w:rFonts w:ascii="Times New Roman;serif" w:hAnsi="Times New Roman;serif"/>
                <w:b w:val="false"/>
                <w:sz w:val="16"/>
              </w:rPr>
              <w:t>(5)</w:t>
            </w:r>
          </w:p>
        </w:tc>
        <w:tc>
          <w:tcPr>
            <w:tcW w:w="9813" w:type="dxa"/>
            <w:tcBorders/>
            <w:shd w:fill="auto" w:val="clear"/>
            <w:vAlign w:val="center"/>
          </w:tcPr>
          <w:p>
            <w:pPr>
              <w:pStyle w:val="TableContents"/>
              <w:spacing w:before="0" w:after="0"/>
              <w:ind w:left="0" w:right="16" w:hanging="0"/>
              <w:jc w:val="both"/>
              <w:rPr>
                <w:rFonts w:ascii="Times New Roman;serif" w:hAnsi="Times New Roman;serif"/>
                <w:b w:val="false"/>
                <w:sz w:val="16"/>
              </w:rPr>
            </w:pPr>
            <w:r>
              <w:rPr>
                <w:rFonts w:ascii="Times New Roman;serif" w:hAnsi="Times New Roman;serif"/>
                <w:b w:val="false"/>
                <w:sz w:val="16"/>
              </w:rPr>
              <w:t>The net investment income to average net assets ratio is calculated using the net investment income caption as presented on the consolidated statements of operations, which includes incentive fee.</w:t>
            </w:r>
          </w:p>
        </w:tc>
      </w:tr>
      <w:tr>
        <w:trPr/>
        <w:tc>
          <w:tcPr>
            <w:tcW w:w="392" w:type="dxa"/>
            <w:tcBorders/>
            <w:shd w:fill="auto" w:val="clear"/>
            <w:vAlign w:val="center"/>
          </w:tcPr>
          <w:p>
            <w:pPr>
              <w:pStyle w:val="TableContents"/>
              <w:spacing w:before="0" w:after="0"/>
              <w:ind w:left="0" w:right="16" w:hanging="0"/>
              <w:jc w:val="left"/>
              <w:rPr>
                <w:rFonts w:ascii="Times New Roman;serif" w:hAnsi="Times New Roman;serif"/>
                <w:b w:val="false"/>
                <w:sz w:val="16"/>
              </w:rPr>
            </w:pPr>
            <w:r>
              <w:rPr>
                <w:rFonts w:ascii="Times New Roman;serif" w:hAnsi="Times New Roman;serif"/>
                <w:b w:val="false"/>
                <w:sz w:val="16"/>
              </w:rPr>
              <w:t>(6)</w:t>
            </w:r>
          </w:p>
        </w:tc>
        <w:tc>
          <w:tcPr>
            <w:tcW w:w="9813" w:type="dxa"/>
            <w:tcBorders/>
            <w:shd w:fill="auto" w:val="clear"/>
            <w:vAlign w:val="center"/>
          </w:tcPr>
          <w:p>
            <w:pPr>
              <w:pStyle w:val="TableContents"/>
              <w:spacing w:before="0" w:after="0"/>
              <w:ind w:left="0" w:right="16" w:hanging="0"/>
              <w:jc w:val="both"/>
              <w:rPr>
                <w:rFonts w:ascii="Times New Roman" w:hAnsi="Times New Roman"/>
                <w:sz w:val="16"/>
              </w:rPr>
            </w:pPr>
            <w:r>
              <w:rPr>
                <w:rFonts w:ascii="Times New Roman;serif" w:hAnsi="Times New Roman;serif"/>
                <w:b w:val="false"/>
                <w:sz w:val="16"/>
              </w:rPr>
              <w:t>Average net assets is calculated as the average of the net asset balances as of each quarter end during the fiscal year and the prior year end.</w:t>
            </w:r>
            <w:r>
              <w:rPr>
                <w:rFonts w:ascii="Times New Roman" w:hAnsi="Times New Roman"/>
                <w:sz w:val="16"/>
              </w:rPr>
              <w:t xml:space="preserve"> </w:t>
            </w:r>
          </w:p>
        </w:tc>
      </w:tr>
      <w:tr>
        <w:trPr/>
        <w:tc>
          <w:tcPr>
            <w:tcW w:w="392" w:type="dxa"/>
            <w:tcBorders/>
            <w:shd w:fill="auto" w:val="clear"/>
            <w:vAlign w:val="center"/>
          </w:tcPr>
          <w:p>
            <w:pPr>
              <w:pStyle w:val="TableContents"/>
              <w:spacing w:before="0" w:after="0"/>
              <w:ind w:left="0" w:right="16" w:hanging="0"/>
              <w:jc w:val="left"/>
              <w:rPr>
                <w:rFonts w:ascii="Times New Roman;serif" w:hAnsi="Times New Roman;serif"/>
                <w:b w:val="false"/>
                <w:sz w:val="16"/>
              </w:rPr>
            </w:pPr>
            <w:r>
              <w:rPr>
                <w:rFonts w:ascii="Times New Roman;serif" w:hAnsi="Times New Roman;serif"/>
                <w:b w:val="false"/>
                <w:sz w:val="16"/>
              </w:rPr>
              <w:t>(7)</w:t>
            </w:r>
          </w:p>
        </w:tc>
        <w:tc>
          <w:tcPr>
            <w:tcW w:w="9813" w:type="dxa"/>
            <w:tcBorders/>
            <w:shd w:fill="auto" w:val="clear"/>
            <w:vAlign w:val="center"/>
          </w:tcPr>
          <w:p>
            <w:pPr>
              <w:pStyle w:val="TableContents"/>
              <w:spacing w:before="0" w:after="0"/>
              <w:ind w:left="0" w:right="16" w:hanging="0"/>
              <w:jc w:val="both"/>
              <w:rPr>
                <w:rFonts w:ascii="Times New Roman" w:hAnsi="Times New Roman"/>
                <w:sz w:val="16"/>
              </w:rPr>
            </w:pPr>
            <w:r>
              <w:rPr>
                <w:rFonts w:ascii="Times New Roman;serif" w:hAnsi="Times New Roman;serif"/>
                <w:b w:val="false"/>
                <w:sz w:val="16"/>
              </w:rPr>
              <w:t>Average debt outstanding is calculated as the average of the outstanding debt balances, including secured borrowings, as of each quarter end during the fiscal year and the prior year end.</w:t>
            </w:r>
            <w:r>
              <w:rPr>
                <w:rFonts w:ascii="Times New Roman" w:hAnsi="Times New Roman"/>
                <w:sz w:val="16"/>
              </w:rPr>
              <w:t xml:space="preserve"> </w:t>
            </w:r>
          </w:p>
        </w:tc>
      </w:tr>
      <w:tr>
        <w:trPr/>
        <w:tc>
          <w:tcPr>
            <w:tcW w:w="392" w:type="dxa"/>
            <w:tcBorders/>
            <w:shd w:fill="auto" w:val="clear"/>
            <w:vAlign w:val="center"/>
          </w:tcPr>
          <w:p>
            <w:pPr>
              <w:pStyle w:val="TableContents"/>
              <w:spacing w:before="0" w:after="0"/>
              <w:ind w:left="0" w:right="16" w:hanging="0"/>
              <w:jc w:val="left"/>
              <w:rPr>
                <w:rFonts w:ascii="Times New Roman;serif" w:hAnsi="Times New Roman;serif"/>
                <w:b w:val="false"/>
                <w:sz w:val="16"/>
              </w:rPr>
            </w:pPr>
            <w:r>
              <w:rPr>
                <w:rFonts w:ascii="Times New Roman;serif" w:hAnsi="Times New Roman;serif"/>
                <w:b w:val="false"/>
                <w:sz w:val="16"/>
              </w:rPr>
              <w:t>(8)</w:t>
            </w:r>
          </w:p>
        </w:tc>
        <w:tc>
          <w:tcPr>
            <w:tcW w:w="9813" w:type="dxa"/>
            <w:tcBorders/>
            <w:shd w:fill="auto" w:val="clear"/>
            <w:vAlign w:val="center"/>
          </w:tcPr>
          <w:p>
            <w:pPr>
              <w:pStyle w:val="TableContents"/>
              <w:spacing w:before="0" w:after="0"/>
              <w:ind w:left="0" w:right="16" w:hanging="0"/>
              <w:jc w:val="both"/>
              <w:rPr>
                <w:rFonts w:ascii="Times New Roman;serif" w:hAnsi="Times New Roman;serif"/>
                <w:b w:val="false"/>
                <w:sz w:val="16"/>
              </w:rPr>
            </w:pPr>
            <w:r>
              <w:rPr>
                <w:rFonts w:ascii="Times New Roman;serif" w:hAnsi="Times New Roman;serif"/>
                <w:b w:val="false"/>
                <w:sz w:val="16"/>
              </w:rPr>
              <w:t>Total return based on net asset value per share equals the change in net asset value per share during the period, plus dividends paid per share during the period, less other non-operating changes during the period, and divided by beginning net asset value per share for the period. Non-operating changes include any items that affect net asset value per share other than increase from investment operations, such as the effects of share issuances and repurchases and other miscellaneous items.</w:t>
            </w:r>
          </w:p>
        </w:tc>
      </w:tr>
      <w:tr>
        <w:trPr/>
        <w:tc>
          <w:tcPr>
            <w:tcW w:w="392"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(9)</w:t>
            </w:r>
          </w:p>
        </w:tc>
        <w:tc>
          <w:tcPr>
            <w:tcW w:w="9813" w:type="dxa"/>
            <w:tcBorders/>
            <w:shd w:fill="auto" w:val="clear"/>
            <w:vAlign w:val="center"/>
          </w:tcPr>
          <w:p>
            <w:pPr>
              <w:pStyle w:val="TableContents"/>
              <w:spacing w:before="0" w:after="0"/>
              <w:ind w:left="0" w:right="16" w:hanging="0"/>
              <w:jc w:val="both"/>
              <w:rPr>
                <w:rFonts w:ascii="Times New Roman;serif" w:hAnsi="Times New Roman;serif"/>
                <w:b w:val="false"/>
                <w:sz w:val="16"/>
              </w:rPr>
            </w:pPr>
            <w:r>
              <w:rPr>
                <w:rFonts w:ascii="Times New Roman;serif" w:hAnsi="Times New Roman;serif"/>
                <w:b w:val="false"/>
                <w:sz w:val="16"/>
              </w:rPr>
              <w:t>Annualized.</w:t>
            </w:r>
          </w:p>
        </w:tc>
      </w:tr>
      <w:tr>
        <w:trPr/>
        <w:tc>
          <w:tcPr>
            <w:tcW w:w="392" w:type="dxa"/>
            <w:tcBorders/>
            <w:shd w:fill="auto" w:val="clear"/>
            <w:vAlign w:val="center"/>
          </w:tcPr>
          <w:p>
            <w:pPr>
              <w:pStyle w:val="TableContents"/>
              <w:spacing w:before="0" w:after="0"/>
              <w:ind w:left="0" w:right="16" w:hanging="0"/>
              <w:jc w:val="left"/>
              <w:rPr>
                <w:rFonts w:ascii="Times New Roman;serif" w:hAnsi="Times New Roman;serif"/>
                <w:b w:val="false"/>
                <w:sz w:val="16"/>
              </w:rPr>
            </w:pPr>
            <w:r>
              <w:rPr>
                <w:rFonts w:ascii="Times New Roman;serif" w:hAnsi="Times New Roman;serif"/>
                <w:b w:val="false"/>
                <w:sz w:val="16"/>
              </w:rPr>
              <w:t>(10)</w:t>
            </w:r>
          </w:p>
        </w:tc>
        <w:tc>
          <w:tcPr>
            <w:tcW w:w="9813" w:type="dxa"/>
            <w:tcBorders/>
            <w:shd w:fill="auto" w:val="clear"/>
            <w:vAlign w:val="center"/>
          </w:tcPr>
          <w:p>
            <w:pPr>
              <w:pStyle w:val="TableContents"/>
              <w:spacing w:before="0" w:after="0"/>
              <w:ind w:left="0" w:right="16" w:hanging="0"/>
              <w:jc w:val="both"/>
              <w:rPr>
                <w:rFonts w:ascii="Times New Roman;serif" w:hAnsi="Times New Roman;serif"/>
                <w:b w:val="false"/>
                <w:sz w:val="16"/>
              </w:rPr>
            </w:pPr>
            <w:r>
              <w:rPr>
                <w:rFonts w:ascii="Times New Roman;serif" w:hAnsi="Times New Roman;serif"/>
                <w:b w:val="false"/>
                <w:sz w:val="16"/>
              </w:rPr>
              <w:t>The following are schedules of supplemental expense ratios to average net assets:</w:t>
            </w:r>
          </w:p>
        </w:tc>
      </w:tr>
    </w:tbl>
    <w:p>
      <w:pPr>
        <w:pStyle w:val="TextBody"/>
        <w:spacing w:before="0" w:after="0"/>
        <w:jc w:val="both"/>
        <w:rPr/>
      </w:pPr>
      <w:r>
        <w:rPr/>
        <w:t> </w:t>
      </w:r>
    </w:p>
    <w:tbl>
      <w:tblPr>
        <w:tblW w:w="6311" w:type="dxa"/>
        <w:jc w:val="left"/>
        <w:tblInd w:w="0" w:type="dxa"/>
        <w:tblCellMar>
          <w:top w:w="28" w:type="dxa"/>
          <w:left w:w="28" w:type="dxa"/>
          <w:bottom w:w="28" w:type="dxa"/>
          <w:right w:w="28" w:type="dxa"/>
        </w:tblCellMar>
      </w:tblPr>
      <w:tblGrid>
        <w:gridCol w:w="3061"/>
        <w:gridCol w:w="146"/>
        <w:gridCol w:w="265"/>
        <w:gridCol w:w="846"/>
        <w:gridCol w:w="492"/>
        <w:gridCol w:w="265"/>
        <w:gridCol w:w="265"/>
        <w:gridCol w:w="655"/>
        <w:gridCol w:w="316"/>
      </w:tblGrid>
      <w:tr>
        <w:trPr/>
        <w:tc>
          <w:tcPr>
            <w:tcW w:w="30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65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8" w:type="dxa"/>
            <w:gridSpan w:val="6"/>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31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61"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Ratio to average net assets:</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11" w:type="dxa"/>
            <w:gridSpan w:val="2"/>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492"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920" w:type="dxa"/>
            <w:gridSpan w:val="2"/>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1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06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Expenses other than incentive fee</w:t>
            </w:r>
            <w:r>
              <w:rPr>
                <w:rFonts w:ascii="Times New Roman" w:hAnsi="Times New Roman"/>
                <w:sz w:val="20"/>
              </w:rPr>
              <w:t> </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84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w:t>
            </w:r>
          </w:p>
        </w:tc>
        <w:tc>
          <w:tcPr>
            <w:tcW w:w="49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65"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6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6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Incentive fee</w:t>
            </w:r>
            <w:r>
              <w:rPr>
                <w:rFonts w:ascii="Times New Roman" w:hAnsi="Times New Roman"/>
                <w:sz w:val="20"/>
              </w:rPr>
              <w:t> </w:t>
            </w:r>
            <w:r>
              <w:rPr>
                <w:rFonts w:ascii="Times New Roman;serif" w:hAnsi="Times New Roman;serif"/>
                <w:b w:val="false"/>
                <w:sz w:val="13"/>
              </w:rPr>
              <w:t>(9)</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4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65"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06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Total expenses</w:t>
            </w:r>
            <w:r>
              <w:rPr>
                <w:rFonts w:ascii="Times New Roman" w:hAnsi="Times New Roman"/>
                <w:sz w:val="20"/>
              </w:rPr>
              <w:t> </w:t>
            </w:r>
            <w:r>
              <w:rPr>
                <w:rFonts w:ascii="Times New Roman;serif" w:hAnsi="Times New Roman;serif"/>
                <w:b w:val="false"/>
                <w:sz w:val="13"/>
              </w:rPr>
              <w:t>(2)(4)</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4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65"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both"/>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39</w:t>
      </w:r>
    </w:p>
    <w:p>
      <w:pPr>
        <w:pStyle w:val="HorizontalLine"/>
        <w:rPr/>
      </w:pPr>
      <w:r>
        <w:rPr/>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w:t>
      </w:r>
    </w:p>
    <w:p>
      <w:pPr>
        <w:pStyle w:val="TextBody"/>
        <w:spacing w:before="0" w:after="0"/>
        <w:jc w:val="center"/>
        <w:rPr>
          <w:rFonts w:ascii="Times New Roman;serif" w:hAnsi="Times New Roman;serif"/>
          <w:b/>
          <w:sz w:val="20"/>
        </w:rPr>
      </w:pPr>
      <w:r>
        <w:rPr>
          <w:rFonts w:ascii="Times New Roman;serif" w:hAnsi="Times New Roman;serif"/>
          <w:b/>
          <w:sz w:val="20"/>
        </w:rPr>
        <w:t>Notes to Consolidated Financial Statements (unaudited)</w:t>
      </w:r>
    </w:p>
    <w:p>
      <w:pPr>
        <w:pStyle w:val="TextBody"/>
        <w:spacing w:before="0" w:after="0"/>
        <w:jc w:val="center"/>
        <w:rPr>
          <w:rFonts w:ascii="Times New Roman;serif" w:hAnsi="Times New Roman;serif"/>
          <w:b/>
          <w:sz w:val="20"/>
        </w:rPr>
      </w:pPr>
      <w:r>
        <w:rPr>
          <w:rFonts w:ascii="Times New Roman;serif" w:hAnsi="Times New Roman;serif"/>
          <w:b/>
          <w:sz w:val="20"/>
        </w:rPr>
        <w:t>(in thousands, except shares and per share data)</w:t>
      </w:r>
    </w:p>
    <w:tbl>
      <w:tblPr>
        <w:tblW w:w="7811" w:type="dxa"/>
        <w:jc w:val="left"/>
        <w:tblInd w:w="0" w:type="dxa"/>
        <w:tblCellMar>
          <w:top w:w="28" w:type="dxa"/>
          <w:left w:w="28" w:type="dxa"/>
          <w:bottom w:w="28" w:type="dxa"/>
          <w:right w:w="28" w:type="dxa"/>
        </w:tblCellMar>
      </w:tblPr>
      <w:tblGrid>
        <w:gridCol w:w="4501"/>
        <w:gridCol w:w="146"/>
        <w:gridCol w:w="255"/>
        <w:gridCol w:w="814"/>
        <w:gridCol w:w="473"/>
        <w:gridCol w:w="255"/>
        <w:gridCol w:w="255"/>
        <w:gridCol w:w="736"/>
        <w:gridCol w:w="376"/>
      </w:tblGrid>
      <w:tr>
        <w:trPr/>
        <w:tc>
          <w:tcPr>
            <w:tcW w:w="45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r>
      <w:tr>
        <w:trPr/>
        <w:tc>
          <w:tcPr>
            <w:tcW w:w="45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88" w:type="dxa"/>
            <w:gridSpan w:val="6"/>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Three Months Ended March 31,</w:t>
            </w:r>
          </w:p>
        </w:tc>
        <w:tc>
          <w:tcPr>
            <w:tcW w:w="37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01"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Ratio to average net assets:</w:t>
            </w:r>
          </w:p>
        </w:tc>
        <w:tc>
          <w:tcPr>
            <w:tcW w:w="14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69" w:type="dxa"/>
            <w:gridSpan w:val="2"/>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2023</w:t>
            </w:r>
          </w:p>
        </w:tc>
        <w:tc>
          <w:tcPr>
            <w:tcW w:w="473"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991" w:type="dxa"/>
            <w:gridSpan w:val="2"/>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2022</w:t>
            </w:r>
          </w:p>
        </w:tc>
        <w:tc>
          <w:tcPr>
            <w:tcW w:w="376" w:type="dxa"/>
            <w:tcBorders>
              <w:bottom w:val="single" w:sz="18"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50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Total expenses, before base management fee waiver</w:t>
            </w:r>
            <w:r>
              <w:rPr>
                <w:rFonts w:ascii="Times New Roman" w:hAnsi="Times New Roman"/>
                <w:sz w:val="20"/>
              </w:rPr>
              <w:t> </w:t>
            </w:r>
            <w:r>
              <w:rPr>
                <w:rFonts w:ascii="Times New Roman;serif" w:hAnsi="Times New Roman;serif"/>
                <w:b w:val="false"/>
                <w:sz w:val="13"/>
              </w:rPr>
              <w:t>(2)</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81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4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5" w:type="dxa"/>
            <w:tcBorders/>
            <w:shd w:fill="auto" w:val="clear"/>
            <w:vAlign w:val="center"/>
          </w:tcPr>
          <w:p>
            <w:pPr>
              <w:pStyle w:val="TableContents"/>
              <w:spacing w:before="0" w:after="0"/>
              <w:ind w:left="0" w:right="0" w:hanging="0"/>
              <w:jc w:val="left"/>
              <w:rPr/>
            </w:pPr>
            <w:r>
              <w:rPr/>
              <w:t> </w:t>
            </w:r>
          </w:p>
        </w:tc>
        <w:tc>
          <w:tcPr>
            <w:tcW w:w="255" w:type="dxa"/>
            <w:tcBorders/>
            <w:shd w:fill="auto" w:val="clear"/>
            <w:vAlign w:val="center"/>
          </w:tcPr>
          <w:p>
            <w:pPr>
              <w:pStyle w:val="TableContents"/>
              <w:spacing w:before="0" w:after="0"/>
              <w:ind w:left="0" w:right="0" w:hanging="0"/>
              <w:jc w:val="left"/>
              <w:rPr/>
            </w:pPr>
            <w:r>
              <w:rPr/>
              <w:t> </w:t>
            </w:r>
          </w:p>
        </w:tc>
        <w:tc>
          <w:tcPr>
            <w:tcW w:w="7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8.5</w:t>
            </w:r>
          </w:p>
        </w:tc>
        <w:tc>
          <w:tcPr>
            <w:tcW w:w="3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0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Base management fee waiver</w:t>
            </w:r>
            <w:r>
              <w:rPr>
                <w:rFonts w:ascii="Times New Roman" w:hAnsi="Times New Roman"/>
                <w:sz w:val="20"/>
              </w:rPr>
              <w:t> </w:t>
            </w:r>
            <w:r>
              <w:rPr>
                <w:rFonts w:ascii="Times New Roman;serif" w:hAnsi="Times New Roman;serif"/>
                <w:b w:val="false"/>
                <w:sz w:val="13"/>
              </w:rPr>
              <w:t>(9)</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0.0</w:t>
            </w:r>
          </w:p>
        </w:tc>
        <w:tc>
          <w:tcPr>
            <w:tcW w:w="4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5"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(0.1</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50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Total expenses</w:t>
            </w:r>
            <w:r>
              <w:rPr>
                <w:rFonts w:ascii="Times New Roman" w:hAnsi="Times New Roman"/>
                <w:sz w:val="20"/>
              </w:rPr>
              <w:t> </w:t>
            </w:r>
            <w:r>
              <w:rPr>
                <w:rFonts w:ascii="Times New Roman;serif" w:hAnsi="Times New Roman;serif"/>
                <w:b w:val="false"/>
                <w:sz w:val="13"/>
              </w:rPr>
              <w:t>(2)(4)</w:t>
            </w:r>
          </w:p>
        </w:tc>
        <w:tc>
          <w:tcPr>
            <w:tcW w:w="146"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11.9</w:t>
            </w:r>
          </w:p>
        </w:tc>
        <w:tc>
          <w:tcPr>
            <w:tcW w:w="4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255" w:type="dxa"/>
            <w:tcBorders/>
            <w:shd w:fill="auto" w:val="clear"/>
            <w:vAlign w:val="center"/>
          </w:tcPr>
          <w:p>
            <w:pPr>
              <w:pStyle w:val="TableContents"/>
              <w:spacing w:before="0" w:after="0"/>
              <w:ind w:left="0" w:right="0" w:hanging="0"/>
              <w:jc w:val="left"/>
              <w:rPr/>
            </w:pPr>
            <w:r>
              <w:rPr/>
              <w:t> </w:t>
            </w:r>
          </w:p>
        </w:tc>
        <w:tc>
          <w:tcPr>
            <w:tcW w:w="25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w:t>
            </w:r>
          </w:p>
        </w:tc>
        <w:tc>
          <w:tcPr>
            <w:tcW w:w="3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both"/>
        <w:rPr/>
      </w:pPr>
      <w:r>
        <w:rPr/>
        <w:t> </w:t>
      </w:r>
    </w:p>
    <w:tbl>
      <w:tblPr>
        <w:tblW w:w="10205" w:type="dxa"/>
        <w:jc w:val="left"/>
        <w:tblInd w:w="0" w:type="dxa"/>
        <w:tblCellMar>
          <w:top w:w="28" w:type="dxa"/>
          <w:left w:w="28" w:type="dxa"/>
          <w:bottom w:w="28" w:type="dxa"/>
          <w:right w:w="28" w:type="dxa"/>
        </w:tblCellMar>
      </w:tblPr>
      <w:tblGrid>
        <w:gridCol w:w="386"/>
        <w:gridCol w:w="9819"/>
      </w:tblGrid>
      <w:tr>
        <w:trPr/>
        <w:tc>
          <w:tcPr>
            <w:tcW w:w="386" w:type="dxa"/>
            <w:tcBorders/>
            <w:shd w:fill="auto" w:val="clear"/>
            <w:vAlign w:val="center"/>
          </w:tcPr>
          <w:p>
            <w:pPr>
              <w:pStyle w:val="TableContents"/>
              <w:spacing w:before="0" w:after="283"/>
              <w:rPr>
                <w:sz w:val="4"/>
                <w:szCs w:val="4"/>
              </w:rPr>
            </w:pPr>
            <w:r>
              <w:rPr>
                <w:sz w:val="4"/>
                <w:szCs w:val="4"/>
              </w:rPr>
            </w:r>
          </w:p>
        </w:tc>
        <w:tc>
          <w:tcPr>
            <w:tcW w:w="9819" w:type="dxa"/>
            <w:tcBorders/>
            <w:shd w:fill="auto" w:val="clear"/>
            <w:vAlign w:val="center"/>
          </w:tcPr>
          <w:p>
            <w:pPr>
              <w:pStyle w:val="TableContents"/>
              <w:spacing w:before="0" w:after="283"/>
              <w:rPr>
                <w:sz w:val="4"/>
                <w:szCs w:val="4"/>
              </w:rPr>
            </w:pPr>
            <w:r>
              <w:rPr>
                <w:sz w:val="4"/>
                <w:szCs w:val="4"/>
              </w:rPr>
            </w:r>
          </w:p>
        </w:tc>
      </w:tr>
      <w:tr>
        <w:trPr/>
        <w:tc>
          <w:tcPr>
            <w:tcW w:w="3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(11)</w:t>
            </w:r>
          </w:p>
        </w:tc>
        <w:tc>
          <w:tcPr>
            <w:tcW w:w="9819"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Represents the impact of different share amounts used in calculating per share data as a result of calculating certain per share data based on weighted average shares outstanding during the period and certain per share data based on the shares outstanding as of a period end or transaction date, or other rounding.</w:t>
            </w:r>
          </w:p>
        </w:tc>
      </w:tr>
    </w:tbl>
    <w:p>
      <w:pPr>
        <w:pStyle w:val="TextBody"/>
        <w:spacing w:before="0" w:after="0"/>
        <w:jc w:val="left"/>
        <w:rPr/>
      </w:pPr>
      <w:r>
        <w:rPr/>
        <w:t> </w:t>
      </w:r>
    </w:p>
    <w:p>
      <w:pPr>
        <w:pStyle w:val="TextBody"/>
        <w:spacing w:before="180" w:after="0"/>
        <w:jc w:val="both"/>
        <w:rPr>
          <w:rFonts w:ascii="Times New Roman;serif" w:hAnsi="Times New Roman;serif"/>
          <w:b/>
          <w:sz w:val="20"/>
        </w:rPr>
      </w:pPr>
      <w:r>
        <w:rPr>
          <w:rFonts w:ascii="Times New Roman;serif" w:hAnsi="Times New Roman;serif"/>
          <w:b/>
          <w:sz w:val="20"/>
        </w:rPr>
        <w:t>Note 11. Subsequent Events</w:t>
      </w:r>
    </w:p>
    <w:p>
      <w:pPr>
        <w:pStyle w:val="TextBody"/>
        <w:spacing w:before="0" w:after="0"/>
        <w:jc w:val="left"/>
        <w:rPr/>
      </w:pPr>
      <w:r>
        <w:rPr/>
        <w:t> </w:t>
      </w:r>
    </w:p>
    <w:p>
      <w:pPr>
        <w:pStyle w:val="TextBody"/>
        <w:spacing w:before="180" w:after="0"/>
        <w:jc w:val="both"/>
        <w:rPr>
          <w:rFonts w:ascii="Times New Roman" w:hAnsi="Times New Roman"/>
          <w:sz w:val="20"/>
        </w:rPr>
      </w:pPr>
      <w:r>
        <w:rPr>
          <w:rFonts w:ascii="Times New Roman;serif" w:hAnsi="Times New Roman;serif"/>
          <w:b w:val="false"/>
          <w:sz w:val="20"/>
        </w:rPr>
        <w:t>On April 4, 2023, the Company exited its debt and equity investments in Rhino Assembly Company, LLC</w:t>
        <w:br/>
        <w:t>. The Company received payment in full of $14,850</w:t>
      </w:r>
      <w:r>
        <w:rPr>
          <w:rFonts w:ascii="Times New Roman" w:hAnsi="Times New Roman"/>
          <w:sz w:val="20"/>
        </w:rPr>
        <w:t xml:space="preserve"> </w:t>
      </w:r>
      <w:r>
        <w:rPr>
          <w:rFonts w:ascii="Times New Roman;serif" w:hAnsi="Times New Roman;serif"/>
          <w:b w:val="false"/>
          <w:sz w:val="20"/>
        </w:rPr>
        <w:t>on its second lien debt. The Company received a distribution on its common and preferred equity investments for a net realized gain of approximately $2,077.</w:t>
      </w:r>
    </w:p>
    <w:p>
      <w:pPr>
        <w:pStyle w:val="TextBody"/>
        <w:spacing w:before="180" w:after="0"/>
        <w:jc w:val="both"/>
        <w:rPr>
          <w:rFonts w:ascii="Times New Roman" w:hAnsi="Times New Roman"/>
          <w:sz w:val="20"/>
        </w:rPr>
      </w:pPr>
      <w:r>
        <w:rPr>
          <w:rFonts w:ascii="Times New Roman;serif" w:hAnsi="Times New Roman;serif"/>
          <w:b w:val="false"/>
          <w:sz w:val="20"/>
        </w:rPr>
        <w:t>On April 28, 2023, the Company invested $2,500</w:t>
      </w:r>
      <w:r>
        <w:rPr>
          <w:rFonts w:ascii="Times New Roman" w:hAnsi="Times New Roman"/>
          <w:sz w:val="20"/>
        </w:rPr>
        <w:t xml:space="preserve"> </w:t>
      </w:r>
      <w:r>
        <w:rPr>
          <w:rFonts w:ascii="Times New Roman;serif" w:hAnsi="Times New Roman;serif"/>
          <w:b w:val="false"/>
          <w:sz w:val="20"/>
        </w:rPr>
        <w:t>in first lien debt of Puget Collision, LLC, a multi-unit operator of auto collision repair shops operating in the CARSTAR and Fix Auto franchise systems.</w:t>
      </w:r>
    </w:p>
    <w:p>
      <w:pPr>
        <w:pStyle w:val="TextBody"/>
        <w:spacing w:before="180" w:after="0"/>
        <w:jc w:val="both"/>
        <w:rPr>
          <w:rFonts w:ascii="Times New Roman" w:hAnsi="Times New Roman"/>
          <w:sz w:val="20"/>
        </w:rPr>
      </w:pPr>
      <w:r>
        <w:rPr>
          <w:rFonts w:ascii="Times New Roman;serif" w:hAnsi="Times New Roman;serif"/>
          <w:b w:val="false"/>
          <w:sz w:val="20"/>
        </w:rPr>
        <w:t>On May 1, 2023, the Board declared a regular quarterly dividend of $0.41</w:t>
      </w:r>
      <w:r>
        <w:rPr>
          <w:rFonts w:ascii="Times New Roman" w:hAnsi="Times New Roman"/>
          <w:sz w:val="20"/>
        </w:rPr>
        <w:t xml:space="preserve"> </w:t>
      </w:r>
      <w:r>
        <w:rPr>
          <w:rFonts w:ascii="Times New Roman;serif" w:hAnsi="Times New Roman;serif"/>
          <w:b w:val="false"/>
          <w:sz w:val="20"/>
        </w:rPr>
        <w:t>per share, a supplemental dividend of $0.19</w:t>
      </w:r>
      <w:r>
        <w:rPr>
          <w:rFonts w:ascii="Times New Roman" w:hAnsi="Times New Roman"/>
          <w:sz w:val="20"/>
        </w:rPr>
        <w:t xml:space="preserve"> </w:t>
      </w:r>
      <w:r>
        <w:rPr>
          <w:rFonts w:ascii="Times New Roman;serif" w:hAnsi="Times New Roman;serif"/>
          <w:b w:val="false"/>
          <w:sz w:val="20"/>
        </w:rPr>
        <w:t>per share, and a special dividend of $0.10</w:t>
      </w:r>
      <w:r>
        <w:rPr>
          <w:rFonts w:ascii="Times New Roman" w:hAnsi="Times New Roman"/>
          <w:sz w:val="20"/>
        </w:rPr>
        <w:t xml:space="preserve"> </w:t>
      </w:r>
      <w:r>
        <w:rPr>
          <w:rFonts w:ascii="Times New Roman;serif" w:hAnsi="Times New Roman;serif"/>
          <w:b w:val="false"/>
          <w:sz w:val="20"/>
        </w:rPr>
        <w:t>per share, payable on June 28, 2023, to stockholders of record as of June 21, 2023.</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40</w:t>
      </w:r>
    </w:p>
    <w:p>
      <w:pPr>
        <w:pStyle w:val="HorizontalLine"/>
        <w:rPr/>
      </w:pPr>
      <w:r>
        <w:rPr/>
      </w:r>
    </w:p>
    <w:p>
      <w:pPr>
        <w:pStyle w:val="TextBody"/>
        <w:spacing w:before="0" w:after="0"/>
        <w:jc w:val="left"/>
        <w:rPr/>
      </w:pPr>
      <w:r>
        <w:rPr/>
        <w:t> </w:t>
      </w:r>
    </w:p>
    <w:p>
      <w:pPr>
        <w:pStyle w:val="TextBody"/>
        <w:spacing w:before="0" w:after="0"/>
        <w:jc w:val="left"/>
        <w:rPr>
          <w:rFonts w:ascii="Times New Roman" w:hAnsi="Times New Roman"/>
          <w:sz w:val="20"/>
        </w:rPr>
      </w:pPr>
      <w:bookmarkStart w:id="14" w:name="item2_mda"/>
      <w:bookmarkEnd w:id="14"/>
      <w:r>
        <w:rPr>
          <w:rFonts w:ascii="Times New Roman;serif" w:hAnsi="Times New Roman;serif"/>
          <w:b/>
          <w:sz w:val="20"/>
        </w:rPr>
        <w:t>Item 2. Management’s Discussion and Analysis of Financial Condition and Results</w:t>
      </w:r>
      <w:r>
        <w:rPr>
          <w:rFonts w:ascii="Times New Roman" w:hAnsi="Times New Roman"/>
          <w:sz w:val="20"/>
        </w:rPr>
        <w:t xml:space="preserve"> </w:t>
      </w:r>
      <w:r>
        <w:rPr>
          <w:rFonts w:ascii="Times New Roman;serif" w:hAnsi="Times New Roman;serif"/>
          <w:b/>
          <w:sz w:val="20"/>
        </w:rPr>
        <w:t>of Operations.</w:t>
      </w:r>
    </w:p>
    <w:p>
      <w:pPr>
        <w:pStyle w:val="TextBody"/>
        <w:spacing w:before="180" w:after="0"/>
        <w:jc w:val="both"/>
        <w:rPr>
          <w:rFonts w:ascii="Times New Roman" w:hAnsi="Times New Roman"/>
          <w:sz w:val="20"/>
        </w:rPr>
      </w:pPr>
      <w:r>
        <w:rPr>
          <w:rFonts w:ascii="Times New Roman;serif" w:hAnsi="Times New Roman;serif"/>
          <w:b w:val="false"/>
          <w:i/>
          <w:sz w:val="20"/>
        </w:rPr>
        <w:t>The following discussion and analysis of our financial condition and</w:t>
      </w:r>
      <w:r>
        <w:rPr>
          <w:rFonts w:ascii="Times New Roman" w:hAnsi="Times New Roman"/>
          <w:sz w:val="20"/>
        </w:rPr>
        <w:t xml:space="preserve"> </w:t>
      </w:r>
      <w:r>
        <w:rPr>
          <w:rFonts w:ascii="Times New Roman;serif" w:hAnsi="Times New Roman;serif"/>
          <w:b w:val="false"/>
          <w:i/>
          <w:sz w:val="20"/>
        </w:rPr>
        <w:t>results of operations should be read in conjunction with Fidus Investment Corporation’s consolidated financial statements and related notes appearing</w:t>
      </w:r>
      <w:r>
        <w:rPr>
          <w:rFonts w:ascii="Times New Roman" w:hAnsi="Times New Roman"/>
          <w:sz w:val="20"/>
        </w:rPr>
        <w:t xml:space="preserve"> </w:t>
      </w:r>
      <w:r>
        <w:rPr>
          <w:rFonts w:ascii="Times New Roman;serif" w:hAnsi="Times New Roman;serif"/>
          <w:b w:val="false"/>
          <w:i/>
          <w:sz w:val="20"/>
        </w:rPr>
        <w:t>in our annual report on Form 10-K for the year ended December 31, 2022, filed with the SEC on March 2, 2023. The</w:t>
      </w:r>
      <w:r>
        <w:rPr>
          <w:rFonts w:ascii="Times New Roman" w:hAnsi="Times New Roman"/>
          <w:sz w:val="20"/>
        </w:rPr>
        <w:t xml:space="preserve"> </w:t>
      </w:r>
      <w:r>
        <w:rPr>
          <w:rFonts w:ascii="Times New Roman;serif" w:hAnsi="Times New Roman;serif"/>
          <w:b w:val="false"/>
          <w:i/>
          <w:sz w:val="20"/>
        </w:rPr>
        <w:t>information contained in this section should also be read in conjunction with</w:t>
      </w:r>
      <w:r>
        <w:rPr>
          <w:rFonts w:ascii="Times New Roman" w:hAnsi="Times New Roman"/>
          <w:sz w:val="20"/>
        </w:rPr>
        <w:t xml:space="preserve"> </w:t>
      </w:r>
      <w:r>
        <w:rPr>
          <w:rFonts w:ascii="Times New Roman;serif" w:hAnsi="Times New Roman;serif"/>
          <w:b w:val="false"/>
          <w:i/>
          <w:sz w:val="20"/>
        </w:rPr>
        <w:t>our unaudited consolidated financial statements and related notes thereto</w:t>
      </w:r>
      <w:r>
        <w:rPr>
          <w:rFonts w:ascii="Times New Roman" w:hAnsi="Times New Roman"/>
          <w:sz w:val="20"/>
        </w:rPr>
        <w:t xml:space="preserve"> </w:t>
      </w:r>
      <w:r>
        <w:rPr>
          <w:rFonts w:ascii="Times New Roman;serif" w:hAnsi="Times New Roman;serif"/>
          <w:b w:val="false"/>
          <w:i/>
          <w:sz w:val="20"/>
        </w:rPr>
        <w:t>appearing elsewhere in this Quarterly Report on Form 10-Q.</w:t>
      </w:r>
    </w:p>
    <w:p>
      <w:pPr>
        <w:pStyle w:val="TextBody"/>
        <w:spacing w:before="0" w:after="0"/>
        <w:jc w:val="both"/>
        <w:rPr/>
      </w:pPr>
      <w:r>
        <w:rPr/>
        <w:t> </w:t>
      </w:r>
    </w:p>
    <w:p>
      <w:pPr>
        <w:pStyle w:val="TextBody"/>
        <w:spacing w:before="0" w:after="0"/>
        <w:jc w:val="both"/>
        <w:rPr>
          <w:rFonts w:ascii="Times New Roman;serif" w:hAnsi="Times New Roman;serif"/>
          <w:b w:val="false"/>
          <w:i/>
          <w:sz w:val="20"/>
        </w:rPr>
      </w:pPr>
      <w:r>
        <w:rPr>
          <w:rFonts w:ascii="Times New Roman;serif" w:hAnsi="Times New Roman;serif"/>
          <w:b w:val="false"/>
          <w:i/>
          <w:sz w:val="20"/>
        </w:rPr>
        <w:t>Except as otherwise specified, references to “we,” “us,” “our,” “Fidus” and “FIC” refer to Fidus Investment Corporation and its consolidated subsidiaries.</w:t>
      </w:r>
    </w:p>
    <w:p>
      <w:pPr>
        <w:pStyle w:val="TextBody"/>
        <w:spacing w:before="180" w:after="0"/>
        <w:jc w:val="left"/>
        <w:rPr>
          <w:rFonts w:ascii="Times New Roman;serif" w:hAnsi="Times New Roman;serif"/>
          <w:b/>
          <w:sz w:val="20"/>
        </w:rPr>
      </w:pPr>
      <w:r>
        <w:rPr>
          <w:rFonts w:ascii="Times New Roman;serif" w:hAnsi="Times New Roman;serif"/>
          <w:b/>
          <w:sz w:val="20"/>
        </w:rPr>
        <w:t>Forward Looking Statements</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This Quarterly Report on Form 10-Q contains forward-looking statements that involve substantial risks and uncertainties. These forward-looking statements are not historical facts, but rather are based on current expectations, estimates and projections about Fidus Investment Corporation,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Quarterly Report on Form 10-Q involve risks and uncertainties, including statements as to:</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our future operating results;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changes in the financial and lending markets;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business prospects and the prospects of our portfolio companies, including our and their ability to achieve our respective objectives;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investments that we expect to make;</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contractual arrangements and relationships with third parties;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dependence of our future success on the general economy and its impact on the industries in which we invest;</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an economic downturn and its impacts on the ability of our portfolio companies to operate and the investment opportunities available to us;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the impact of geopolitical conditions, including the ongoing conflict between Ukraine and Russia and U.S. and China relations, and its impact on financial market volatility, global economic markets, and various sectors, industries and markets for commodities globally;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ability of our portfolio companies to achieve their objectives;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expected financing and investments;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the adequacy of our cash resources and working capital;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the timing of cash flows, if any, from the operations of our portfolio companies;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ability of the Investment Advisor to locate suitable investments for us and to monitor and administer our investments;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ability of our Investment Advisor to attract and retain highly talented professionals;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regulatory structure and tax treatment;</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ability to operate as a BDC and a RIC and each of the Funds to operate as an SBIC;</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timing, form and amount of any dividend distributions;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impact of interest rate volatility, including the decommissioning of LIBOR and rising interest rates, and the elevated level of inflation on our business and portfolio companies;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valuation of any investments in portfolio companies, particularly those having no liquid trading market; and</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our ability to recover unrealized losses.</w:t>
      </w:r>
    </w:p>
    <w:p>
      <w:pPr>
        <w:pStyle w:val="TextBody"/>
        <w:spacing w:before="180" w:after="0"/>
        <w:jc w:val="both"/>
        <w:rPr>
          <w:rFonts w:ascii="Times New Roman" w:hAnsi="Times New Roman"/>
          <w:sz w:val="20"/>
        </w:rPr>
      </w:pPr>
      <w:r>
        <w:rPr>
          <w:rFonts w:ascii="Times New Roman;serif" w:hAnsi="Times New Roman;serif"/>
          <w:b w:val="false"/>
          <w:sz w:val="20"/>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r>
        <w:rPr>
          <w:rFonts w:ascii="Times New Roman" w:hAnsi="Times New Roman"/>
          <w:sz w:val="20"/>
        </w:rPr>
        <w:t xml:space="preserve"> </w:t>
      </w:r>
    </w:p>
    <w:p>
      <w:pPr>
        <w:pStyle w:val="TextBody"/>
        <w:spacing w:before="0" w:after="0"/>
        <w:jc w:val="both"/>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41</w:t>
      </w:r>
    </w:p>
    <w:p>
      <w:pPr>
        <w:pStyle w:val="HorizontalLine"/>
        <w:rPr/>
      </w:pPr>
      <w:r>
        <w:rPr/>
      </w:r>
    </w:p>
    <w:p>
      <w:pPr>
        <w:pStyle w:val="TextBody"/>
        <w:spacing w:before="0" w:after="0"/>
        <w:jc w:val="left"/>
        <w:rPr/>
      </w:pPr>
      <w:r>
        <w:rPr/>
        <w:t>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an economic downturn and significant disruptions to our portfolio companies, including supply chain disruptions and labor shortages, could impair our portfolio companies’ ability to continue to operate, which could lead to the loss of some or all of our investments in such portfolio companies;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 contraction of available credit and/or an inability to access the equity markets could impair our lending and investment activities;</w:t>
      </w:r>
    </w:p>
    <w:p>
      <w:pPr>
        <w:pStyle w:val="TextBody"/>
        <w:spacing w:before="0" w:after="0"/>
        <w:jc w:val="left"/>
        <w:rPr/>
      </w:pPr>
      <w:r>
        <w:rPr/>
        <w:t>•</w:t>
      </w:r>
    </w:p>
    <w:p>
      <w:pPr>
        <w:pStyle w:val="TextBody"/>
        <w:spacing w:before="0" w:after="0"/>
        <w:jc w:val="left"/>
        <w:rPr/>
      </w:pPr>
      <w:r>
        <w:rPr>
          <w:rFonts w:ascii="Times New Roman;serif" w:hAnsi="Times New Roman;serif"/>
          <w:b w:val="false"/>
          <w:sz w:val="20"/>
        </w:rPr>
        <w:t>interest rate vo</w:t>
      </w:r>
      <w:r>
        <w:rPr>
          <w:rFonts w:ascii="Times New Roman;serif" w:hAnsi="Times New Roman;serif"/>
          <w:b w:val="false"/>
          <w:sz w:val="20"/>
          <w:u w:val="single"/>
        </w:rPr>
        <w:t>l</w:t>
      </w:r>
      <w:r>
        <w:rPr>
          <w:rFonts w:ascii="Times New Roman;serif" w:hAnsi="Times New Roman;serif"/>
          <w:b w:val="false"/>
          <w:sz w:val="20"/>
        </w:rPr>
        <w:t>atility, including the decommissioning of LIBOR and rising interest rates, could adversely affect our results, particularly because we use leverage as part of our investment strategy;</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elevated level of inflation could adversely affect our business, results of operations and financial condition of our portfolio companies, which may, in turn, impact the valuation of such portfolio companies; and</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the risks, uncertainties and other factors we identify in Item 1A. – Risk Factors contained in our Annual Report on Form 10-K for the year ended December 31, 2022, elsewhere in this Quarterly Report on Form 10-Q and in our other filings with the SEC.</w:t>
      </w:r>
    </w:p>
    <w:p>
      <w:pPr>
        <w:pStyle w:val="TextBody"/>
        <w:spacing w:before="180" w:after="0"/>
        <w:jc w:val="both"/>
        <w:rPr>
          <w:rFonts w:ascii="Times New Roman" w:hAnsi="Times New Roman"/>
          <w:sz w:val="20"/>
        </w:rPr>
      </w:pPr>
      <w:r>
        <w:rPr>
          <w:rFonts w:ascii="Times New Roman;serif" w:hAnsi="Times New Roman;serif"/>
          <w:b w:val="false"/>
          <w:sz w:val="20"/>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debt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w:t>
      </w:r>
      <w:r>
        <w:rPr>
          <w:rFonts w:ascii="Times New Roman;serif" w:hAnsi="Times New Roman;serif"/>
          <w:b w:val="false"/>
          <w:i/>
          <w:sz w:val="20"/>
        </w:rPr>
        <w:t>Item 1.A – Risk Factors</w:t>
      </w:r>
      <w:r>
        <w:rPr>
          <w:rFonts w:ascii="Times New Roman" w:hAnsi="Times New Roman"/>
          <w:sz w:val="20"/>
        </w:rPr>
        <w:t xml:space="preserve"> </w:t>
      </w:r>
      <w:r>
        <w:rPr>
          <w:rFonts w:ascii="Times New Roman;serif" w:hAnsi="Times New Roman;serif"/>
          <w:b w:val="false"/>
          <w:sz w:val="20"/>
        </w:rPr>
        <w:t>contained in our Annual Report on Form 10-K for the year ended December 31, 2022, filed with the SEC on March 2, 2023. You should not place undue reliance on these forward-looking statements, which apply only as of the date of this Quarterly Report on Form 10-Q.</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42</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r>
        <w:rPr>
          <w:rFonts w:ascii="Times New Roman;serif" w:hAnsi="Times New Roman;serif"/>
          <w:b/>
          <w:sz w:val="20"/>
        </w:rPr>
        <w:t>Overview</w:t>
      </w:r>
    </w:p>
    <w:p>
      <w:pPr>
        <w:pStyle w:val="TextBody"/>
        <w:spacing w:before="180" w:after="0"/>
        <w:jc w:val="both"/>
        <w:rPr>
          <w:rFonts w:ascii="Times New Roman;serif" w:hAnsi="Times New Roman;serif"/>
          <w:b w:val="false"/>
          <w:i/>
          <w:sz w:val="20"/>
        </w:rPr>
      </w:pPr>
      <w:r>
        <w:rPr>
          <w:rFonts w:ascii="Times New Roman;serif" w:hAnsi="Times New Roman;serif"/>
          <w:b w:val="false"/>
          <w:i/>
          <w:sz w:val="20"/>
        </w:rPr>
        <w:t>General and Corporate Structure</w:t>
      </w:r>
    </w:p>
    <w:p>
      <w:pPr>
        <w:pStyle w:val="TextBody"/>
        <w:spacing w:before="180" w:after="0"/>
        <w:jc w:val="both"/>
        <w:rPr>
          <w:rFonts w:ascii="Times New Roman" w:hAnsi="Times New Roman"/>
          <w:sz w:val="20"/>
        </w:rPr>
      </w:pPr>
      <w:r>
        <w:rPr>
          <w:rFonts w:ascii="Times New Roman;serif" w:hAnsi="Times New Roman;serif"/>
          <w:b w:val="false"/>
          <w:sz w:val="20"/>
        </w:rPr>
        <w:t>We provide customized debt and equity financing solutions to lower middle-market companies, which we define as U.S. based companies having revenues between $10.0 million and $150.0 million. Our investment objective is to provide attractive risk-adjusted returns by generating both current income from our debt investments and capital appreciation from our equity related investments. Our investment strategy includes partnering with business owners, management teams and financial sponsors by providing customized financing for ownership transactions, recapitalizations, strategic acquisitions, business expansion and other growth initiatives. We seek to maintain a diversified portfolio of investments in order to help mitigate the potential effects of adverse economic events related to particular companies, regions or industries.</w:t>
      </w:r>
      <w:r>
        <w:rPr>
          <w:rFonts w:ascii="Times New Roman" w:hAnsi="Times New Roman"/>
          <w:sz w:val="20"/>
        </w:rPr>
        <w:t xml:space="preserve"> </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FIC was formed as a Maryland corporation on February 14, 2011. We completed our initial public offering, or IPO, in June 2011. On June 20, 2011, FIC acquired all of the limited partnership interests of Fund I and membership interests of Fidus Mezzanine Capital GP, LLC, its general partner, resulting in Fund I becoming our wholly-owned SBIC subsidiary. Immediately following the acquisition, we and Fund I elected to be treated as business development companies, or BDCs, under the 1940 Act and our investment activities have been managed by Fidus Investment Advisors, LLC, our investment advisor, and supervised by our board of directors, a majority of whom are independent of us. On March 29, 2013, we commenced operations of a second wholly-owned subsidiary, Fund II. On April 18, 2018, we commenced operations of a third wholly-owned subsidiary, Fund III.</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Fund II and Fund III received their SBIC licenses on May 28, 2013, and March 21, 2019, respectively. We plan to continue to operate the Funds as SBICs, subject to SBA approval, and to utilize the proceeds of the sale of SBA-guaranteed debentures to enhance returns to our stockholders. As of September 9, 2019, Fund I completed a wind-down plan, relinquished its SBIC license, and can no longer issue additional SBA debentures. We have also made, and continue to make, investments directly through FIC. We believe that utilizing FIC and the Funds as investment vehicles provides us with access to a broader array of investment opportunities.</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We have certain wholly-owned subsidiaries (the “Taxable Subsidiaries”), each of which generally holds one or more of our portfolio investments listed on the consolidated schedules of investments, that have elected to be treated as corporations for U.S. federal income tax purposes and are thus subject to U.S. federal income tax at corporate rates. The Taxable Subsidiaries are consolidated for financial reporting purposes, such that our consolidated financial statements reflect our investment in the portfolio company investments owned by the Taxable Subsidiaries. The purpose of the Taxable Subsidiaries is to permit us to hold equity investments in portfolio companies that are taxed as partnerships for U.S. federal income tax purposes (such as entities organized as limited liability companies (“LLCs”) or other forms of pass through entities) while complying with the “source-of-income” requirements contained in the RIC tax provisions. The Taxable Subsidiaries are not consolidated with us for U.S. federal corporate income tax purposes, and each Taxable Subsidiary will be subject to U.S. federal corporate income tax on its taxable income. Any such income or expense is reflected in the consolidated statements of operations.</w:t>
      </w:r>
    </w:p>
    <w:p>
      <w:pPr>
        <w:pStyle w:val="TextBody"/>
        <w:spacing w:before="180" w:after="0"/>
        <w:jc w:val="left"/>
        <w:rPr>
          <w:rFonts w:ascii="Times New Roman;serif" w:hAnsi="Times New Roman;serif"/>
          <w:b w:val="false"/>
          <w:i/>
          <w:sz w:val="20"/>
        </w:rPr>
      </w:pPr>
      <w:r>
        <w:rPr>
          <w:rFonts w:ascii="Times New Roman;serif" w:hAnsi="Times New Roman;serif"/>
          <w:b w:val="false"/>
          <w:i/>
          <w:sz w:val="20"/>
        </w:rPr>
        <w:t>Investments</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We seek to create a diversified investment portfolio that primarily includes debt investments and, to a lesser extent, equity securities. Our investments typically range between $5.0 million to $35.0 million per portfolio company, although this investment size may vary proportionately with the size of our capital base. Our investment objective is to provide attractive risk-adjusted returns by generating both current income from our debt investments and capital appreciation from our equity related investments. We may invest in the equity securities of our portfolio companies, such as preferred stock, common stock, warrants and other equity interests, either directly or in conjunction with our debt investments.</w:t>
      </w:r>
    </w:p>
    <w:p>
      <w:pPr>
        <w:pStyle w:val="TextBody"/>
        <w:spacing w:before="0" w:after="0"/>
        <w:jc w:val="both"/>
        <w:rPr>
          <w:rFonts w:ascii="Times New Roman" w:hAnsi="Times New Roman"/>
          <w:sz w:val="20"/>
        </w:rPr>
      </w:pPr>
      <w:r>
        <w:rPr>
          <w:rFonts w:ascii="Times New Roman;serif" w:hAnsi="Times New Roman;serif"/>
          <w:b w:val="false"/>
          <w:i/>
          <w:sz w:val="20"/>
        </w:rPr>
        <w:t>First Lien Debt</w:t>
      </w:r>
      <w:r>
        <w:rPr>
          <w:rFonts w:ascii="Times New Roman;serif" w:hAnsi="Times New Roman;serif"/>
          <w:b w:val="false"/>
          <w:sz w:val="20"/>
        </w:rPr>
        <w:t>. We structure some of our investments as senior secured or first lien debt investments. First lien debt investments are secured by a first priority lien on existing and future assets of the borrower and may take the form of term loans or revolving lines of credit. First lien debt is typically senior on a lien basis to other liabilities in the issuer’s capital structure and has the benefit of a first-priority security interest in assets of the issuer. The security interest ranks above the security interest of any second lien lenders in those assets. Our first lien debt may include stand-alone first lien loans, “last out” first lien loans, or “unitranche” loans. Stand-alone first lien loans are traditional first lien loans. All lenders in the facility have equal rights to the collateral that is subject to the first-priority security interest. “Last out” first lien loans have a secondary priority behind super-senior “first out” first lien loans in the collateral securing the loans in certain circumstances. The arrangements for a “last out” first 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 lien loans. Agreements among lenders also typically provide greater voting rights to the “last out” lenders than the intercreditor agreements to which second lien lenders often are subject.</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43</w:t>
      </w:r>
    </w:p>
    <w:p>
      <w:pPr>
        <w:pStyle w:val="HorizontalLine"/>
        <w:rPr/>
      </w:pPr>
      <w:r>
        <w:rPr/>
      </w:r>
    </w:p>
    <w:p>
      <w:pPr>
        <w:pStyle w:val="TextBody"/>
        <w:spacing w:before="0" w:after="0"/>
        <w:jc w:val="left"/>
        <w:rPr/>
      </w:pPr>
      <w:r>
        <w:rPr/>
        <w:t> </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Many of our debt investments also include excess cash flow sweep features, whereby principal repayment may be required before maturity if the portfolio company achieves certain defined operating targets. Additionally, our debt investments typically have principal prepayment penalties in the early years of the debt investment. The majority of our debt investments provide for a variable interest rate, generally with a LIBOR or SOFR floor.</w:t>
      </w:r>
    </w:p>
    <w:p>
      <w:pPr>
        <w:pStyle w:val="TextBody"/>
        <w:spacing w:before="0" w:after="180"/>
        <w:jc w:val="both"/>
        <w:rPr>
          <w:rFonts w:ascii="Times New Roman" w:hAnsi="Times New Roman"/>
          <w:sz w:val="20"/>
        </w:rPr>
      </w:pPr>
      <w:r>
        <w:rPr>
          <w:rFonts w:ascii="Times New Roman;serif" w:hAnsi="Times New Roman;serif"/>
          <w:b w:val="false"/>
          <w:i/>
          <w:sz w:val="20"/>
        </w:rPr>
        <w:t>Second Lien Debt.</w:t>
      </w:r>
      <w:r>
        <w:rPr>
          <w:rFonts w:ascii="Times New Roman" w:hAnsi="Times New Roman"/>
          <w:sz w:val="20"/>
        </w:rPr>
        <w:t xml:space="preserve"> </w:t>
      </w:r>
      <w:r>
        <w:rPr>
          <w:rFonts w:ascii="Times New Roman;serif" w:hAnsi="Times New Roman;serif"/>
          <w:b w:val="false"/>
          <w:sz w:val="20"/>
        </w:rPr>
        <w:t>Some of our debt investments take the form of second lien debt, which includes senior subordinated notes. Second lien debt investments obtain security interests in the assets of the portfolio company as collateral in support of the repayment of such loans. Second lien debt typically is senior on a lien basis to other liabilities in the issuer’s capital structure and has the benefit of a security interest over assets of the issuer, though ranking junior to first lien debt secured by those assets. First lien lenders and second lien lenders typically have separate liens on the collateral, and an intercreditor agreement provides the first lien lenders with priority over the second lien lenders’ liens on the collateral. These loans typically provide for no contractual loan amortization, with all amortization deferred until loan maturity, and may include payment-in-kind (“PIK”) interest, which increases the principal balance over the term and, coupled with the deferred principal payment provision, increases credit risk exposure over the life of the loan.</w:t>
      </w:r>
      <w:r>
        <w:rPr>
          <w:rFonts w:ascii="Times New Roman" w:hAnsi="Times New Roman"/>
          <w:sz w:val="20"/>
        </w:rPr>
        <w:t xml:space="preserve"> </w:t>
      </w:r>
    </w:p>
    <w:p>
      <w:pPr>
        <w:pStyle w:val="TextBody"/>
        <w:spacing w:before="0" w:after="180"/>
        <w:jc w:val="both"/>
        <w:rPr>
          <w:rFonts w:ascii="Times New Roman" w:hAnsi="Times New Roman"/>
          <w:sz w:val="20"/>
        </w:rPr>
      </w:pPr>
      <w:r>
        <w:rPr>
          <w:rFonts w:ascii="Times New Roman;serif" w:hAnsi="Times New Roman;serif"/>
          <w:b w:val="false"/>
          <w:i/>
          <w:sz w:val="20"/>
        </w:rPr>
        <w:t>Subordinated Debt.</w:t>
      </w:r>
      <w:r>
        <w:rPr>
          <w:rFonts w:ascii="Times New Roman" w:hAnsi="Times New Roman"/>
          <w:sz w:val="20"/>
        </w:rPr>
        <w:t xml:space="preserve"> </w:t>
      </w:r>
      <w:r>
        <w:rPr>
          <w:rFonts w:ascii="Times New Roman;serif" w:hAnsi="Times New Roman;serif"/>
          <w:b w:val="false"/>
          <w:sz w:val="20"/>
        </w:rPr>
        <w:t>These investments are typically structured as unsecured, subordinated notes. Structurally, subordinated debt usually ranks subordinate in priority of payment to first lien and second lien debt and may not have the benefit of financial covenants common in first lien and second lien debt. Subordinated debt may rank junior as it relates to proceeds in certain liquidations where it does not have the benefit of a lien in specific collateral held by creditors (typically first lien and/or second lien) who have a perfected security interest in such collateral. However, subordinated debt ranks senior to common and preferred equity in an issuer’s capital structure. These loans typically have relatively higher fixed interest rates (often representing a combination of cash pay and PIK interest) and amortization of principal deferred to maturity. The PIK feature (meaning a feature allowing for the payment of interest in the form of additional principal amount of the loan instead of in cash), which effectively operates as negative amortization of loan principal, coupled with the deferred principal payment provision, increases credit risk exposure over the life of the loan.</w:t>
      </w:r>
    </w:p>
    <w:p>
      <w:pPr>
        <w:pStyle w:val="TextBody"/>
        <w:spacing w:before="240" w:after="180"/>
        <w:jc w:val="both"/>
        <w:rPr>
          <w:rFonts w:ascii="Times New Roman" w:hAnsi="Times New Roman"/>
          <w:sz w:val="20"/>
        </w:rPr>
      </w:pPr>
      <w:r>
        <w:rPr>
          <w:rFonts w:ascii="Times New Roman;serif" w:hAnsi="Times New Roman;serif"/>
          <w:b w:val="false"/>
          <w:i/>
          <w:sz w:val="20"/>
        </w:rPr>
        <w:t>Equity Securities</w:t>
      </w:r>
      <w:r>
        <w:rPr>
          <w:rFonts w:ascii="Times New Roman;serif" w:hAnsi="Times New Roman;serif"/>
          <w:b w:val="false"/>
          <w:sz w:val="20"/>
        </w:rPr>
        <w:t>. Our equity investments typically consist of either a direct minority equity investment in common or preferred stock or membership/partnership interests of a portfolio company, or we may receive warrants to buy a minority equity interest in a portfolio company in connection with a debt investment. Warrants we receive with our debt investments typically require only a nominal cost to exercise, and thus, as a portfolio company appreciates in value, we may achieve additional investment return from this equity interest. Our equity investments are typically not control-oriented investments, and in many cases, we acquire equity securities as part of a group of private equity investors in which we are not the lead investor. We may structure such equity investments to include provisions protecting our rights as a minority-interest holder, as well as a “put,” or right to sell such securities back to the issuer, upon the occurrence of specified events. In many cases, we may also seek to obtain registration rights in connection with these equity interests, which may include demand and “piggyback” registration rights. Our equity investments typically are made in connection with debt investments to the same portfolio companies.</w:t>
      </w:r>
    </w:p>
    <w:p>
      <w:pPr>
        <w:pStyle w:val="TextBody"/>
        <w:spacing w:before="180" w:after="0"/>
        <w:jc w:val="both"/>
        <w:rPr>
          <w:rFonts w:ascii="Times New Roman" w:hAnsi="Times New Roman"/>
          <w:sz w:val="20"/>
        </w:rPr>
      </w:pPr>
      <w:r>
        <w:rPr>
          <w:rFonts w:ascii="Times New Roman;serif" w:hAnsi="Times New Roman;serif"/>
          <w:b w:val="false"/>
          <w:i/>
          <w:sz w:val="20"/>
        </w:rPr>
        <w:t>Revenues</w:t>
      </w:r>
      <w:r>
        <w:rPr>
          <w:rFonts w:ascii="Times New Roman;serif" w:hAnsi="Times New Roman;serif"/>
          <w:b w:val="false"/>
          <w:sz w:val="20"/>
        </w:rPr>
        <w:t>: We generate revenue in the form of interest and fee income on debt investments and dividends, if any, on equity investments. Our debt investments, whether in the form of second lien, subordinated or first lien loans, typically have terms of five to seven years and most bear interest at fixed or variable rates. In some instances, we receive payments on our debt investments based on scheduled amortization of the outstanding balances. In addition, we may receive repayments of some of our debt investments prior to their scheduled maturity dates, which may include prepayment penalties. The frequency or volume of these repayments fluctuates significantly from period to period. Our portfolio activity may reflect the proceeds of sales of securities. In some cases, our investments provide for deferred interest payments or PIK interest. The principal amount of debt investments and any accrued but unpaid interest generally become due at the maturity date. In addition, we may generate revenue in the form of commitment, origination, amendment, or structuring fees and fees for providing managerial assistance. Debt investment origination fees, OID and market discount or premium, if any, are capitalized, and we accrete or amortize such amounts into interest income. We record prepayment penalties on debt investments as fee income when earned. Interest and dividend income is recorded on the accrual basis to the extent that we expect to collect such amounts. Interest is accrued daily based on the outstanding principal amount and the contractual terms of the debt investment. Dividend income is recorded as dividends are declared or at the point an obligation exists for the portfolio company to make a distribution, and is generally recognized when received. Distributions of earnings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 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Interest and dividend payments received on non-accrual investments may be recognized as interest or dividend income or may be applied to the investment principal balance based on management’s judgment. Non-accrual investments are restored to accrual status when past due principal, interest or dividends are paid and, in management’s judgment, payments are likely to remain current. See “Critical Accounting Policies and Use of Estimates – Revenue Recognition.”</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44</w:t>
      </w:r>
    </w:p>
    <w:p>
      <w:pPr>
        <w:pStyle w:val="HorizontalLine"/>
        <w:rPr/>
      </w:pPr>
      <w:r>
        <w:rPr/>
      </w:r>
    </w:p>
    <w:p>
      <w:pPr>
        <w:pStyle w:val="TextBody"/>
        <w:spacing w:before="0" w:after="0"/>
        <w:jc w:val="left"/>
        <w:rPr/>
      </w:pPr>
      <w:r>
        <w:rPr/>
        <w:t> </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We recognize realized gains or losses on investments based on the difference between the net proceeds from the disposition and the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pStyle w:val="TextBody"/>
        <w:spacing w:before="180" w:after="0"/>
        <w:jc w:val="both"/>
        <w:rPr>
          <w:rFonts w:ascii="Times New Roman" w:hAnsi="Times New Roman"/>
          <w:sz w:val="20"/>
        </w:rPr>
      </w:pPr>
      <w:r>
        <w:rPr>
          <w:rFonts w:ascii="Times New Roman;serif" w:hAnsi="Times New Roman;serif"/>
          <w:b w:val="false"/>
          <w:i/>
          <w:sz w:val="20"/>
        </w:rPr>
        <w:t>Expenses</w:t>
      </w:r>
      <w:r>
        <w:rPr>
          <w:rFonts w:ascii="Times New Roman;serif" w:hAnsi="Times New Roman;serif"/>
          <w:b w:val="false"/>
          <w:sz w:val="20"/>
        </w:rPr>
        <w:t>: All investment professionals of the Investment Advisor and/or its affiliates, when and to the extent engaged in providing investment advisory and management services to us, and the compensation and routine overhead expenses allocable to personnel who provide these services to us, are provided and paid for by the Investment Advisor and not by us. We bear all other out-of-pocket costs and expenses of our operations and transactions, including, without limitation, those relating to:</w:t>
      </w:r>
      <w:r>
        <w:rPr>
          <w:rFonts w:ascii="Times New Roman" w:hAnsi="Times New Roman"/>
          <w:sz w:val="20"/>
        </w:rPr>
        <w:t xml:space="preserve">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organization;</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calculating our net asset value (including the cost and expenses of any independent valuation firm);</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fees and expenses incurred by the Investment Advisor under the Investment Advisory Agreement or payable to third parties, including agents, consultants or other advisors, in monitoring financial and legal affairs for us and in monitoring our investments and performing due diligence on our prospective portfolio companies or otherwise relating to, or associated with, evaluating and making investments, including “dead deal” costs;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interest payable on debt, if any, incurred to finance our investments;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offerings of our common stock and other securities;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investment advisory fees and management fees;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administration fees and expenses, if any, payable under the Administration Agreement (including payments under the Administration Agreement between us and the Investment Advisor based upon our allocable portion of the Investment Advisor’s overhead in performing its obligations under the Administration Agreement, including rent and the allocable portion of the cost of our officers, including our chief compliance officer, our chief financial officer, and their respective staffs);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transfer agent, dividend agent and custodial fees and expenses;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federal and state registration fees;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all costs of registration and listing our shares on any securities exchange;</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U.S. federal, state and local taxes;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Independent Directors’ fees and expenses;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costs of preparing and filing reports or other documents required by the SEC or other regulators including printing costs;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costs of any reports, proxy statements or other notices to stockholders, including printing and mailing costs;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allocable portion of any fidelity bond, directors and officers/errors and omissions liability insurance, and any other insurance premiums;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direct costs and expenses of administration, including printing, mailing, long distance telephone, copying, secretarial and other staff, independent auditors and outside legal costs;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proxy voting expenses; and</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all other expenses reasonably incurred by us or the Investment Advisor in connection with administering our business.</w:t>
      </w:r>
    </w:p>
    <w:p>
      <w:pPr>
        <w:pStyle w:val="TextBody"/>
        <w:spacing w:before="180" w:after="0"/>
        <w:jc w:val="left"/>
        <w:rPr>
          <w:rFonts w:ascii="Times New Roman" w:hAnsi="Times New Roman"/>
          <w:sz w:val="20"/>
        </w:rPr>
      </w:pPr>
      <w:r>
        <w:rPr>
          <w:rFonts w:ascii="Times New Roman;serif" w:hAnsi="Times New Roman;serif"/>
          <w:b/>
          <w:sz w:val="20"/>
        </w:rPr>
        <w:t>Portfolio Composition, Investment Activity and Yield</w:t>
      </w:r>
      <w:r>
        <w:rPr>
          <w:rFonts w:ascii="Times New Roman" w:hAnsi="Times New Roman"/>
          <w:sz w:val="20"/>
        </w:rPr>
        <w:t xml:space="preserve"> </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During the three months ended March 31, 2023 and 2022, we invested $51.5 million and $114.4 million, respectively, in debt and equity investments including three and seven new portfolio companies, respectively. During the three months ended March 31, 2023 and 2022, we received proceeds from sales or repayments, including principal, return of capital dividends and net realized gains (losses), of $15.9 million and $23.2 million, respectively, including an exit of one and one portfolio company, respectively. The following table summarizes investment purchases and sales and repayments of investments by type for the three months ended March 31, 2023 and 2022 (dollars in millions).</w:t>
      </w:r>
    </w:p>
    <w:tbl>
      <w:tblPr>
        <w:tblW w:w="9977" w:type="dxa"/>
        <w:jc w:val="left"/>
        <w:tblInd w:w="0" w:type="dxa"/>
        <w:tblCellMar>
          <w:top w:w="28" w:type="dxa"/>
          <w:left w:w="28" w:type="dxa"/>
          <w:bottom w:w="28" w:type="dxa"/>
          <w:right w:w="28" w:type="dxa"/>
        </w:tblCellMar>
      </w:tblPr>
      <w:tblGrid>
        <w:gridCol w:w="1426"/>
        <w:gridCol w:w="146"/>
        <w:gridCol w:w="196"/>
        <w:gridCol w:w="421"/>
        <w:gridCol w:w="146"/>
        <w:gridCol w:w="146"/>
        <w:gridCol w:w="146"/>
        <w:gridCol w:w="511"/>
        <w:gridCol w:w="241"/>
        <w:gridCol w:w="146"/>
        <w:gridCol w:w="146"/>
        <w:gridCol w:w="196"/>
        <w:gridCol w:w="511"/>
        <w:gridCol w:w="146"/>
        <w:gridCol w:w="146"/>
        <w:gridCol w:w="146"/>
        <w:gridCol w:w="511"/>
        <w:gridCol w:w="241"/>
        <w:gridCol w:w="146"/>
        <w:gridCol w:w="146"/>
        <w:gridCol w:w="196"/>
        <w:gridCol w:w="421"/>
        <w:gridCol w:w="146"/>
        <w:gridCol w:w="146"/>
        <w:gridCol w:w="146"/>
        <w:gridCol w:w="511"/>
        <w:gridCol w:w="241"/>
        <w:gridCol w:w="146"/>
        <w:gridCol w:w="146"/>
        <w:gridCol w:w="196"/>
        <w:gridCol w:w="421"/>
        <w:gridCol w:w="166"/>
        <w:gridCol w:w="146"/>
        <w:gridCol w:w="146"/>
        <w:gridCol w:w="511"/>
        <w:gridCol w:w="241"/>
        <w:gridCol w:w="191"/>
      </w:tblGrid>
      <w:tr>
        <w:trPr/>
        <w:tc>
          <w:tcPr>
            <w:tcW w:w="14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4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755" w:type="dxa"/>
            <w:gridSpan w:val="1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Purchases of Investments</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685" w:type="dxa"/>
            <w:gridSpan w:val="1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Sales and Repayments of Investments</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4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73" w:type="dxa"/>
            <w:gridSpan w:val="33"/>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42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56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5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426"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First Lien Debt</w:t>
            </w:r>
            <w:r>
              <w:rPr>
                <w:rFonts w:ascii="Times New Roman;serif" w:hAnsi="Times New Roman;serif"/>
                <w:b w:val="false"/>
                <w:sz w:val="11"/>
              </w:rPr>
              <w:t>(1)</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79.6</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76.7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67.0</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17.2</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17.2</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4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9.7</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13.9</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31.1</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31.1</w:t>
            </w:r>
          </w:p>
        </w:tc>
        <w:tc>
          <w:tcPr>
            <w:tcW w:w="24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4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Debt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15.2</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(0.9</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(0.9</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4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6.5</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52.6</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42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52.6</w:t>
            </w:r>
          </w:p>
        </w:tc>
        <w:tc>
          <w:tcPr>
            <w:tcW w:w="24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4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Warrants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42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42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51.5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114.4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42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120" w:after="0"/>
        <w:jc w:val="both"/>
        <w:rPr>
          <w:rFonts w:ascii="Times New Roman;serif" w:hAnsi="Times New Roman;serif"/>
          <w:b w:val="false"/>
          <w:sz w:val="16"/>
        </w:rPr>
      </w:pPr>
      <w:r>
        <w:rPr>
          <w:rFonts w:ascii="Times New Roman;serif" w:hAnsi="Times New Roman;serif"/>
          <w:b w:val="false"/>
          <w:sz w:val="16"/>
        </w:rPr>
        <w:t>(1) For the three months ended March 31, 2023 and 2022, first lien debt includes unitranche securities, which account for 40.3% and 49.2% of purchases, respectively. For the three months ended March 31, 2023 and 2022, first lien debt includes unitranche securities, which account for 5.9% and 7.1% of repayments, respectively.</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45</w:t>
      </w:r>
    </w:p>
    <w:p>
      <w:pPr>
        <w:pStyle w:val="HorizontalLine"/>
        <w:rPr/>
      </w:pPr>
      <w:r>
        <w:rPr/>
      </w:r>
    </w:p>
    <w:p>
      <w:pPr>
        <w:pStyle w:val="TextBody"/>
        <w:spacing w:before="0" w:after="0"/>
        <w:jc w:val="left"/>
        <w:rPr/>
      </w:pPr>
      <w:r>
        <w:rPr/>
        <w:t> </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As of March 31, 2023, the fair value of our investment portfolio totaled $897.3 million and consisted of 78 active portfolio companies and two portfolio companies that have sold their underlying operations. As of March 31, 2023, 43 portfolio companies’ debt investments bore interest at a variable rate, which represented $549.9 million, or 71.2%, of our debt investment portfolio on a fair value basis, and the remainder of our debt investment portfolio was comprised of fixed-rate investments. Overall, the portfolio had net unrealized appreciation of $32.3 million as of March 31, 2023. As of March 31, 2023, our average active portfolio company investment at amortized cost was $11.1 million, which excludes investments in the two portfolio companies that have sold their underlying operations.</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As of December 31, 2022, the fair value of our investment portfolio totaled $860.3 million and consisted of 76 active portfolio companies and two portfolio companies that have sold their underlying operations. As of December 31, 2022, 43 portfolio companies’ debt investments bore interest at a variable rate, which represented $522.9 million, or 70.6%, of our debt investment portfolio on a fair value basis, and the remainder of our debt investment portfolio was comprised of fixed-rate investments. Overall, the portfolio had net unrealized appreciation of $31.6 million as of December 31, 2022. As of December 31, 2022, our average active portfolio company investment at amortized cost was $10.9 million, which excludes investments in the two portfolio companies that have sold their underlying operations.</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The weighted average yield on debt investments as of March 31, 2023 and December 31, 2022 was 14.3% and 13.8%, respectively. The weighted average yield of our debt investments is not the same as a return on investment for our stockholders but, rather, relates to a portion of our investment portfolio and is calculated before the payment of all of our and our subsidiaries’ fees and expenses. The weighted average yields were computed using the effective interest rates for debt investments at cost including the accretion of OID and debt investment origination fees, but excluding investments on non-accrual status, if any.</w:t>
      </w:r>
    </w:p>
    <w:p>
      <w:pPr>
        <w:pStyle w:val="TextBody"/>
        <w:spacing w:before="180" w:after="120"/>
        <w:jc w:val="both"/>
        <w:rPr>
          <w:rFonts w:ascii="Times New Roman;serif" w:hAnsi="Times New Roman;serif"/>
          <w:b w:val="false"/>
          <w:sz w:val="20"/>
        </w:rPr>
      </w:pPr>
      <w:r>
        <w:rPr>
          <w:rFonts w:ascii="Times New Roman;serif" w:hAnsi="Times New Roman;serif"/>
          <w:b w:val="false"/>
          <w:sz w:val="20"/>
        </w:rPr>
        <w:t>The following table shows the portfolio composition by investment type at fair value and cost and as a percentage of total investments (dollars in millions):</w:t>
      </w:r>
    </w:p>
    <w:tbl>
      <w:tblPr>
        <w:tblW w:w="10205" w:type="dxa"/>
        <w:jc w:val="left"/>
        <w:tblInd w:w="0" w:type="dxa"/>
        <w:tblCellMar>
          <w:top w:w="28" w:type="dxa"/>
          <w:left w:w="28" w:type="dxa"/>
          <w:bottom w:w="28" w:type="dxa"/>
          <w:right w:w="28" w:type="dxa"/>
        </w:tblCellMar>
      </w:tblPr>
      <w:tblGrid>
        <w:gridCol w:w="1404"/>
        <w:gridCol w:w="146"/>
        <w:gridCol w:w="196"/>
        <w:gridCol w:w="511"/>
        <w:gridCol w:w="146"/>
        <w:gridCol w:w="146"/>
        <w:gridCol w:w="146"/>
        <w:gridCol w:w="511"/>
        <w:gridCol w:w="241"/>
        <w:gridCol w:w="146"/>
        <w:gridCol w:w="146"/>
        <w:gridCol w:w="196"/>
        <w:gridCol w:w="511"/>
        <w:gridCol w:w="146"/>
        <w:gridCol w:w="146"/>
        <w:gridCol w:w="146"/>
        <w:gridCol w:w="511"/>
        <w:gridCol w:w="241"/>
        <w:gridCol w:w="146"/>
        <w:gridCol w:w="146"/>
        <w:gridCol w:w="196"/>
        <w:gridCol w:w="511"/>
        <w:gridCol w:w="146"/>
        <w:gridCol w:w="146"/>
        <w:gridCol w:w="146"/>
        <w:gridCol w:w="511"/>
        <w:gridCol w:w="241"/>
        <w:gridCol w:w="146"/>
        <w:gridCol w:w="146"/>
        <w:gridCol w:w="196"/>
        <w:gridCol w:w="511"/>
        <w:gridCol w:w="146"/>
        <w:gridCol w:w="146"/>
        <w:gridCol w:w="146"/>
        <w:gridCol w:w="511"/>
        <w:gridCol w:w="241"/>
        <w:gridCol w:w="191"/>
      </w:tblGrid>
      <w:tr>
        <w:trPr/>
        <w:tc>
          <w:tcPr>
            <w:tcW w:w="140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40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45" w:type="dxa"/>
            <w:gridSpan w:val="1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45" w:type="dxa"/>
            <w:gridSpan w:val="1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40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5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5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5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5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41" w:type="dxa"/>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40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404" w:type="dxa"/>
            <w:tcBorders/>
            <w:shd w:fill="auto" w:val="clear"/>
            <w:vAlign w:val="center"/>
          </w:tcPr>
          <w:p>
            <w:pPr>
              <w:pStyle w:val="TableContents"/>
              <w:spacing w:before="0" w:after="0"/>
              <w:ind w:left="0" w:right="0" w:hanging="0"/>
              <w:jc w:val="left"/>
              <w:rPr>
                <w:rFonts w:ascii="Times New Roman" w:hAnsi="Times New Roman"/>
                <w:sz w:val="16"/>
              </w:rPr>
            </w:pPr>
            <w:r>
              <w:rPr>
                <w:rFonts w:ascii="Times New Roman;serif" w:hAnsi="Times New Roman;serif"/>
                <w:b w:val="false"/>
                <w:sz w:val="16"/>
              </w:rPr>
              <w:t>First Lien Debt</w:t>
            </w:r>
            <w:r>
              <w:rPr>
                <w:rFonts w:ascii="Times New Roman;serif" w:hAnsi="Times New Roman;serif"/>
                <w:b w:val="false"/>
                <w:sz w:val="11"/>
              </w:rPr>
              <w:t>(1)</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481.5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53.6</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456.1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53.0</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478.9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55.4</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453.6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54.7</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40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Second Lien Debt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21.1</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21.3</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25.3</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25.8</w:t>
            </w:r>
          </w:p>
        </w:tc>
        <w:tc>
          <w:tcPr>
            <w:tcW w:w="24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40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Subordinated Debt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11.4</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11.8</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103.1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11.9</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w:t>
            </w:r>
          </w:p>
        </w:tc>
        <w:tc>
          <w:tcPr>
            <w:tcW w:w="24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40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Equity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13.6</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13.7</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61.1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7.1</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57.9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7.0</w:t>
            </w:r>
          </w:p>
        </w:tc>
        <w:tc>
          <w:tcPr>
            <w:tcW w:w="24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40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Warrants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40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897.3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860.3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865.0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828.7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pPr>
      <w:r>
        <w:rPr/>
        <w:t>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(1) Includes unitranche investments, which account for 41.4% and 42.7% of our portfolio on a fair value and cost basis as of March 31, 2023, respectively. Includes unitranche investments, which account for 42.1% and 43.4% of our portfolio on a fair value and cost basis as of December 31, 2022, respectively.</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The following table shows portfolio composition by geographic region at fair value and cost and as a percentage of total investments (dollars in millions). The geographic composition is determined by the location of the corporate headquarters of the portfolio company, which may not be indicative of the primary source of the portfolio company’s business.</w:t>
      </w:r>
    </w:p>
    <w:tbl>
      <w:tblPr>
        <w:tblW w:w="9922" w:type="dxa"/>
        <w:jc w:val="left"/>
        <w:tblInd w:w="0" w:type="dxa"/>
        <w:tblCellMar>
          <w:top w:w="28" w:type="dxa"/>
          <w:left w:w="28" w:type="dxa"/>
          <w:bottom w:w="28" w:type="dxa"/>
          <w:right w:w="28" w:type="dxa"/>
        </w:tblCellMar>
      </w:tblPr>
      <w:tblGrid>
        <w:gridCol w:w="1021"/>
        <w:gridCol w:w="146"/>
        <w:gridCol w:w="196"/>
        <w:gridCol w:w="511"/>
        <w:gridCol w:w="146"/>
        <w:gridCol w:w="146"/>
        <w:gridCol w:w="146"/>
        <w:gridCol w:w="511"/>
        <w:gridCol w:w="241"/>
        <w:gridCol w:w="146"/>
        <w:gridCol w:w="146"/>
        <w:gridCol w:w="196"/>
        <w:gridCol w:w="511"/>
        <w:gridCol w:w="146"/>
        <w:gridCol w:w="146"/>
        <w:gridCol w:w="146"/>
        <w:gridCol w:w="511"/>
        <w:gridCol w:w="241"/>
        <w:gridCol w:w="146"/>
        <w:gridCol w:w="146"/>
        <w:gridCol w:w="196"/>
        <w:gridCol w:w="511"/>
        <w:gridCol w:w="146"/>
        <w:gridCol w:w="146"/>
        <w:gridCol w:w="146"/>
        <w:gridCol w:w="511"/>
        <w:gridCol w:w="241"/>
        <w:gridCol w:w="146"/>
        <w:gridCol w:w="146"/>
        <w:gridCol w:w="196"/>
        <w:gridCol w:w="511"/>
        <w:gridCol w:w="146"/>
        <w:gridCol w:w="146"/>
        <w:gridCol w:w="146"/>
        <w:gridCol w:w="511"/>
        <w:gridCol w:w="241"/>
        <w:gridCol w:w="291"/>
      </w:tblGrid>
      <w:tr>
        <w:trPr/>
        <w:tc>
          <w:tcPr>
            <w:tcW w:w="102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10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45" w:type="dxa"/>
            <w:gridSpan w:val="1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45" w:type="dxa"/>
            <w:gridSpan w:val="1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10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5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5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5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5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41" w:type="dxa"/>
            <w:tcBorders/>
            <w:shd w:fill="auto" w:val="clear"/>
            <w:vAlign w:val="center"/>
          </w:tcPr>
          <w:p>
            <w:pPr>
              <w:pStyle w:val="TableContents"/>
              <w:spacing w:before="0" w:after="0"/>
              <w:ind w:left="0" w:right="0" w:hanging="0"/>
              <w:jc w:val="center"/>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102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10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United States</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7" w:type="dxa"/>
            <w:gridSpan w:val="2"/>
            <w:tcBorders/>
            <w:shd w:fill="auto" w:val="clear"/>
            <w:vAlign w:val="center"/>
          </w:tcPr>
          <w:p>
            <w:pPr>
              <w:pStyle w:val="TableContents"/>
              <w:spacing w:before="0" w:after="0"/>
              <w:ind w:left="0" w:right="0" w:hanging="0"/>
              <w:jc w:val="center"/>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7" w:type="dxa"/>
            <w:gridSpan w:val="2"/>
            <w:tcBorders/>
            <w:shd w:fill="auto" w:val="clear"/>
            <w:vAlign w:val="center"/>
          </w:tcPr>
          <w:p>
            <w:pPr>
              <w:pStyle w:val="TableContents"/>
              <w:spacing w:before="0" w:after="0"/>
              <w:ind w:left="0" w:right="0" w:hanging="0"/>
              <w:jc w:val="center"/>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0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7" w:type="dxa"/>
            <w:gridSpan w:val="2"/>
            <w:tcBorders/>
            <w:shd w:fill="auto" w:val="clear"/>
            <w:vAlign w:val="center"/>
          </w:tcPr>
          <w:p>
            <w:pPr>
              <w:pStyle w:val="TableContents"/>
              <w:spacing w:before="0" w:after="0"/>
              <w:ind w:left="0" w:right="0" w:hanging="0"/>
              <w:jc w:val="center"/>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07"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57" w:type="dxa"/>
            <w:gridSpan w:val="2"/>
            <w:tcBorders/>
            <w:shd w:fill="auto" w:val="clear"/>
            <w:vAlign w:val="center"/>
          </w:tcPr>
          <w:p>
            <w:pPr>
              <w:pStyle w:val="TableContents"/>
              <w:spacing w:before="0" w:after="0"/>
              <w:ind w:left="0" w:right="0" w:hanging="0"/>
              <w:jc w:val="center"/>
              <w:rPr/>
            </w:pPr>
            <w:r>
              <w:rPr/>
              <w:t> </w:t>
            </w:r>
          </w:p>
        </w:tc>
        <w:tc>
          <w:tcPr>
            <w:tcW w:w="241" w:type="dxa"/>
            <w:tcBorders/>
            <w:shd w:fill="auto" w:val="clear"/>
            <w:vAlign w:val="center"/>
          </w:tcPr>
          <w:p>
            <w:pPr>
              <w:pStyle w:val="TableContents"/>
              <w:spacing w:before="0" w:after="0"/>
              <w:ind w:left="0" w:right="0" w:hanging="0"/>
              <w:jc w:val="center"/>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1021"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Midwest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19.4</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180.6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21.0</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126.0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14.6</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16.0</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91" w:type="dxa"/>
            <w:tcBorders/>
            <w:shd w:fill="auto" w:val="clear"/>
            <w:vAlign w:val="center"/>
          </w:tcPr>
          <w:p>
            <w:pPr>
              <w:pStyle w:val="TableContents"/>
              <w:spacing w:before="0" w:after="0"/>
              <w:ind w:left="0" w:right="0" w:firstLine="100"/>
              <w:jc w:val="left"/>
              <w:rPr/>
            </w:pPr>
            <w:r>
              <w:rPr/>
              <w:t> </w:t>
            </w:r>
          </w:p>
        </w:tc>
      </w:tr>
      <w:tr>
        <w:trPr/>
        <w:tc>
          <w:tcPr>
            <w:tcW w:w="1021"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Southeast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279.9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31.1</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31.0</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271.8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31.5</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31.1</w:t>
            </w:r>
          </w:p>
        </w:tc>
        <w:tc>
          <w:tcPr>
            <w:tcW w:w="241"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1021"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Northeast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155.8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17.4</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14.8</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163.5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18.9</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134.9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16.3</w:t>
            </w:r>
          </w:p>
        </w:tc>
        <w:tc>
          <w:tcPr>
            <w:tcW w:w="241"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1021"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West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16.7</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17.6</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18.7</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19.5</w:t>
            </w:r>
          </w:p>
        </w:tc>
        <w:tc>
          <w:tcPr>
            <w:tcW w:w="241"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firstLine="100"/>
              <w:jc w:val="left"/>
              <w:rPr/>
            </w:pPr>
            <w:r>
              <w:rPr/>
              <w:t> </w:t>
            </w:r>
          </w:p>
        </w:tc>
      </w:tr>
      <w:tr>
        <w:trPr/>
        <w:tc>
          <w:tcPr>
            <w:tcW w:w="1021" w:type="dxa"/>
            <w:tcBorders/>
            <w:shd w:fill="auto" w:val="clear"/>
            <w:vAlign w:val="center"/>
          </w:tcPr>
          <w:p>
            <w:pPr>
              <w:pStyle w:val="TableContents"/>
              <w:spacing w:before="0" w:after="0"/>
              <w:ind w:left="100" w:right="0" w:hanging="0"/>
              <w:jc w:val="left"/>
              <w:rPr>
                <w:rFonts w:ascii="Times New Roman;serif" w:hAnsi="Times New Roman;serif"/>
                <w:b w:val="false"/>
                <w:sz w:val="16"/>
              </w:rPr>
            </w:pPr>
            <w:r>
              <w:rPr>
                <w:rFonts w:ascii="Times New Roman;serif" w:hAnsi="Times New Roman;serif"/>
                <w:b w:val="false"/>
                <w:sz w:val="16"/>
              </w:rPr>
              <w:t>Southwest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14.0</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122.5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14.2</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129.1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14.9</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128.9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15.6</w:t>
            </w:r>
          </w:p>
        </w:tc>
        <w:tc>
          <w:tcPr>
            <w:tcW w:w="241" w:type="dxa"/>
            <w:tcBorders/>
            <w:shd w:fill="auto" w:val="cle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10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Canada</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91" w:type="dxa"/>
            <w:tcBorders/>
            <w:shd w:fill="auto" w:val="clear"/>
            <w:vAlign w:val="center"/>
          </w:tcPr>
          <w:p>
            <w:pPr>
              <w:pStyle w:val="TableContents"/>
              <w:spacing w:before="0" w:after="0"/>
              <w:ind w:left="0" w:right="0" w:hanging="0"/>
              <w:jc w:val="left"/>
              <w:rPr/>
            </w:pPr>
            <w:r>
              <w:rPr/>
              <w:t> </w:t>
            </w:r>
          </w:p>
        </w:tc>
      </w:tr>
      <w:tr>
        <w:trPr/>
        <w:tc>
          <w:tcPr>
            <w:tcW w:w="102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897.3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860.3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865.0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828.7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46</w:t>
      </w:r>
    </w:p>
    <w:p>
      <w:pPr>
        <w:pStyle w:val="HorizontalLine"/>
        <w:rPr/>
      </w:pPr>
      <w:r>
        <w:rPr/>
      </w:r>
    </w:p>
    <w:p>
      <w:pPr>
        <w:pStyle w:val="TextBody"/>
        <w:spacing w:before="0" w:after="0"/>
        <w:jc w:val="left"/>
        <w:rPr/>
      </w:pPr>
      <w:r>
        <w:rPr/>
        <w:t> </w:t>
      </w:r>
    </w:p>
    <w:p>
      <w:pPr>
        <w:pStyle w:val="TextBody"/>
        <w:spacing w:before="180" w:after="180"/>
        <w:jc w:val="both"/>
        <w:rPr>
          <w:rFonts w:ascii="Times New Roman" w:hAnsi="Times New Roman"/>
          <w:sz w:val="20"/>
        </w:rPr>
      </w:pPr>
      <w:r>
        <w:rPr>
          <w:rFonts w:ascii="Times New Roman;serif" w:hAnsi="Times New Roman;serif"/>
          <w:b w:val="false"/>
          <w:sz w:val="20"/>
        </w:rPr>
        <w:t>The following table shows the detailed industry composition of our portfolio at fair value and cost as a percentage of total investments:</w:t>
      </w:r>
      <w:r>
        <w:rPr>
          <w:rFonts w:ascii="Times New Roman" w:hAnsi="Times New Roman"/>
          <w:sz w:val="20"/>
        </w:rPr>
        <w:t xml:space="preserve"> </w:t>
      </w:r>
    </w:p>
    <w:tbl>
      <w:tblPr>
        <w:tblW w:w="8500" w:type="dxa"/>
        <w:jc w:val="left"/>
        <w:tblInd w:w="0" w:type="dxa"/>
        <w:tblCellMar>
          <w:top w:w="28" w:type="dxa"/>
          <w:left w:w="28" w:type="dxa"/>
          <w:bottom w:w="28" w:type="dxa"/>
          <w:right w:w="28" w:type="dxa"/>
        </w:tblCellMar>
      </w:tblPr>
      <w:tblGrid>
        <w:gridCol w:w="2701"/>
        <w:gridCol w:w="146"/>
        <w:gridCol w:w="190"/>
        <w:gridCol w:w="665"/>
        <w:gridCol w:w="241"/>
        <w:gridCol w:w="226"/>
        <w:gridCol w:w="242"/>
        <w:gridCol w:w="853"/>
        <w:gridCol w:w="241"/>
        <w:gridCol w:w="226"/>
        <w:gridCol w:w="190"/>
        <w:gridCol w:w="665"/>
        <w:gridCol w:w="241"/>
        <w:gridCol w:w="146"/>
        <w:gridCol w:w="242"/>
        <w:gridCol w:w="853"/>
        <w:gridCol w:w="241"/>
        <w:gridCol w:w="191"/>
      </w:tblGrid>
      <w:tr>
        <w:trPr/>
        <w:tc>
          <w:tcPr>
            <w:tcW w:w="27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7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1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233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41" w:type="dxa"/>
            <w:tcBorders/>
            <w:shd w:fill="auto" w:val="clear"/>
            <w:vAlign w:val="center"/>
          </w:tcPr>
          <w:p>
            <w:pPr>
              <w:pStyle w:val="TableContents"/>
              <w:spacing w:before="0" w:after="0"/>
              <w:ind w:left="0" w:right="0" w:hanging="0"/>
              <w:jc w:val="center"/>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41" w:type="dxa"/>
            <w:tcBorders/>
            <w:shd w:fill="auto" w:val="clear"/>
            <w:vAlign w:val="center"/>
          </w:tcPr>
          <w:p>
            <w:pPr>
              <w:pStyle w:val="TableContents"/>
              <w:spacing w:before="0" w:after="0"/>
              <w:ind w:left="0" w:right="0" w:hanging="0"/>
              <w:jc w:val="center"/>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5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41" w:type="dxa"/>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Name</w:t>
            </w:r>
          </w:p>
        </w:tc>
        <w:tc>
          <w:tcPr>
            <w:tcW w:w="146" w:type="dxa"/>
            <w:tcBorders/>
            <w:shd w:fill="auto" w:val="cle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Information Technology Services</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32.0</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2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33.3</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2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33.9</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35.4</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Business Services</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13.4</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12.2</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13.6</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12.2</w:t>
            </w:r>
          </w:p>
        </w:tc>
        <w:tc>
          <w:tcPr>
            <w:tcW w:w="24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Healthcare Products</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9.6</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10.5</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5.5</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5.8</w:t>
            </w:r>
          </w:p>
        </w:tc>
        <w:tc>
          <w:tcPr>
            <w:tcW w:w="24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Component Manufacturing</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7.7</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5.7</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8.0</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6.1</w:t>
            </w:r>
          </w:p>
        </w:tc>
        <w:tc>
          <w:tcPr>
            <w:tcW w:w="24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Specialty Distribution</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6.3</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6.4</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5.4</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5.6</w:t>
            </w:r>
          </w:p>
        </w:tc>
        <w:tc>
          <w:tcPr>
            <w:tcW w:w="24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Aerospace &amp; Defense Manufacturing</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5.5</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5.7</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5.4</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5.4</w:t>
            </w:r>
          </w:p>
        </w:tc>
        <w:tc>
          <w:tcPr>
            <w:tcW w:w="24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Transportation Services</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5.4</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5.5</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5.5</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5.6</w:t>
            </w:r>
          </w:p>
        </w:tc>
        <w:tc>
          <w:tcPr>
            <w:tcW w:w="24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Building Products Manufacturing</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4.5</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4.7</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5.2</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5.5</w:t>
            </w:r>
          </w:p>
        </w:tc>
        <w:tc>
          <w:tcPr>
            <w:tcW w:w="24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Promotional Products</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w:t>
            </w:r>
          </w:p>
        </w:tc>
        <w:tc>
          <w:tcPr>
            <w:tcW w:w="24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Utilities: Services</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24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Environmental Industries</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w:t>
            </w:r>
          </w:p>
        </w:tc>
        <w:tc>
          <w:tcPr>
            <w:tcW w:w="24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Retail</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w:t>
            </w:r>
          </w:p>
        </w:tc>
        <w:tc>
          <w:tcPr>
            <w:tcW w:w="24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Healthcare Services</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24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Oil &amp; Gas Services</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w:t>
            </w:r>
          </w:p>
        </w:tc>
        <w:tc>
          <w:tcPr>
            <w:tcW w:w="24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Industrial Cleaning &amp; Coatings</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w:t>
            </w:r>
          </w:p>
        </w:tc>
        <w:tc>
          <w:tcPr>
            <w:tcW w:w="24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Consumer Products</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w:t>
            </w:r>
          </w:p>
        </w:tc>
        <w:tc>
          <w:tcPr>
            <w:tcW w:w="241"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6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shd w:fill="auto" w:val="clear"/>
            <w:vAlign w:val="center"/>
          </w:tcPr>
          <w:p>
            <w:pPr>
              <w:pStyle w:val="TableContents"/>
              <w:spacing w:before="0" w:after="0"/>
              <w:ind w:left="0" w:right="0" w:hanging="0"/>
              <w:jc w:val="left"/>
              <w:rPr/>
            </w:pPr>
            <w:r>
              <w:rPr/>
              <w:t> </w:t>
            </w:r>
          </w:p>
        </w:tc>
        <w:tc>
          <w:tcPr>
            <w:tcW w:w="85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w:t>
            </w:r>
          </w:p>
        </w:tc>
        <w:tc>
          <w:tcPr>
            <w:tcW w:w="24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Restaurants</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11"/>
              </w:rPr>
            </w:pPr>
            <w:r>
              <w:rPr>
                <w:rFonts w:ascii="Times New Roman;serif" w:hAnsi="Times New Roman;serif"/>
                <w:b w:val="false"/>
                <w:sz w:val="11"/>
              </w:rPr>
              <w:t>(1)</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11"/>
              </w:rPr>
            </w:pPr>
            <w:r>
              <w:rPr>
                <w:rFonts w:ascii="Times New Roman;serif" w:hAnsi="Times New Roman;serif"/>
                <w:b w:val="false"/>
                <w:sz w:val="11"/>
              </w:rPr>
              <w:t>(1)</w:t>
            </w:r>
          </w:p>
        </w:tc>
        <w:tc>
          <w:tcPr>
            <w:tcW w:w="1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270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26" w:type="dxa"/>
            <w:tcBorders/>
            <w:shd w:fill="auto" w:val="clear"/>
            <w:vAlign w:val="center"/>
          </w:tcPr>
          <w:p>
            <w:pPr>
              <w:pStyle w:val="TableContents"/>
              <w:spacing w:before="0" w:after="0"/>
              <w:ind w:left="0" w:right="0" w:hanging="0"/>
              <w:jc w:val="left"/>
              <w:rPr/>
            </w:pPr>
            <w:r>
              <w:rPr/>
              <w:t> </w:t>
            </w:r>
          </w:p>
        </w:tc>
        <w:tc>
          <w:tcPr>
            <w:tcW w:w="2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26" w:type="dxa"/>
            <w:tcBorders/>
            <w:shd w:fill="auto" w:val="clear"/>
            <w:vAlign w:val="center"/>
          </w:tcPr>
          <w:p>
            <w:pPr>
              <w:pStyle w:val="TableContents"/>
              <w:spacing w:before="0" w:after="0"/>
              <w:ind w:left="0" w:right="0" w:hanging="0"/>
              <w:jc w:val="left"/>
              <w:rPr/>
            </w:pPr>
            <w:r>
              <w:rPr/>
              <w:t> </w:t>
            </w:r>
          </w:p>
        </w:tc>
        <w:tc>
          <w:tcPr>
            <w:tcW w:w="1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5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rFonts w:ascii="Times New Roman;serif" w:hAnsi="Times New Roman;serif"/>
          <w:b w:val="false"/>
          <w:sz w:val="16"/>
        </w:rPr>
      </w:pPr>
      <w:r>
        <w:rPr>
          <w:rFonts w:ascii="Times New Roman;serif" w:hAnsi="Times New Roman;serif"/>
          <w:b w:val="false"/>
          <w:sz w:val="16"/>
        </w:rPr>
        <w:t>(1) Percentage is less than 0.1% of respective total.</w:t>
      </w:r>
    </w:p>
    <w:p>
      <w:pPr>
        <w:pStyle w:val="TextBody"/>
        <w:spacing w:before="180" w:after="0"/>
        <w:jc w:val="both"/>
        <w:rPr>
          <w:rFonts w:ascii="Times New Roman;serif" w:hAnsi="Times New Roman;serif"/>
          <w:b/>
          <w:sz w:val="20"/>
        </w:rPr>
      </w:pPr>
      <w:r>
        <w:rPr>
          <w:rFonts w:ascii="Times New Roman;serif" w:hAnsi="Times New Roman;serif"/>
          <w:b/>
          <w:sz w:val="20"/>
        </w:rPr>
        <w:t>Portfolio Asset Quality</w:t>
      </w:r>
    </w:p>
    <w:p>
      <w:pPr>
        <w:pStyle w:val="TextBody"/>
        <w:spacing w:before="180" w:after="180"/>
        <w:jc w:val="both"/>
        <w:rPr>
          <w:rFonts w:ascii="Times New Roman" w:hAnsi="Times New Roman"/>
          <w:sz w:val="20"/>
        </w:rPr>
      </w:pPr>
      <w:r>
        <w:rPr>
          <w:rFonts w:ascii="Times New Roman;serif" w:hAnsi="Times New Roman;serif"/>
          <w:b w:val="false"/>
          <w:sz w:val="20"/>
        </w:rPr>
        <w:t>In addition to various risk management and monitoring tools, the Investment Advisor uses an internally developed investment rating system to characterize and monitor the credit profile and our expected level of returns on each investment in our portfolio. We use a five-level numeric rating scale. The following is a description of the conditions associated with each investment rating:</w:t>
      </w:r>
      <w:r>
        <w:rPr>
          <w:rFonts w:ascii="Times New Roman" w:hAnsi="Times New Roman"/>
          <w:sz w:val="20"/>
        </w:rPr>
        <w:t xml:space="preserve">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Investment Rating 1 is used for investments that involve the least amount of risk in our portfolio. The portfolio company is performing above expectations, the debt investment is expected to be paid in the near term and the trends and risk factors are favorable, and may include an expected capital gain on the equity investment.</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Investment Rating 2 is used for investments that involve a level of risk similar to the risk at the time of origination. The portfolio company is performing substantially within our expectations and the risk factors are neutral or favorable. Each new portfolio investment enters our portfolio with Investment Rating 2.</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Investment Rating 3 is used for investments performing below expectations and indicates the investment’s risk has increased somewhat since origination. The portfolio company requires closer monitoring, but we expect a full return of principal and collection of all interest and/or dividends.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Investment Rating 4 is used for investments performing materially below expectations and the risk has increased materially since origination. The investment has the potential for some loss of investment return, but we expect no loss of principal.</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Investment Rating 5 is used for investments performing substantially below our expectations and the risks have increased substantially since origination. We expect some loss of principal.</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We also have observed, and continue to observe, supply chain disruptions, labor and resource shortages, commodity inflation, elements of financial market instability (including rapidly rising interest rates), an uncertain economic outlook for the United States (which may include a recession), and elements of geopolitical instability (including the ongoing war in Ukraine and U.S. and China relations). In the event that the U.S. economy enters into a protracted recession, it is possible that the results of certain U.S. middle market companies could experience deterioration. We are closely monitoring the effect of such market volatility may have on our portfolio companies and our investment activities. We also are maintaining close communications with our portfolio companies and have also increased oversight of credits in vulnerable industries to mitigate any decline in loan performance and reduce credit risk.</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The following table shows the distribution of our investments on the 1 to 5 investment rating scale at fair value and cost as of March 31, 2023 and December 31, 2022 (dollars in millions):</w:t>
      </w:r>
    </w:p>
    <w:tbl>
      <w:tblPr>
        <w:tblW w:w="10205" w:type="dxa"/>
        <w:jc w:val="left"/>
        <w:tblInd w:w="0" w:type="dxa"/>
        <w:tblCellMar>
          <w:top w:w="28" w:type="dxa"/>
          <w:left w:w="28" w:type="dxa"/>
          <w:bottom w:w="28" w:type="dxa"/>
          <w:right w:w="28" w:type="dxa"/>
        </w:tblCellMar>
      </w:tblPr>
      <w:tblGrid>
        <w:gridCol w:w="1404"/>
        <w:gridCol w:w="146"/>
        <w:gridCol w:w="196"/>
        <w:gridCol w:w="511"/>
        <w:gridCol w:w="146"/>
        <w:gridCol w:w="146"/>
        <w:gridCol w:w="146"/>
        <w:gridCol w:w="511"/>
        <w:gridCol w:w="241"/>
        <w:gridCol w:w="146"/>
        <w:gridCol w:w="146"/>
        <w:gridCol w:w="196"/>
        <w:gridCol w:w="511"/>
        <w:gridCol w:w="146"/>
        <w:gridCol w:w="146"/>
        <w:gridCol w:w="146"/>
        <w:gridCol w:w="511"/>
        <w:gridCol w:w="241"/>
        <w:gridCol w:w="146"/>
        <w:gridCol w:w="146"/>
        <w:gridCol w:w="196"/>
        <w:gridCol w:w="511"/>
        <w:gridCol w:w="146"/>
        <w:gridCol w:w="146"/>
        <w:gridCol w:w="146"/>
        <w:gridCol w:w="511"/>
        <w:gridCol w:w="241"/>
        <w:gridCol w:w="146"/>
        <w:gridCol w:w="146"/>
        <w:gridCol w:w="196"/>
        <w:gridCol w:w="511"/>
        <w:gridCol w:w="146"/>
        <w:gridCol w:w="146"/>
        <w:gridCol w:w="146"/>
        <w:gridCol w:w="511"/>
        <w:gridCol w:w="241"/>
        <w:gridCol w:w="191"/>
      </w:tblGrid>
      <w:tr>
        <w:trPr/>
        <w:tc>
          <w:tcPr>
            <w:tcW w:w="140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140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45" w:type="dxa"/>
            <w:gridSpan w:val="1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45" w:type="dxa"/>
            <w:gridSpan w:val="15"/>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Cost</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404"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5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5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5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2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56"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r>
          </w:p>
        </w:tc>
        <w:tc>
          <w:tcPr>
            <w:tcW w:w="241" w:type="dxa"/>
            <w:tcBorders/>
            <w:shd w:fill="auto" w:val="cle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40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Investment Rating</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6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40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1</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11.0</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9.8</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3.7</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3.2</w:t>
            </w:r>
          </w:p>
        </w:tc>
        <w:tc>
          <w:tcPr>
            <w:tcW w:w="24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140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2</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713.4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79.5</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699.4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81.3</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705.9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81.7</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682.9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82.4</w:t>
            </w:r>
          </w:p>
        </w:tc>
        <w:tc>
          <w:tcPr>
            <w:tcW w:w="24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40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3</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9.2</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73.9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8.6</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11.7</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94.4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11.4</w:t>
            </w:r>
          </w:p>
        </w:tc>
        <w:tc>
          <w:tcPr>
            <w:tcW w:w="24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40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4</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24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41" w:type="dxa"/>
            <w:tcBorders/>
            <w:shd w:fill="auto" w:val="cle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40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5</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24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91" w:type="dxa"/>
            <w:tcBorders/>
            <w:shd w:fill="auto" w:val="clear"/>
            <w:vAlign w:val="center"/>
          </w:tcPr>
          <w:p>
            <w:pPr>
              <w:pStyle w:val="TableContents"/>
              <w:spacing w:before="0" w:after="0"/>
              <w:ind w:left="0" w:right="0" w:hanging="0"/>
              <w:jc w:val="left"/>
              <w:rPr/>
            </w:pPr>
            <w:r>
              <w:rPr/>
              <w:t> </w:t>
            </w:r>
          </w:p>
        </w:tc>
      </w:tr>
      <w:tr>
        <w:trPr/>
        <w:tc>
          <w:tcPr>
            <w:tcW w:w="140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897.3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860.3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865.0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828.7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100.0</w:t>
            </w:r>
          </w:p>
        </w:tc>
        <w:tc>
          <w:tcPr>
            <w:tcW w:w="24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47</w:t>
      </w:r>
    </w:p>
    <w:p>
      <w:pPr>
        <w:pStyle w:val="HorizontalLine"/>
        <w:rPr/>
      </w:pPr>
      <w:r>
        <w:rPr/>
      </w:r>
    </w:p>
    <w:p>
      <w:pPr>
        <w:pStyle w:val="TextBody"/>
        <w:spacing w:before="0" w:after="0"/>
        <w:jc w:val="left"/>
        <w:rPr/>
      </w:pPr>
      <w:r>
        <w:rPr/>
        <w:t> </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Based on our investment rating system, the weighted average rating of our portfolio as of March 31, 2023 and December 31, 2022 was 2.0 and 2.0, respectively, on a fair value basis and 2.2 and 2.2, respectively, on a cost basis.</w:t>
      </w:r>
    </w:p>
    <w:p>
      <w:pPr>
        <w:pStyle w:val="TextBody"/>
        <w:spacing w:before="180" w:after="180"/>
        <w:jc w:val="both"/>
        <w:rPr>
          <w:rFonts w:ascii="Times New Roman;serif" w:hAnsi="Times New Roman;serif"/>
          <w:b w:val="false"/>
          <w:i/>
          <w:sz w:val="20"/>
        </w:rPr>
      </w:pPr>
      <w:r>
        <w:rPr>
          <w:rFonts w:ascii="Times New Roman;serif" w:hAnsi="Times New Roman;serif"/>
          <w:b w:val="false"/>
          <w:i/>
          <w:sz w:val="20"/>
        </w:rPr>
        <w:t>Non-Accrual</w:t>
      </w:r>
    </w:p>
    <w:p>
      <w:pPr>
        <w:pStyle w:val="TextBody"/>
        <w:spacing w:before="120" w:after="120"/>
        <w:jc w:val="both"/>
        <w:rPr>
          <w:rFonts w:ascii="Times New Roman;serif" w:hAnsi="Times New Roman;serif"/>
          <w:b w:val="false"/>
          <w:sz w:val="20"/>
        </w:rPr>
      </w:pPr>
      <w:r>
        <w:rPr>
          <w:rFonts w:ascii="Times New Roman;serif" w:hAnsi="Times New Roman;serif"/>
          <w:b w:val="false"/>
          <w:sz w:val="20"/>
        </w:rPr>
        <w:t>As of March 31, 2023, we had debt investments in five portfolio companies on non-accrual status. As of December 31, 2022, we had debt investments in four portfolio companies on non-accrual status (dollars in millions).</w:t>
      </w:r>
    </w:p>
    <w:tbl>
      <w:tblPr>
        <w:tblW w:w="6718" w:type="dxa"/>
        <w:jc w:val="left"/>
        <w:tblInd w:w="0" w:type="dxa"/>
        <w:tblCellMar>
          <w:top w:w="28" w:type="dxa"/>
          <w:left w:w="28" w:type="dxa"/>
          <w:bottom w:w="28" w:type="dxa"/>
          <w:right w:w="28" w:type="dxa"/>
        </w:tblCellMar>
      </w:tblPr>
      <w:tblGrid>
        <w:gridCol w:w="3091"/>
        <w:gridCol w:w="146"/>
        <w:gridCol w:w="166"/>
        <w:gridCol w:w="346"/>
        <w:gridCol w:w="146"/>
        <w:gridCol w:w="146"/>
        <w:gridCol w:w="166"/>
        <w:gridCol w:w="316"/>
        <w:gridCol w:w="146"/>
        <w:gridCol w:w="146"/>
        <w:gridCol w:w="166"/>
        <w:gridCol w:w="346"/>
        <w:gridCol w:w="146"/>
        <w:gridCol w:w="271"/>
        <w:gridCol w:w="166"/>
        <w:gridCol w:w="346"/>
        <w:gridCol w:w="146"/>
        <w:gridCol w:w="316"/>
      </w:tblGrid>
      <w:tr>
        <w:trPr/>
        <w:tc>
          <w:tcPr>
            <w:tcW w:w="30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0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8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1"/>
              </w:rPr>
            </w:pPr>
            <w:r>
              <w:rPr>
                <w:rFonts w:ascii="Times New Roman;serif" w:hAnsi="Times New Roman;serif"/>
                <w:b/>
                <w:sz w:val="11"/>
              </w:rPr>
              <w:t>March 31, 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4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1"/>
              </w:rPr>
            </w:pPr>
            <w:r>
              <w:rPr>
                <w:rFonts w:ascii="Times New Roman;serif" w:hAnsi="Times New Roman;serif"/>
                <w:b/>
                <w:sz w:val="11"/>
              </w:rPr>
              <w:t>December 31, 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2" w:type="dxa"/>
            <w:gridSpan w:val="2"/>
            <w:tcBorders/>
            <w:shd w:fill="auto" w:val="clear"/>
            <w:vAlign w:val="center"/>
          </w:tcPr>
          <w:p>
            <w:pPr>
              <w:pStyle w:val="TableContents"/>
              <w:spacing w:before="0" w:after="0"/>
              <w:ind w:left="0" w:right="0" w:hanging="0"/>
              <w:jc w:val="center"/>
              <w:rPr>
                <w:rFonts w:ascii="Times New Roman;serif" w:hAnsi="Times New Roman;serif"/>
                <w:b/>
                <w:sz w:val="11"/>
              </w:rPr>
            </w:pPr>
            <w:r>
              <w:rPr>
                <w:rFonts w:ascii="Times New Roman;serif" w:hAnsi="Times New Roman;serif"/>
                <w:b/>
                <w:sz w:val="11"/>
              </w:rPr>
              <w:t>Fair</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8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2" w:type="dxa"/>
            <w:gridSpan w:val="2"/>
            <w:tcBorders/>
            <w:shd w:fill="auto" w:val="clear"/>
            <w:vAlign w:val="center"/>
          </w:tcPr>
          <w:p>
            <w:pPr>
              <w:pStyle w:val="TableContents"/>
              <w:spacing w:before="0" w:after="0"/>
              <w:ind w:left="0" w:right="0" w:hanging="0"/>
              <w:jc w:val="center"/>
              <w:rPr>
                <w:rFonts w:ascii="Times New Roman;serif" w:hAnsi="Times New Roman;serif"/>
                <w:b/>
                <w:sz w:val="11"/>
              </w:rPr>
            </w:pPr>
            <w:r>
              <w:rPr>
                <w:rFonts w:ascii="Times New Roman;serif" w:hAnsi="Times New Roman;serif"/>
                <w:b/>
                <w:sz w:val="11"/>
              </w:rPr>
              <w:t>Fair</w:t>
            </w:r>
          </w:p>
        </w:tc>
        <w:tc>
          <w:tcPr>
            <w:tcW w:w="146" w:type="dxa"/>
            <w:tcBorders/>
            <w:shd w:fill="auto" w:val="cle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center"/>
              <w:rPr/>
            </w:pPr>
            <w:r>
              <w:rPr/>
              <w:t> </w:t>
            </w:r>
          </w:p>
        </w:tc>
        <w:tc>
          <w:tcPr>
            <w:tcW w:w="51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30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1"/>
              </w:rPr>
            </w:pPr>
            <w:r>
              <w:rPr>
                <w:rFonts w:ascii="Times New Roman;serif" w:hAnsi="Times New Roman;serif"/>
                <w:b/>
                <w:sz w:val="11"/>
              </w:rPr>
              <w:t>Portfolio Company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5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1"/>
              </w:rPr>
            </w:pPr>
            <w:r>
              <w:rPr>
                <w:rFonts w:ascii="Times New Roman;serif" w:hAnsi="Times New Roman;serif"/>
                <w:b/>
                <w:sz w:val="11"/>
              </w:rP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4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1"/>
              </w:rPr>
            </w:pPr>
            <w:r>
              <w:rPr>
                <w:rFonts w:ascii="Times New Roman;serif" w:hAnsi="Times New Roman;serif"/>
                <w:b/>
                <w:sz w:val="11"/>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1"/>
              </w:rPr>
            </w:pPr>
            <w:r>
              <w:rPr>
                <w:rFonts w:ascii="Times New Roman;serif" w:hAnsi="Times New Roman;serif"/>
                <w:b/>
                <w:sz w:val="11"/>
              </w:rPr>
              <w:t>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71" w:type="dxa"/>
            <w:tcBorders/>
            <w:shd w:fill="auto" w:val="clear"/>
            <w:vAlign w:val="center"/>
          </w:tcPr>
          <w:p>
            <w:pPr>
              <w:pStyle w:val="TableContents"/>
              <w:spacing w:before="0" w:after="0"/>
              <w:ind w:left="0" w:right="0" w:hanging="0"/>
              <w:jc w:val="center"/>
              <w:rPr/>
            </w:pPr>
            <w:r>
              <w:rPr/>
              <w:t> </w:t>
            </w:r>
          </w:p>
        </w:tc>
        <w:tc>
          <w:tcPr>
            <w:tcW w:w="51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1"/>
              </w:rPr>
            </w:pPr>
            <w:r>
              <w:rPr>
                <w:rFonts w:ascii="Times New Roman;serif" w:hAnsi="Times New Roman;serif"/>
                <w:b/>
                <w:sz w:val="11"/>
              </w:rP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11"/>
              </w:rPr>
            </w:pPr>
            <w:r>
              <w:rPr>
                <w:rFonts w:ascii="Times New Roman;serif" w:hAnsi="Times New Roman;serif"/>
                <w:b w:val="false"/>
                <w:sz w:val="11"/>
              </w:rPr>
              <w:t>EBL, LLC (EbLens)</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1"/>
              </w:rPr>
            </w:pPr>
            <w:r>
              <w:rPr>
                <w:rFonts w:ascii="Times New Roman;serif" w:hAnsi="Times New Roman;serif"/>
                <w:b w:val="false"/>
                <w:sz w:val="11"/>
              </w:rPr>
              <w:t>$</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1"/>
              </w:rPr>
            </w:pPr>
            <w:r>
              <w:rPr>
                <w:rFonts w:ascii="Times New Roman;serif" w:hAnsi="Times New Roman;serif"/>
                <w:b w:val="false"/>
                <w:sz w:val="11"/>
              </w:rPr>
              <w:t>$</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11"/>
              </w:rPr>
            </w:pPr>
            <w:r>
              <w:rPr>
                <w:rFonts w:ascii="Times New Roman;serif" w:hAnsi="Times New Roman;serif"/>
                <w:b w:val="false"/>
                <w:sz w:val="11"/>
              </w:rPr>
              <w:t>9.3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1"/>
              </w:rPr>
            </w:pPr>
            <w:r>
              <w:rPr>
                <w:rFonts w:ascii="Times New Roman;serif" w:hAnsi="Times New Roman;serif"/>
                <w:b w:val="false"/>
                <w:sz w:val="11"/>
              </w:rPr>
              <w:t>$</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1"/>
              </w:rPr>
            </w:pPr>
            <w:r>
              <w:rPr>
                <w:rFonts w:ascii="Times New Roman;serif" w:hAnsi="Times New Roman;serif"/>
                <w:b w:val="false"/>
                <w:sz w:val="11"/>
              </w:rPr>
              <w:t>$</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1"/>
              </w:rPr>
            </w:pPr>
            <w:r>
              <w:rPr>
                <w:rFonts w:ascii="Times New Roman;serif" w:hAnsi="Times New Roman;serif"/>
                <w:b w:val="false"/>
                <w:sz w:val="11"/>
              </w:rPr>
              <w:t>9.3</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11"/>
              </w:rPr>
            </w:pPr>
            <w:r>
              <w:rPr>
                <w:rFonts w:ascii="Times New Roman;serif" w:hAnsi="Times New Roman;serif"/>
                <w:b w:val="false"/>
                <w:sz w:val="11"/>
              </w:rPr>
              <w:t>US GreenFiber, LLC</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11"/>
              </w:rPr>
            </w:pPr>
            <w:r>
              <w:rPr>
                <w:rFonts w:ascii="Times New Roman;serif" w:hAnsi="Times New Roman;serif"/>
                <w:b w:val="false"/>
                <w:sz w:val="11"/>
              </w:rPr>
              <w:t>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1"/>
              </w:rPr>
            </w:pPr>
            <w:r>
              <w:rPr>
                <w:rFonts w:ascii="Times New Roman;serif" w:hAnsi="Times New Roman;serif"/>
                <w:b w:val="false"/>
                <w:sz w:val="11"/>
              </w:rPr>
              <w:t>5.2</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11"/>
              </w:rPr>
            </w:pPr>
            <w:r>
              <w:rPr>
                <w:rFonts w:ascii="Times New Roman;serif" w:hAnsi="Times New Roman;serif"/>
                <w:b w:val="false"/>
                <w:sz w:val="11"/>
              </w:rPr>
              <w:t>K2 Merger Agreement Agent, LLC (fka K2 Industrial Services, Inc.)</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1"/>
              </w:rPr>
            </w:pPr>
            <w:r>
              <w:rPr>
                <w:rFonts w:ascii="Times New Roman;serif" w:hAnsi="Times New Roman;serif"/>
                <w:b w:val="false"/>
                <w:sz w:val="11"/>
              </w:rPr>
              <w:t>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11"/>
              </w:rPr>
            </w:pPr>
            <w:r>
              <w:rPr>
                <w:rFonts w:ascii="Times New Roman;serif" w:hAnsi="Times New Roman;serif"/>
                <w:b w:val="false"/>
                <w:sz w:val="11"/>
              </w:rPr>
              <w:t>2.4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1"/>
              </w:rPr>
            </w:pPr>
            <w:r>
              <w:rPr>
                <w:rFonts w:ascii="Times New Roman;serif" w:hAnsi="Times New Roman;serif"/>
                <w:b w:val="false"/>
                <w:sz w:val="11"/>
              </w:rPr>
              <w:t>2.1</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1"/>
              </w:rPr>
            </w:pPr>
            <w:r>
              <w:rPr>
                <w:rFonts w:ascii="Times New Roman;serif" w:hAnsi="Times New Roman;serif"/>
                <w:b w:val="false"/>
                <w:sz w:val="11"/>
              </w:rPr>
              <w:t>2.4</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11"/>
              </w:rPr>
            </w:pPr>
            <w:r>
              <w:rPr>
                <w:rFonts w:ascii="Times New Roman;serif" w:hAnsi="Times New Roman;serif"/>
                <w:b w:val="false"/>
                <w:sz w:val="11"/>
              </w:rPr>
              <w:t>Allredi, LLC (fka Marco Group International OpCo, LLC)</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1"/>
              </w:rPr>
            </w:pPr>
            <w:r>
              <w:rPr>
                <w:rFonts w:ascii="Times New Roman;serif" w:hAnsi="Times New Roman;serif"/>
                <w:b w:val="false"/>
                <w:sz w:val="11"/>
              </w:rPr>
              <w:t>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right"/>
              <w:rPr>
                <w:rFonts w:ascii="Times New Roman;serif" w:hAnsi="Times New Roman;serif"/>
                <w:b w:val="false"/>
                <w:sz w:val="11"/>
              </w:rPr>
            </w:pPr>
            <w:r>
              <w:rPr>
                <w:rFonts w:ascii="Times New Roman;serif" w:hAnsi="Times New Roman;serif"/>
                <w:b w:val="false"/>
                <w:sz w:val="11"/>
              </w:rPr>
              <w:t>10.3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1"/>
              </w:rPr>
            </w:pPr>
            <w:r>
              <w:rPr>
                <w:rFonts w:ascii="Times New Roman;serif" w:hAnsi="Times New Roman;serif"/>
                <w:b w:val="false"/>
                <w:sz w:val="11"/>
              </w:rPr>
              <w:t>8.2</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346" w:type="dxa"/>
            <w:tcBorders/>
            <w:shd w:fill="auto" w:val="clear"/>
            <w:vAlign w:val="center"/>
          </w:tcPr>
          <w:p>
            <w:pPr>
              <w:pStyle w:val="TableContents"/>
              <w:spacing w:before="0" w:after="0"/>
              <w:ind w:left="0" w:right="0" w:hanging="0"/>
              <w:jc w:val="right"/>
              <w:rPr>
                <w:rFonts w:ascii="Times New Roman;serif" w:hAnsi="Times New Roman;serif"/>
                <w:b w:val="false"/>
                <w:sz w:val="11"/>
              </w:rPr>
            </w:pPr>
            <w:r>
              <w:rPr>
                <w:rFonts w:ascii="Times New Roman;serif" w:hAnsi="Times New Roman;serif"/>
                <w:b w:val="false"/>
                <w:sz w:val="11"/>
              </w:rPr>
              <w:t>10.3</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11"/>
              </w:rPr>
            </w:pPr>
            <w:r>
              <w:rPr>
                <w:rFonts w:ascii="Times New Roman;serif" w:hAnsi="Times New Roman;serif"/>
                <w:b w:val="false"/>
                <w:sz w:val="11"/>
              </w:rPr>
              <w:t>Suited Connector LLC</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1"/>
              </w:rPr>
            </w:pPr>
            <w:r>
              <w:rPr>
                <w:rFonts w:ascii="Times New Roman;serif" w:hAnsi="Times New Roman;serif"/>
                <w:b w:val="false"/>
                <w:sz w:val="11"/>
              </w:rPr>
              <w:t>9.6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1"/>
              </w:rPr>
            </w:pPr>
            <w:r>
              <w:rPr>
                <w:rFonts w:ascii="Times New Roman;serif" w:hAnsi="Times New Roman;serif"/>
                <w:b w:val="false"/>
                <w:sz w:val="11"/>
              </w:rPr>
              <w:t>15.9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7"/>
              </w:rPr>
              <w:t>(1)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7"/>
              </w:rPr>
              <w:t>(1)</w:t>
            </w:r>
          </w:p>
        </w:tc>
      </w:tr>
      <w:tr>
        <w:trPr/>
        <w:tc>
          <w:tcPr>
            <w:tcW w:w="3091" w:type="dxa"/>
            <w:tcBorders/>
            <w:shd w:fill="auto" w:val="clear"/>
            <w:vAlign w:val="center"/>
          </w:tcPr>
          <w:p>
            <w:pPr>
              <w:pStyle w:val="TableContents"/>
              <w:spacing w:before="0" w:after="0"/>
              <w:ind w:left="0" w:right="0" w:hanging="0"/>
              <w:jc w:val="left"/>
              <w:rPr>
                <w:rFonts w:ascii="Times New Roman;serif" w:hAnsi="Times New Roman;serif"/>
                <w:b w:val="false"/>
                <w:sz w:val="11"/>
              </w:rPr>
            </w:pPr>
            <w:r>
              <w:rPr>
                <w:rFonts w:ascii="Times New Roman;serif" w:hAnsi="Times New Roman;serif"/>
                <w:b w:val="false"/>
                <w:sz w:val="11"/>
              </w:rPr>
              <w:t>Total</w:t>
            </w:r>
          </w:p>
        </w:tc>
        <w:tc>
          <w:tcPr>
            <w:tcW w:w="146"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1"/>
              </w:rPr>
            </w:pPr>
            <w:r>
              <w:rPr>
                <w:rFonts w:ascii="Times New Roman;serif" w:hAnsi="Times New Roman;serif"/>
                <w:b w:val="false"/>
                <w:sz w:val="11"/>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1"/>
              </w:rPr>
            </w:pPr>
            <w:r>
              <w:rPr>
                <w:rFonts w:ascii="Times New Roman;serif" w:hAnsi="Times New Roman;serif"/>
                <w:b w:val="false"/>
                <w:sz w:val="11"/>
              </w:rPr>
              <w:t>20.5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1"/>
              </w:rPr>
            </w:pPr>
            <w:r>
              <w:rPr>
                <w:rFonts w:ascii="Times New Roman;serif" w:hAnsi="Times New Roman;serif"/>
                <w:b w:val="false"/>
                <w:sz w:val="11"/>
              </w:rPr>
              <w:t>$</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1"/>
              </w:rPr>
            </w:pPr>
            <w:r>
              <w:rPr>
                <w:rFonts w:ascii="Times New Roman;serif" w:hAnsi="Times New Roman;serif"/>
                <w:b w:val="false"/>
                <w:sz w:val="11"/>
              </w:rPr>
              <w:t>43.1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1"/>
              </w:rPr>
            </w:pPr>
            <w:r>
              <w:rPr>
                <w:rFonts w:ascii="Times New Roman;serif" w:hAnsi="Times New Roman;serif"/>
                <w:b w:val="false"/>
                <w:sz w:val="11"/>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1"/>
              </w:rPr>
            </w:pPr>
            <w:r>
              <w:rPr>
                <w:rFonts w:ascii="Times New Roman;serif" w:hAnsi="Times New Roman;serif"/>
                <w:b w:val="false"/>
                <w:sz w:val="11"/>
              </w:rPr>
              <w:t>10.3</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1"/>
              </w:rPr>
            </w:pPr>
            <w:r>
              <w:rPr>
                <w:rFonts w:ascii="Times New Roman;serif" w:hAnsi="Times New Roman;serif"/>
                <w:b w:val="false"/>
                <w:sz w:val="11"/>
              </w:rPr>
              <w:t>$</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1"/>
              </w:rPr>
            </w:pPr>
            <w:r>
              <w:rPr>
                <w:rFonts w:ascii="Times New Roman;serif" w:hAnsi="Times New Roman;serif"/>
                <w:b w:val="false"/>
                <w:sz w:val="11"/>
              </w:rPr>
              <w:t>27.2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rFonts w:ascii="Times New Roman;serif" w:hAnsi="Times New Roman;serif"/>
          <w:b w:val="false"/>
          <w:sz w:val="16"/>
        </w:rPr>
      </w:pPr>
      <w:r>
        <w:rPr>
          <w:rFonts w:ascii="Times New Roman;serif" w:hAnsi="Times New Roman;serif"/>
          <w:b w:val="false"/>
          <w:sz w:val="16"/>
        </w:rPr>
        <w:t>(1) Debt investment in portfolio company was not on non-accrual status at December 31, 2022.</w:t>
      </w:r>
    </w:p>
    <w:p>
      <w:pPr>
        <w:pStyle w:val="TextBody"/>
        <w:spacing w:before="180" w:after="180"/>
        <w:jc w:val="both"/>
        <w:rPr>
          <w:rFonts w:ascii="Times New Roman" w:hAnsi="Times New Roman"/>
          <w:sz w:val="20"/>
        </w:rPr>
      </w:pPr>
      <w:r>
        <w:rPr>
          <w:rFonts w:ascii="Times New Roman;serif" w:hAnsi="Times New Roman;serif"/>
          <w:b/>
          <w:sz w:val="20"/>
        </w:rPr>
        <w:t>Discussion and Analysis of Results of Operations</w:t>
      </w:r>
      <w:r>
        <w:rPr>
          <w:rFonts w:ascii="Times New Roman" w:hAnsi="Times New Roman"/>
          <w:sz w:val="20"/>
        </w:rPr>
        <w:t xml:space="preserve"> </w:t>
      </w:r>
    </w:p>
    <w:p>
      <w:pPr>
        <w:pStyle w:val="TextBody"/>
        <w:spacing w:before="180" w:after="0"/>
        <w:jc w:val="left"/>
        <w:rPr>
          <w:rFonts w:ascii="Times New Roman;serif" w:hAnsi="Times New Roman;serif"/>
          <w:b/>
          <w:i/>
          <w:sz w:val="20"/>
        </w:rPr>
      </w:pPr>
      <w:r>
        <w:rPr>
          <w:rFonts w:ascii="Times New Roman;serif" w:hAnsi="Times New Roman;serif"/>
          <w:b/>
          <w:i/>
          <w:sz w:val="20"/>
        </w:rPr>
        <w:t>Comparison of three months ended March 31, 2023 and 2022</w:t>
      </w:r>
    </w:p>
    <w:p>
      <w:pPr>
        <w:pStyle w:val="TextBody"/>
        <w:spacing w:before="180" w:after="0"/>
        <w:jc w:val="left"/>
        <w:rPr>
          <w:rFonts w:ascii="Times New Roman;serif" w:hAnsi="Times New Roman;serif"/>
          <w:b w:val="false"/>
          <w:i/>
          <w:sz w:val="20"/>
        </w:rPr>
      </w:pPr>
      <w:r>
        <w:rPr>
          <w:rFonts w:ascii="Times New Roman;serif" w:hAnsi="Times New Roman;serif"/>
          <w:b w:val="false"/>
          <w:i/>
          <w:sz w:val="20"/>
        </w:rPr>
        <w:t>Investment Income</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Below is a summary of the changes in total investment income for the three months ended March 31, 2023 as compared to the same period in 2022 (dollars in millions, percent change calculated based on underlying dollar amounts in thousands):</w:t>
      </w:r>
    </w:p>
    <w:tbl>
      <w:tblPr>
        <w:tblW w:w="8296" w:type="dxa"/>
        <w:jc w:val="left"/>
        <w:tblInd w:w="0" w:type="dxa"/>
        <w:tblCellMar>
          <w:top w:w="28" w:type="dxa"/>
          <w:left w:w="28" w:type="dxa"/>
          <w:bottom w:w="28" w:type="dxa"/>
          <w:right w:w="28" w:type="dxa"/>
        </w:tblCellMar>
      </w:tblPr>
      <w:tblGrid>
        <w:gridCol w:w="2851"/>
        <w:gridCol w:w="146"/>
        <w:gridCol w:w="308"/>
        <w:gridCol w:w="662"/>
        <w:gridCol w:w="229"/>
        <w:gridCol w:w="229"/>
        <w:gridCol w:w="308"/>
        <w:gridCol w:w="662"/>
        <w:gridCol w:w="146"/>
        <w:gridCol w:w="146"/>
        <w:gridCol w:w="265"/>
        <w:gridCol w:w="531"/>
        <w:gridCol w:w="166"/>
        <w:gridCol w:w="146"/>
        <w:gridCol w:w="268"/>
        <w:gridCol w:w="887"/>
        <w:gridCol w:w="346"/>
      </w:tblGrid>
      <w:tr>
        <w:trPr/>
        <w:tc>
          <w:tcPr>
            <w:tcW w:w="28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66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r>
      <w:tr>
        <w:trPr/>
        <w:tc>
          <w:tcPr>
            <w:tcW w:w="28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55" w:type="dxa"/>
            <w:gridSpan w:val="2"/>
            <w:tcBorders/>
            <w:shd w:fill="auto" w:val="clear"/>
            <w:vAlign w:val="center"/>
          </w:tcPr>
          <w:p>
            <w:pPr>
              <w:pStyle w:val="TableContents"/>
              <w:spacing w:before="0" w:after="0"/>
              <w:ind w:left="0" w:right="0" w:hanging="0"/>
              <w:jc w:val="center"/>
              <w:rPr/>
            </w:pPr>
            <w:r>
              <w:rPr/>
              <w:t> </w:t>
            </w:r>
          </w:p>
        </w:tc>
        <w:tc>
          <w:tcPr>
            <w:tcW w:w="346" w:type="dxa"/>
            <w:tcBorders/>
            <w:shd w:fill="auto" w:val="clear"/>
            <w:vAlign w:val="center"/>
          </w:tcPr>
          <w:p>
            <w:pPr>
              <w:pStyle w:val="TableContents"/>
              <w:spacing w:before="0" w:after="0"/>
              <w:ind w:left="0" w:right="0" w:hanging="0"/>
              <w:jc w:val="center"/>
              <w:rPr/>
            </w:pPr>
            <w:r>
              <w:rPr/>
              <w:t> </w:t>
            </w:r>
          </w:p>
        </w:tc>
      </w:tr>
      <w:tr>
        <w:trPr/>
        <w:tc>
          <w:tcPr>
            <w:tcW w:w="28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29" w:type="dxa"/>
            <w:tcBorders/>
            <w:shd w:fill="auto" w:val="clear"/>
            <w:vAlign w:val="center"/>
          </w:tcPr>
          <w:p>
            <w:pPr>
              <w:pStyle w:val="TableContents"/>
              <w:spacing w:before="0" w:after="0"/>
              <w:ind w:left="0" w:right="0" w:hanging="0"/>
              <w:jc w:val="center"/>
              <w:rPr/>
            </w:pPr>
            <w:r>
              <w:rPr/>
              <w:t> </w:t>
            </w:r>
          </w:p>
        </w:tc>
        <w:tc>
          <w:tcPr>
            <w:tcW w:w="9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 xml:space="preserve">% Change </w:t>
            </w:r>
            <w:r>
              <w:rPr>
                <w:rFonts w:ascii="Times New Roman;serif" w:hAnsi="Times New Roman;serif"/>
                <w:b/>
                <w:sz w:val="11"/>
              </w:rPr>
              <w:t>(1)(2)</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851"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Interest income</w:t>
            </w:r>
          </w:p>
        </w:tc>
        <w:tc>
          <w:tcPr>
            <w:tcW w:w="146" w:type="dxa"/>
            <w:tcBorders/>
            <w:shd w:fill="auto" w:val="clear"/>
            <w:vAlign w:val="center"/>
          </w:tcPr>
          <w:p>
            <w:pPr>
              <w:pStyle w:val="TableContents"/>
              <w:spacing w:before="0" w:after="0"/>
              <w:ind w:left="0" w:right="0" w:hanging="0"/>
              <w:jc w:val="both"/>
              <w:rPr/>
            </w:pPr>
            <w:r>
              <w:rPr/>
              <w:t> </w:t>
            </w:r>
          </w:p>
        </w:tc>
        <w:tc>
          <w:tcPr>
            <w:tcW w:w="30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26.0</w:t>
            </w:r>
          </w:p>
        </w:tc>
        <w:tc>
          <w:tcPr>
            <w:tcW w:w="229"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3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88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52.0</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851"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Payment-in-kind interest income</w:t>
            </w:r>
          </w:p>
        </w:tc>
        <w:tc>
          <w:tcPr>
            <w:tcW w:w="146" w:type="dxa"/>
            <w:tcBorders/>
            <w:shd w:fill="auto" w:val="clear"/>
            <w:vAlign w:val="center"/>
          </w:tcPr>
          <w:p>
            <w:pPr>
              <w:pStyle w:val="TableContents"/>
              <w:spacing w:before="0" w:after="0"/>
              <w:ind w:left="0" w:right="0" w:hanging="0"/>
              <w:jc w:val="both"/>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66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0.6</w:t>
            </w:r>
          </w:p>
        </w:tc>
        <w:tc>
          <w:tcPr>
            <w:tcW w:w="229"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66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53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88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16.5</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851"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Dividend income</w:t>
            </w:r>
          </w:p>
        </w:tc>
        <w:tc>
          <w:tcPr>
            <w:tcW w:w="146"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66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229"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66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53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88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(44.3</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851"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Fee income</w:t>
            </w:r>
          </w:p>
        </w:tc>
        <w:tc>
          <w:tcPr>
            <w:tcW w:w="146" w:type="dxa"/>
            <w:tcBorders/>
            <w:shd w:fill="auto" w:val="clear"/>
            <w:vAlign w:val="center"/>
          </w:tcPr>
          <w:p>
            <w:pPr>
              <w:pStyle w:val="TableContents"/>
              <w:spacing w:before="0" w:after="0"/>
              <w:ind w:left="0" w:right="0" w:hanging="0"/>
              <w:jc w:val="both"/>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66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229"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308" w:type="dxa"/>
            <w:tcBorders/>
            <w:shd w:fill="auto" w:val="clear"/>
            <w:vAlign w:val="center"/>
          </w:tcPr>
          <w:p>
            <w:pPr>
              <w:pStyle w:val="TableContents"/>
              <w:spacing w:before="0" w:after="0"/>
              <w:ind w:left="0" w:right="0" w:hanging="0"/>
              <w:jc w:val="left"/>
              <w:rPr/>
            </w:pPr>
            <w:r>
              <w:rPr/>
              <w:t> </w:t>
            </w:r>
          </w:p>
        </w:tc>
        <w:tc>
          <w:tcPr>
            <w:tcW w:w="662"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53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shd w:fill="auto" w:val="clear"/>
            <w:vAlign w:val="center"/>
          </w:tcPr>
          <w:p>
            <w:pPr>
              <w:pStyle w:val="TableContents"/>
              <w:spacing w:before="0" w:after="0"/>
              <w:ind w:left="0" w:right="0" w:hanging="0"/>
              <w:jc w:val="left"/>
              <w:rPr/>
            </w:pPr>
            <w:r>
              <w:rPr/>
              <w:t> </w:t>
            </w:r>
          </w:p>
        </w:tc>
        <w:tc>
          <w:tcPr>
            <w:tcW w:w="887"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(34.7</w:t>
            </w:r>
          </w:p>
        </w:tc>
        <w:tc>
          <w:tcPr>
            <w:tcW w:w="3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2851"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Interest on idle funds and other income</w:t>
            </w:r>
          </w:p>
        </w:tc>
        <w:tc>
          <w:tcPr>
            <w:tcW w:w="146" w:type="dxa"/>
            <w:tcBorders/>
            <w:shd w:fill="auto" w:val="clear"/>
            <w:vAlign w:val="center"/>
          </w:tcPr>
          <w:p>
            <w:pPr>
              <w:pStyle w:val="TableContents"/>
              <w:spacing w:before="0" w:after="0"/>
              <w:ind w:left="0" w:right="0" w:hanging="0"/>
              <w:jc w:val="both"/>
              <w:rPr/>
            </w:pPr>
            <w:r>
              <w:rPr/>
              <w:t> </w:t>
            </w:r>
          </w:p>
        </w:tc>
        <w:tc>
          <w:tcPr>
            <w:tcW w:w="3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0.7</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30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5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NM</w:t>
            </w:r>
          </w:p>
        </w:tc>
        <w:tc>
          <w:tcPr>
            <w:tcW w:w="3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2851"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Total investment income</w:t>
            </w:r>
          </w:p>
        </w:tc>
        <w:tc>
          <w:tcPr>
            <w:tcW w:w="146" w:type="dxa"/>
            <w:tcBorders/>
            <w:shd w:fill="auto" w:val="clear"/>
            <w:vAlign w:val="center"/>
          </w:tcPr>
          <w:p>
            <w:pPr>
              <w:pStyle w:val="TableContents"/>
              <w:spacing w:before="0" w:after="0"/>
              <w:ind w:left="0" w:right="0" w:hanging="0"/>
              <w:jc w:val="both"/>
              <w:rPr/>
            </w:pPr>
            <w:r>
              <w:rPr/>
              <w:t> </w:t>
            </w:r>
          </w:p>
        </w:tc>
        <w:tc>
          <w:tcPr>
            <w:tcW w:w="3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29.1</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30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6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8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41.6</w:t>
            </w:r>
          </w:p>
        </w:tc>
        <w:tc>
          <w:tcPr>
            <w:tcW w:w="3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spacing w:before="0" w:after="0"/>
        <w:jc w:val="both"/>
        <w:rPr/>
      </w:pPr>
      <w:r>
        <w:rPr/>
        <w:t> </w:t>
      </w:r>
    </w:p>
    <w:p>
      <w:pPr>
        <w:pStyle w:val="TextBody"/>
        <w:spacing w:before="0" w:after="0"/>
        <w:jc w:val="both"/>
        <w:rPr>
          <w:rFonts w:ascii="Times New Roman;serif" w:hAnsi="Times New Roman;serif"/>
          <w:b w:val="false"/>
          <w:sz w:val="16"/>
        </w:rPr>
      </w:pPr>
      <w:r>
        <w:rPr>
          <w:rFonts w:ascii="Times New Roman;serif" w:hAnsi="Times New Roman;serif"/>
          <w:b w:val="false"/>
          <w:sz w:val="16"/>
        </w:rPr>
        <w:t>(1) NM = Not meaningful</w:t>
      </w:r>
    </w:p>
    <w:p>
      <w:pPr>
        <w:pStyle w:val="TextBody"/>
        <w:spacing w:before="0" w:after="0"/>
        <w:jc w:val="both"/>
        <w:rPr>
          <w:rFonts w:ascii="Times New Roman;serif" w:hAnsi="Times New Roman;serif"/>
          <w:b w:val="false"/>
          <w:sz w:val="16"/>
        </w:rPr>
      </w:pPr>
      <w:r>
        <w:rPr>
          <w:rFonts w:ascii="Times New Roman;serif" w:hAnsi="Times New Roman;serif"/>
          <w:b w:val="false"/>
          <w:sz w:val="16"/>
        </w:rPr>
        <w:t>(2) Percent change calculated based on underlying dollar amounts in thousands as presented on the consolidated statements of operations.</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For the three months ended March 31, 2023, total investment income was $29.1 million, an increase of $8.6 million or 41.6%, from the $20.5 million of total investment income for the three months ended March 31, 2022. As reflected in the table above, the increase is primarily attributable to the following:</w:t>
      </w:r>
    </w:p>
    <w:p>
      <w:pPr>
        <w:pStyle w:val="TextBody"/>
        <w:spacing w:before="180" w:after="0"/>
        <w:jc w:val="both"/>
        <w:rPr/>
      </w:pPr>
      <w:r>
        <w:rPr/>
        <w:t>•</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$9.0 million increase in total interest income (including PIK interest income) resulting from an increase in average debt investment balances and an increase in weighted average yield on debt investment balances outstanding, during 2023 as compared to 2022.</w:t>
      </w:r>
    </w:p>
    <w:p>
      <w:pPr>
        <w:pStyle w:val="TextBody"/>
        <w:spacing w:before="180" w:after="0"/>
        <w:jc w:val="both"/>
        <w:rPr/>
      </w:pPr>
      <w:r>
        <w:rPr/>
        <w:t>•</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$0.3 million decrease in dividend income due to a decrease in distributions received from equity investments.</w:t>
      </w:r>
    </w:p>
    <w:p>
      <w:pPr>
        <w:pStyle w:val="TextBody"/>
        <w:spacing w:before="180" w:after="0"/>
        <w:jc w:val="both"/>
        <w:rPr/>
      </w:pPr>
      <w:r>
        <w:rPr/>
        <w:t>•</w:t>
      </w:r>
    </w:p>
    <w:p>
      <w:pPr>
        <w:pStyle w:val="TextBody"/>
        <w:spacing w:before="180" w:after="283"/>
        <w:jc w:val="both"/>
        <w:rPr>
          <w:rFonts w:ascii="Times New Roman;serif" w:hAnsi="Times New Roman;serif"/>
          <w:b w:val="false"/>
          <w:sz w:val="20"/>
        </w:rPr>
      </w:pPr>
      <w:r>
        <w:rPr>
          <w:rFonts w:ascii="Times New Roman;serif" w:hAnsi="Times New Roman;serif"/>
          <w:b w:val="false"/>
          <w:sz w:val="20"/>
        </w:rPr>
        <w:t>$0.8 million decrease in fee income resulting from a decrease in origination fees, partially offset by an increase in amendment and prepayment fees, during 2023 as compared to 2022.</w:t>
      </w:r>
    </w:p>
    <w:p>
      <w:pPr>
        <w:pStyle w:val="TextBody"/>
        <w:spacing w:before="180" w:after="0"/>
        <w:jc w:val="left"/>
        <w:rPr>
          <w:rFonts w:ascii="Times New Roman;serif" w:hAnsi="Times New Roman;serif"/>
          <w:b w:val="false"/>
          <w:i/>
          <w:sz w:val="20"/>
        </w:rPr>
      </w:pPr>
      <w:r>
        <w:rPr>
          <w:rFonts w:ascii="Times New Roman;serif" w:hAnsi="Times New Roman;serif"/>
          <w:b w:val="false"/>
          <w:i/>
          <w:sz w:val="20"/>
        </w:rPr>
        <w:t>Expenses</w:t>
      </w:r>
    </w:p>
    <w:p>
      <w:pPr>
        <w:pStyle w:val="TextBody"/>
        <w:spacing w:before="180" w:after="200"/>
        <w:jc w:val="both"/>
        <w:rPr>
          <w:rFonts w:ascii="Times New Roman;serif" w:hAnsi="Times New Roman;serif"/>
          <w:b w:val="false"/>
          <w:sz w:val="20"/>
        </w:rPr>
      </w:pPr>
      <w:r>
        <w:rPr>
          <w:rFonts w:ascii="Times New Roman;serif" w:hAnsi="Times New Roman;serif"/>
          <w:b w:val="false"/>
          <w:sz w:val="20"/>
        </w:rPr>
        <w:t>Below is a summary of the changes in total expenses, including income tax provision, for the three months ended March 31, 2023 as compared to the same period in 2022 (dollars in millions, percent change calculated based on underlying dollar amounts in thousands):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48</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4867"/>
        <w:gridCol w:w="146"/>
        <w:gridCol w:w="292"/>
        <w:gridCol w:w="628"/>
        <w:gridCol w:w="247"/>
        <w:gridCol w:w="217"/>
        <w:gridCol w:w="292"/>
        <w:gridCol w:w="628"/>
        <w:gridCol w:w="166"/>
        <w:gridCol w:w="146"/>
        <w:gridCol w:w="265"/>
        <w:gridCol w:w="531"/>
        <w:gridCol w:w="166"/>
        <w:gridCol w:w="146"/>
        <w:gridCol w:w="249"/>
        <w:gridCol w:w="875"/>
        <w:gridCol w:w="344"/>
      </w:tblGrid>
      <w:tr>
        <w:trPr/>
        <w:tc>
          <w:tcPr>
            <w:tcW w:w="4867"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r>
      <w:tr>
        <w:trPr/>
        <w:tc>
          <w:tcPr>
            <w:tcW w:w="486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0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6"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4" w:type="dxa"/>
            <w:gridSpan w:val="2"/>
            <w:tcBorders/>
            <w:shd w:fill="auto" w:val="clear"/>
            <w:vAlign w:val="center"/>
          </w:tcPr>
          <w:p>
            <w:pPr>
              <w:pStyle w:val="TableContents"/>
              <w:spacing w:before="0" w:after="0"/>
              <w:ind w:left="0" w:right="0" w:hanging="0"/>
              <w:jc w:val="center"/>
              <w:rPr/>
            </w:pPr>
            <w:r>
              <w:rPr/>
              <w:t> </w:t>
            </w:r>
          </w:p>
        </w:tc>
        <w:tc>
          <w:tcPr>
            <w:tcW w:w="344" w:type="dxa"/>
            <w:tcBorders/>
            <w:shd w:fill="auto" w:val="clear"/>
            <w:vAlign w:val="center"/>
          </w:tcPr>
          <w:p>
            <w:pPr>
              <w:pStyle w:val="TableContents"/>
              <w:spacing w:before="0" w:after="0"/>
              <w:ind w:left="0" w:right="0" w:hanging="0"/>
              <w:jc w:val="center"/>
              <w:rPr/>
            </w:pPr>
            <w:r>
              <w:rPr/>
              <w:t> </w:t>
            </w:r>
          </w:p>
        </w:tc>
      </w:tr>
      <w:tr>
        <w:trPr/>
        <w:tc>
          <w:tcPr>
            <w:tcW w:w="4867"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17" w:type="dxa"/>
            <w:tcBorders/>
            <w:shd w:fill="auto" w:val="clear"/>
            <w:vAlign w:val="center"/>
          </w:tcPr>
          <w:p>
            <w:pPr>
              <w:pStyle w:val="TableContents"/>
              <w:spacing w:before="0" w:after="0"/>
              <w:ind w:left="0" w:right="0" w:hanging="0"/>
              <w:jc w:val="center"/>
              <w:rPr/>
            </w:pPr>
            <w:r>
              <w:rPr/>
              <w:t> </w:t>
            </w:r>
          </w:p>
        </w:tc>
        <w:tc>
          <w:tcPr>
            <w:tcW w:w="92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 Change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12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 xml:space="preserve">% Change </w:t>
            </w:r>
            <w:r>
              <w:rPr>
                <w:rFonts w:ascii="Times New Roman;serif" w:hAnsi="Times New Roman;serif"/>
                <w:b/>
                <w:sz w:val="11"/>
              </w:rPr>
              <w:t>(1)(2)</w:t>
            </w:r>
          </w:p>
        </w:tc>
        <w:tc>
          <w:tcPr>
            <w:tcW w:w="3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67"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Interest and financing expenses</w:t>
            </w:r>
          </w:p>
        </w:tc>
        <w:tc>
          <w:tcPr>
            <w:tcW w:w="146" w:type="dxa"/>
            <w:tcBorders/>
            <w:shd w:fill="auto" w:val="clear"/>
            <w:vAlign w:val="center"/>
          </w:tcPr>
          <w:p>
            <w:pPr>
              <w:pStyle w:val="TableContents"/>
              <w:spacing w:before="0" w:after="0"/>
              <w:ind w:left="0" w:right="0" w:hanging="0"/>
              <w:jc w:val="both"/>
              <w:rPr/>
            </w:pPr>
            <w:r>
              <w:rPr/>
              <w:t> </w:t>
            </w:r>
          </w:p>
        </w:tc>
        <w:tc>
          <w:tcPr>
            <w:tcW w:w="29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2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5.2</w:t>
            </w:r>
          </w:p>
        </w:tc>
        <w:tc>
          <w:tcPr>
            <w:tcW w:w="247"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2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26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3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7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17.5</w:t>
            </w:r>
          </w:p>
        </w:tc>
        <w:tc>
          <w:tcPr>
            <w:tcW w:w="34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867"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Base management fee</w:t>
            </w:r>
          </w:p>
        </w:tc>
        <w:tc>
          <w:tcPr>
            <w:tcW w:w="146" w:type="dxa"/>
            <w:tcBorders/>
            <w:shd w:fill="auto" w:val="clear"/>
            <w:vAlign w:val="center"/>
          </w:tcPr>
          <w:p>
            <w:pPr>
              <w:pStyle w:val="TableContents"/>
              <w:spacing w:before="0" w:after="0"/>
              <w:ind w:left="0" w:right="0" w:hanging="0"/>
              <w:jc w:val="both"/>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62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w:t>
            </w:r>
          </w:p>
        </w:tc>
        <w:tc>
          <w:tcPr>
            <w:tcW w:w="247"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62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53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7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15.3</w:t>
            </w:r>
          </w:p>
        </w:tc>
        <w:tc>
          <w:tcPr>
            <w:tcW w:w="34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867"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Incentive fee - income</w:t>
            </w:r>
          </w:p>
        </w:tc>
        <w:tc>
          <w:tcPr>
            <w:tcW w:w="146"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62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w:t>
            </w:r>
          </w:p>
        </w:tc>
        <w:tc>
          <w:tcPr>
            <w:tcW w:w="247"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62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53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7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246.3</w:t>
            </w:r>
          </w:p>
        </w:tc>
        <w:tc>
          <w:tcPr>
            <w:tcW w:w="34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867"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Incentive fee (reversal) - capital gains</w:t>
            </w:r>
          </w:p>
        </w:tc>
        <w:tc>
          <w:tcPr>
            <w:tcW w:w="146" w:type="dxa"/>
            <w:tcBorders/>
            <w:shd w:fill="auto" w:val="clear"/>
            <w:vAlign w:val="center"/>
          </w:tcPr>
          <w:p>
            <w:pPr>
              <w:pStyle w:val="TableContents"/>
              <w:spacing w:before="0" w:after="0"/>
              <w:ind w:left="0" w:right="0" w:hanging="0"/>
              <w:jc w:val="both"/>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62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47"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62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53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7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(43.3</w:t>
            </w:r>
          </w:p>
        </w:tc>
        <w:tc>
          <w:tcPr>
            <w:tcW w:w="34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867"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Administrative service expenses</w:t>
            </w:r>
          </w:p>
        </w:tc>
        <w:tc>
          <w:tcPr>
            <w:tcW w:w="146" w:type="dxa"/>
            <w:tcBorders/>
            <w:shd w:fill="auto" w:val="clear"/>
            <w:vAlign w:val="center"/>
          </w:tcPr>
          <w:p>
            <w:pPr>
              <w:pStyle w:val="TableContents"/>
              <w:spacing w:before="0" w:after="0"/>
              <w:ind w:left="0" w:right="0" w:hanging="0"/>
              <w:jc w:val="both"/>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62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0.5</w:t>
            </w:r>
          </w:p>
        </w:tc>
        <w:tc>
          <w:tcPr>
            <w:tcW w:w="247"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62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53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7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12.1</w:t>
            </w:r>
          </w:p>
        </w:tc>
        <w:tc>
          <w:tcPr>
            <w:tcW w:w="34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867"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Professional fees</w:t>
            </w:r>
          </w:p>
        </w:tc>
        <w:tc>
          <w:tcPr>
            <w:tcW w:w="146" w:type="dxa"/>
            <w:tcBorders/>
            <w:shd w:fill="auto" w:val="clear"/>
            <w:vAlign w:val="center"/>
          </w:tcPr>
          <w:p>
            <w:pPr>
              <w:pStyle w:val="TableContents"/>
              <w:spacing w:before="0" w:after="0"/>
              <w:ind w:left="0" w:right="0" w:hanging="0"/>
              <w:jc w:val="both"/>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62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0.8</w:t>
            </w:r>
          </w:p>
        </w:tc>
        <w:tc>
          <w:tcPr>
            <w:tcW w:w="247"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62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53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7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36.2</w:t>
            </w:r>
          </w:p>
        </w:tc>
        <w:tc>
          <w:tcPr>
            <w:tcW w:w="34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867"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Other general and administrative expenses</w:t>
            </w:r>
          </w:p>
        </w:tc>
        <w:tc>
          <w:tcPr>
            <w:tcW w:w="146" w:type="dxa"/>
            <w:tcBorders/>
            <w:shd w:fill="auto" w:val="clear"/>
            <w:vAlign w:val="center"/>
          </w:tcPr>
          <w:p>
            <w:pPr>
              <w:pStyle w:val="TableContents"/>
              <w:spacing w:before="0" w:after="0"/>
              <w:ind w:left="0" w:right="0" w:hanging="0"/>
              <w:jc w:val="both"/>
              <w:rPr/>
            </w:pPr>
            <w:r>
              <w:rPr/>
              <w:t> </w:t>
            </w:r>
          </w:p>
        </w:tc>
        <w:tc>
          <w:tcPr>
            <w:tcW w:w="2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2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both"/>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18.2</w:t>
            </w:r>
          </w:p>
        </w:tc>
        <w:tc>
          <w:tcPr>
            <w:tcW w:w="3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86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expenses, before base management and income incentive fee waivers</w:t>
            </w:r>
          </w:p>
        </w:tc>
        <w:tc>
          <w:tcPr>
            <w:tcW w:w="146"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62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14.4</w:t>
            </w:r>
          </w:p>
        </w:tc>
        <w:tc>
          <w:tcPr>
            <w:tcW w:w="247"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62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53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7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39.5</w:t>
            </w:r>
          </w:p>
        </w:tc>
        <w:tc>
          <w:tcPr>
            <w:tcW w:w="34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867"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Base management and income incentive fee waivers</w:t>
            </w:r>
          </w:p>
        </w:tc>
        <w:tc>
          <w:tcPr>
            <w:tcW w:w="146" w:type="dxa"/>
            <w:tcBorders/>
            <w:shd w:fill="auto" w:val="clear"/>
            <w:vAlign w:val="center"/>
          </w:tcPr>
          <w:p>
            <w:pPr>
              <w:pStyle w:val="TableContents"/>
              <w:spacing w:before="0" w:after="0"/>
              <w:ind w:left="0" w:right="0" w:hanging="0"/>
              <w:jc w:val="both"/>
              <w:rPr/>
            </w:pPr>
            <w:r>
              <w:rPr/>
              <w:t> </w:t>
            </w:r>
          </w:p>
        </w:tc>
        <w:tc>
          <w:tcPr>
            <w:tcW w:w="2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17" w:type="dxa"/>
            <w:tcBorders/>
            <w:shd w:fill="auto" w:val="clear"/>
            <w:vAlign w:val="center"/>
          </w:tcPr>
          <w:p>
            <w:pPr>
              <w:pStyle w:val="TableContents"/>
              <w:spacing w:before="0" w:after="0"/>
              <w:ind w:left="0" w:right="0" w:hanging="0"/>
              <w:jc w:val="left"/>
              <w:rPr/>
            </w:pPr>
            <w:r>
              <w:rPr/>
              <w:t> </w:t>
            </w:r>
          </w:p>
        </w:tc>
        <w:tc>
          <w:tcPr>
            <w:tcW w:w="2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both"/>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NM</w:t>
            </w:r>
          </w:p>
        </w:tc>
        <w:tc>
          <w:tcPr>
            <w:tcW w:w="3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486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expenses, before income tax provision</w:t>
            </w:r>
          </w:p>
        </w:tc>
        <w:tc>
          <w:tcPr>
            <w:tcW w:w="146"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62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14.3</w:t>
            </w:r>
          </w:p>
        </w:tc>
        <w:tc>
          <w:tcPr>
            <w:tcW w:w="247" w:type="dxa"/>
            <w:tcBorders/>
            <w:shd w:fill="auto" w:val="cle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292" w:type="dxa"/>
            <w:tcBorders/>
            <w:shd w:fill="auto" w:val="clear"/>
            <w:vAlign w:val="center"/>
          </w:tcPr>
          <w:p>
            <w:pPr>
              <w:pStyle w:val="TableContents"/>
              <w:spacing w:before="0" w:after="0"/>
              <w:ind w:left="0" w:right="0" w:hanging="0"/>
              <w:jc w:val="left"/>
              <w:rPr/>
            </w:pPr>
            <w:r>
              <w:rPr/>
              <w:t> </w:t>
            </w:r>
          </w:p>
        </w:tc>
        <w:tc>
          <w:tcPr>
            <w:tcW w:w="628"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shd w:fill="auto" w:val="clear"/>
            <w:vAlign w:val="center"/>
          </w:tcPr>
          <w:p>
            <w:pPr>
              <w:pStyle w:val="TableContents"/>
              <w:spacing w:before="0" w:after="0"/>
              <w:ind w:left="0" w:right="0" w:hanging="0"/>
              <w:jc w:val="left"/>
              <w:rPr/>
            </w:pPr>
            <w:r>
              <w:rPr/>
              <w:t> </w:t>
            </w:r>
          </w:p>
        </w:tc>
        <w:tc>
          <w:tcPr>
            <w:tcW w:w="53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shd w:fill="auto" w:val="clear"/>
            <w:vAlign w:val="center"/>
          </w:tcPr>
          <w:p>
            <w:pPr>
              <w:pStyle w:val="TableContents"/>
              <w:spacing w:before="0" w:after="0"/>
              <w:ind w:left="0" w:right="0" w:hanging="0"/>
              <w:jc w:val="left"/>
              <w:rPr/>
            </w:pPr>
            <w:r>
              <w:rPr/>
              <w:t> </w:t>
            </w:r>
          </w:p>
        </w:tc>
        <w:tc>
          <w:tcPr>
            <w:tcW w:w="87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39.8</w:t>
            </w:r>
          </w:p>
        </w:tc>
        <w:tc>
          <w:tcPr>
            <w:tcW w:w="344"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486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Income tax provision (benefit)</w:t>
            </w:r>
          </w:p>
        </w:tc>
        <w:tc>
          <w:tcPr>
            <w:tcW w:w="146" w:type="dxa"/>
            <w:tcBorders/>
            <w:shd w:fill="auto" w:val="clear"/>
            <w:vAlign w:val="center"/>
          </w:tcPr>
          <w:p>
            <w:pPr>
              <w:pStyle w:val="TableContents"/>
              <w:spacing w:before="0" w:after="0"/>
              <w:ind w:left="0" w:right="0" w:hanging="0"/>
              <w:jc w:val="left"/>
              <w:rPr/>
            </w:pPr>
            <w:r>
              <w:rPr/>
              <w:t> </w:t>
            </w:r>
          </w:p>
        </w:tc>
        <w:tc>
          <w:tcPr>
            <w:tcW w:w="2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4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29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2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NM</w:t>
            </w:r>
          </w:p>
        </w:tc>
        <w:tc>
          <w:tcPr>
            <w:tcW w:w="34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 </w:t>
            </w:r>
          </w:p>
        </w:tc>
      </w:tr>
      <w:tr>
        <w:trPr/>
        <w:tc>
          <w:tcPr>
            <w:tcW w:w="4867"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Total expenses, including income tax provision</w:t>
            </w:r>
          </w:p>
        </w:tc>
        <w:tc>
          <w:tcPr>
            <w:tcW w:w="146" w:type="dxa"/>
            <w:tcBorders/>
            <w:shd w:fill="auto" w:val="clear"/>
            <w:vAlign w:val="center"/>
          </w:tcPr>
          <w:p>
            <w:pPr>
              <w:pStyle w:val="TableContents"/>
              <w:spacing w:before="0" w:after="0"/>
              <w:ind w:left="0" w:right="0" w:hanging="0"/>
              <w:jc w:val="left"/>
              <w:rPr/>
            </w:pPr>
            <w:r>
              <w:rPr/>
              <w:t> </w:t>
            </w:r>
          </w:p>
        </w:tc>
        <w:tc>
          <w:tcPr>
            <w:tcW w:w="2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14.3</w:t>
            </w:r>
          </w:p>
        </w:tc>
        <w:tc>
          <w:tcPr>
            <w:tcW w:w="24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17" w:type="dxa"/>
            <w:tcBorders/>
            <w:shd w:fill="auto" w:val="clear"/>
            <w:vAlign w:val="center"/>
          </w:tcPr>
          <w:p>
            <w:pPr>
              <w:pStyle w:val="TableContents"/>
              <w:spacing w:before="0" w:after="0"/>
              <w:ind w:left="0" w:right="0" w:hanging="0"/>
              <w:jc w:val="left"/>
              <w:rPr/>
            </w:pPr>
            <w:r>
              <w:rPr/>
              <w:t> </w:t>
            </w:r>
          </w:p>
        </w:tc>
        <w:tc>
          <w:tcPr>
            <w:tcW w:w="29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2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5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4.1</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40.8</w:t>
            </w:r>
          </w:p>
        </w:tc>
        <w:tc>
          <w:tcPr>
            <w:tcW w:w="34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spacing w:before="200" w:after="0"/>
        <w:jc w:val="both"/>
        <w:rPr>
          <w:rFonts w:ascii="Times New Roman;serif" w:hAnsi="Times New Roman;serif"/>
          <w:b w:val="false"/>
          <w:sz w:val="16"/>
        </w:rPr>
      </w:pPr>
      <w:r>
        <w:rPr>
          <w:rFonts w:ascii="Times New Roman;serif" w:hAnsi="Times New Roman;serif"/>
          <w:b w:val="false"/>
          <w:sz w:val="16"/>
        </w:rPr>
        <w:t>(1) NM = Not meaningful</w:t>
      </w:r>
    </w:p>
    <w:p>
      <w:pPr>
        <w:pStyle w:val="TextBody"/>
        <w:spacing w:before="0" w:after="0"/>
        <w:jc w:val="both"/>
        <w:rPr>
          <w:rFonts w:ascii="Times New Roman;serif" w:hAnsi="Times New Roman;serif"/>
          <w:b w:val="false"/>
          <w:sz w:val="16"/>
        </w:rPr>
      </w:pPr>
      <w:r>
        <w:rPr>
          <w:rFonts w:ascii="Times New Roman;serif" w:hAnsi="Times New Roman;serif"/>
          <w:b w:val="false"/>
          <w:sz w:val="16"/>
        </w:rPr>
        <w:t>(2) Percent change calculated based on underlying dollar amounts in thousands as presented on the consolidated statements of operations.</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For the three months ended March 31, 2023, total expenses, including income tax provision, were $14.3 million, an increase of $4.1 million or 40.8%, from the $10.2 million of total expenses for the three months ended March 31, 2022. As reflected in the table above, changes across the periods were primarily attributable to the following:</w:t>
      </w:r>
    </w:p>
    <w:p>
      <w:pPr>
        <w:pStyle w:val="TextBody"/>
        <w:spacing w:before="180" w:after="0"/>
        <w:jc w:val="both"/>
        <w:rPr/>
      </w:pPr>
      <w:r>
        <w:rPr/>
        <w:t>•</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$0.8 million increase in interest and financing expenses due to an increase in debt outstanding in 2023 and an increase in weighted average interest rate on borrowings, during 2023 as compared to 2022.</w:t>
      </w:r>
    </w:p>
    <w:p>
      <w:pPr>
        <w:pStyle w:val="TextBody"/>
        <w:spacing w:before="180" w:after="0"/>
        <w:jc w:val="both"/>
        <w:rPr/>
      </w:pPr>
      <w:r>
        <w:rPr/>
        <w:t>•</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$0.6 million net increase in base management fee, including the base management fee waiver, due to higher average total assets during 2023 as compared to 2022.</w:t>
      </w:r>
    </w:p>
    <w:p>
      <w:pPr>
        <w:pStyle w:val="TextBody"/>
        <w:spacing w:before="180" w:after="0"/>
        <w:jc w:val="both"/>
        <w:rPr/>
      </w:pPr>
      <w:r>
        <w:rPr/>
        <w:t>•</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$2.5 million net increase in the income incentive fee due to an increase in pre-incentive fee net investment income during 2023 as compared to 2022.</w:t>
      </w:r>
    </w:p>
    <w:p>
      <w:pPr>
        <w:pStyle w:val="TextBody"/>
        <w:spacing w:before="180" w:after="0"/>
        <w:jc w:val="both"/>
        <w:rPr/>
      </w:pPr>
      <w:r>
        <w:rPr/>
        <w:t>•</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$0.1 million decrease in the accrued capital gains incentive fee due to a $0.6 million decrease in net gain on investments (net realized gains (losses), plus net change in unrealized appreciation (depreciation) on investments) plus realized losses on extinguishment of debt, during 2023 as compared to the same period in 2022.</w:t>
      </w:r>
    </w:p>
    <w:p>
      <w:pPr>
        <w:pStyle w:val="TextBody"/>
        <w:spacing w:before="180" w:after="0"/>
        <w:jc w:val="both"/>
        <w:rPr/>
      </w:pPr>
      <w:r>
        <w:rPr/>
        <w:t>•</w:t>
      </w:r>
    </w:p>
    <w:p>
      <w:pPr>
        <w:pStyle w:val="TextBody"/>
        <w:spacing w:before="180" w:after="283"/>
        <w:jc w:val="both"/>
        <w:rPr>
          <w:rFonts w:ascii="Times New Roman;serif" w:hAnsi="Times New Roman;serif"/>
          <w:b w:val="false"/>
          <w:sz w:val="20"/>
        </w:rPr>
      </w:pPr>
      <w:r>
        <w:rPr>
          <w:rFonts w:ascii="Times New Roman;serif" w:hAnsi="Times New Roman;serif"/>
          <w:b w:val="false"/>
          <w:sz w:val="20"/>
        </w:rPr>
        <w:t>$0.3 million increase in professional fees due to increased audit and legal expenses, a portion of which relates to the ATM Program, during 2023 as compared to 2022.</w:t>
      </w:r>
    </w:p>
    <w:p>
      <w:pPr>
        <w:pStyle w:val="TextBody"/>
        <w:spacing w:before="180" w:after="0"/>
        <w:jc w:val="left"/>
        <w:rPr>
          <w:rFonts w:ascii="Times New Roman;serif" w:hAnsi="Times New Roman;serif"/>
          <w:b w:val="false"/>
          <w:i/>
          <w:sz w:val="20"/>
        </w:rPr>
      </w:pPr>
      <w:r>
        <w:rPr>
          <w:rFonts w:ascii="Times New Roman;serif" w:hAnsi="Times New Roman;serif"/>
          <w:b w:val="false"/>
          <w:i/>
          <w:sz w:val="20"/>
        </w:rPr>
        <w:t>Net Investment Income</w:t>
      </w:r>
    </w:p>
    <w:p>
      <w:pPr>
        <w:pStyle w:val="TextBody"/>
        <w:spacing w:before="180" w:after="0"/>
        <w:jc w:val="both"/>
        <w:rPr>
          <w:rFonts w:ascii="Times New Roman" w:hAnsi="Times New Roman"/>
          <w:sz w:val="20"/>
        </w:rPr>
      </w:pPr>
      <w:r>
        <w:rPr>
          <w:rFonts w:ascii="Times New Roman;serif" w:hAnsi="Times New Roman;serif"/>
          <w:b w:val="false"/>
          <w:sz w:val="20"/>
        </w:rPr>
        <w:t>Net investment income increased by $4.5 million, or 42.4%, to $14.7 million during the three months ended March 31, 2023 as compared to the same period in 2022, as a result of the $8.6 increase in total investment income, partially offset by the $4.1 million increase in total expenses, including base management fee waivers and income tax provision.</w:t>
      </w:r>
      <w:r>
        <w:rPr>
          <w:rFonts w:ascii="Times New Roman" w:hAnsi="Times New Roman"/>
          <w:sz w:val="20"/>
        </w:rPr>
        <w:t xml:space="preserve"> </w:t>
      </w:r>
    </w:p>
    <w:p>
      <w:pPr>
        <w:pStyle w:val="TextBody"/>
        <w:spacing w:before="180" w:after="180"/>
        <w:jc w:val="both"/>
        <w:rPr>
          <w:rFonts w:ascii="Times New Roman;serif" w:hAnsi="Times New Roman;serif"/>
          <w:b w:val="false"/>
          <w:i/>
          <w:sz w:val="20"/>
        </w:rPr>
      </w:pPr>
      <w:r>
        <w:rPr>
          <w:rFonts w:ascii="Times New Roman;serif" w:hAnsi="Times New Roman;serif"/>
          <w:b w:val="false"/>
          <w:i/>
          <w:sz w:val="20"/>
        </w:rPr>
        <w:t>Net Gain (Loss) on Investments</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For the three months ended March 31, 2023, the total net realized gain/(loss) on investments, before income tax (provision)/benefit, was $0.1 million. There was no income tax (provision) benefit from realized gains on investments for the three months ended March 31, 2023. We realize a gain/(loss) on our equity investments primarily when we either sell our equity investment or the underlying portfolio company is sold. Significant realized gains (losses) for the three months ended March 31, 2023 are summarized below (dollars in millions):</w:t>
      </w:r>
    </w:p>
    <w:tbl>
      <w:tblPr>
        <w:tblW w:w="7925" w:type="dxa"/>
        <w:jc w:val="left"/>
        <w:tblInd w:w="0" w:type="dxa"/>
        <w:tblCellMar>
          <w:top w:w="28" w:type="dxa"/>
          <w:left w:w="28" w:type="dxa"/>
          <w:bottom w:w="28" w:type="dxa"/>
          <w:right w:w="28" w:type="dxa"/>
        </w:tblCellMar>
      </w:tblPr>
      <w:tblGrid>
        <w:gridCol w:w="4846"/>
        <w:gridCol w:w="146"/>
        <w:gridCol w:w="1456"/>
        <w:gridCol w:w="146"/>
        <w:gridCol w:w="411"/>
        <w:gridCol w:w="729"/>
        <w:gridCol w:w="191"/>
      </w:tblGrid>
      <w:tr>
        <w:trPr/>
        <w:tc>
          <w:tcPr>
            <w:tcW w:w="48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8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4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Realized</w:t>
            </w:r>
          </w:p>
        </w:tc>
        <w:tc>
          <w:tcPr>
            <w:tcW w:w="191" w:type="dxa"/>
            <w:tcBorders/>
            <w:shd w:fill="auto" w:val="clear"/>
            <w:vAlign w:val="center"/>
          </w:tcPr>
          <w:p>
            <w:pPr>
              <w:pStyle w:val="TableContents"/>
              <w:spacing w:before="0" w:after="0"/>
              <w:ind w:left="0" w:right="0" w:hanging="0"/>
              <w:jc w:val="center"/>
              <w:rPr/>
            </w:pPr>
            <w:r>
              <w:rPr/>
              <w:t> </w:t>
            </w:r>
          </w:p>
        </w:tc>
      </w:tr>
      <w:tr>
        <w:trPr/>
        <w:tc>
          <w:tcPr>
            <w:tcW w:w="48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Portfolio Company</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Realization Event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14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Gains (Losses)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8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The Tranzonic Companies</w:t>
            </w:r>
          </w:p>
        </w:tc>
        <w:tc>
          <w:tcPr>
            <w:tcW w:w="146"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Escrow distribution</w:t>
            </w:r>
          </w:p>
        </w:tc>
        <w:tc>
          <w:tcPr>
            <w:tcW w:w="146" w:type="dxa"/>
            <w:tcBorders/>
            <w:shd w:fill="auto" w:val="clear"/>
            <w:vAlign w:val="center"/>
          </w:tcPr>
          <w:p>
            <w:pPr>
              <w:pStyle w:val="TableContents"/>
              <w:spacing w:before="0" w:after="0"/>
              <w:ind w:left="0" w:right="0" w:hanging="0"/>
              <w:jc w:val="left"/>
              <w:rPr/>
            </w:pPr>
            <w:r>
              <w:rPr/>
              <w:t> </w:t>
            </w:r>
          </w:p>
        </w:tc>
        <w:tc>
          <w:tcPr>
            <w:tcW w:w="411" w:type="dxa"/>
            <w:tcBorders/>
            <w:shd w:fill="auto" w:val="clear"/>
            <w:vAlign w:val="center"/>
          </w:tcPr>
          <w:p>
            <w:pPr>
              <w:pStyle w:val="TableContents"/>
              <w:spacing w:before="0" w:after="0"/>
              <w:ind w:left="0" w:right="0" w:hanging="0"/>
              <w:jc w:val="left"/>
              <w:rPr/>
            </w:pPr>
            <w:r>
              <w:rPr/>
              <w:t> </w:t>
            </w:r>
          </w:p>
        </w:tc>
        <w:tc>
          <w:tcPr>
            <w:tcW w:w="72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191" w:type="dxa"/>
            <w:tcBorders/>
            <w:shd w:fill="auto" w:val="clear"/>
            <w:vAlign w:val="center"/>
          </w:tcPr>
          <w:p>
            <w:pPr>
              <w:pStyle w:val="TableContents"/>
              <w:spacing w:before="0" w:after="0"/>
              <w:ind w:left="0" w:right="0" w:hanging="0"/>
              <w:jc w:val="left"/>
              <w:rPr/>
            </w:pPr>
            <w:r>
              <w:rPr/>
              <w:t> </w:t>
            </w:r>
          </w:p>
        </w:tc>
      </w:tr>
      <w:tr>
        <w:trPr/>
        <w:tc>
          <w:tcPr>
            <w:tcW w:w="48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realized gain (loss) on investments</w:t>
            </w:r>
          </w:p>
        </w:tc>
        <w:tc>
          <w:tcPr>
            <w:tcW w:w="146"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c>
          <w:tcPr>
            <w:tcW w:w="729"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191" w:type="dxa"/>
            <w:tcBorders>
              <w:top w:val="single" w:sz="4" w:space="0" w:color="000000"/>
            </w:tcBorders>
            <w:shd w:fill="auto" w:val="clear"/>
            <w:tcMar>
              <w:left w:w="0" w:type="dxa"/>
              <w:bottom w:w="0" w:type="dxa"/>
              <w:right w:w="0" w:type="dxa"/>
            </w:tcMar>
            <w:vAlign w:val="center"/>
          </w:tcPr>
          <w:p>
            <w:pPr>
              <w:pStyle w:val="TableContents"/>
              <w:spacing w:before="0" w:after="0"/>
              <w:ind w:left="0" w:right="0" w:hanging="0"/>
              <w:jc w:val="left"/>
              <w:rPr/>
            </w:pPr>
            <w:r>
              <w:rPr/>
              <w:t> </w:t>
            </w:r>
          </w:p>
        </w:tc>
      </w:tr>
      <w:tr>
        <w:trPr/>
        <w:tc>
          <w:tcPr>
            <w:tcW w:w="48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Income tax (provision) benefit from realized gains on investments</w:t>
            </w:r>
          </w:p>
        </w:tc>
        <w:tc>
          <w:tcPr>
            <w:tcW w:w="146"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84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realized gain (loss), net of income tax provision, on investments</w:t>
            </w:r>
          </w:p>
        </w:tc>
        <w:tc>
          <w:tcPr>
            <w:tcW w:w="146" w:type="dxa"/>
            <w:tcBorders/>
            <w:shd w:fill="auto" w:val="clear"/>
            <w:vAlign w:val="center"/>
          </w:tcPr>
          <w:p>
            <w:pPr>
              <w:pStyle w:val="TableContents"/>
              <w:spacing w:before="0" w:after="0"/>
              <w:ind w:left="0" w:right="0" w:hanging="0"/>
              <w:jc w:val="left"/>
              <w:rPr/>
            </w:pPr>
            <w:r>
              <w:rPr/>
              <w:t> </w:t>
            </w:r>
          </w:p>
        </w:tc>
        <w:tc>
          <w:tcPr>
            <w:tcW w:w="145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180" w:after="180"/>
        <w:jc w:val="both"/>
        <w:rPr>
          <w:rFonts w:ascii="Times New Roman;serif" w:hAnsi="Times New Roman;serif"/>
          <w:b w:val="false"/>
          <w:sz w:val="20"/>
        </w:rPr>
      </w:pPr>
      <w:r>
        <w:rPr>
          <w:rFonts w:ascii="Times New Roman;serif" w:hAnsi="Times New Roman;serif"/>
          <w:b w:val="false"/>
          <w:sz w:val="20"/>
        </w:rPr>
        <w:t>For the three months ended March 31, 2022, the total net realized gain/(loss) on investments, before income tax (provision)/benefit, was $6.9 million. There was no income tax (provision) benefit from realized gains/(losses) on investments for the three months ended March 31, 2022. We realize a gain/(loss) on our equity investments primarily when we either sell our equity investment or the underlying portfolio company is sold. Significant realized gains (losses) for the three months ended March 31, 2022 are summarized below (dollars in millions):</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49</w:t>
      </w:r>
    </w:p>
    <w:p>
      <w:pPr>
        <w:pStyle w:val="HorizontalLine"/>
        <w:rPr/>
      </w:pPr>
      <w:r>
        <w:rPr/>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5510"/>
        <w:gridCol w:w="226"/>
        <w:gridCol w:w="2478"/>
        <w:gridCol w:w="226"/>
        <w:gridCol w:w="515"/>
        <w:gridCol w:w="1035"/>
        <w:gridCol w:w="215"/>
      </w:tblGrid>
      <w:tr>
        <w:trPr/>
        <w:tc>
          <w:tcPr>
            <w:tcW w:w="5510"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47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5510"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2478"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55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Realized</w:t>
            </w:r>
          </w:p>
        </w:tc>
        <w:tc>
          <w:tcPr>
            <w:tcW w:w="215" w:type="dxa"/>
            <w:tcBorders/>
            <w:shd w:fill="auto" w:val="clear"/>
            <w:vAlign w:val="center"/>
          </w:tcPr>
          <w:p>
            <w:pPr>
              <w:pStyle w:val="TableContents"/>
              <w:spacing w:before="0" w:after="0"/>
              <w:ind w:left="0" w:right="0" w:hanging="0"/>
              <w:jc w:val="center"/>
              <w:rPr/>
            </w:pPr>
            <w:r>
              <w:rPr/>
              <w:t> </w:t>
            </w:r>
          </w:p>
        </w:tc>
      </w:tr>
      <w:tr>
        <w:trPr/>
        <w:tc>
          <w:tcPr>
            <w:tcW w:w="55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Portfolio Company</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47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 xml:space="preserve">Realization Event </w:t>
            </w:r>
            <w:r>
              <w:rPr>
                <w:rFonts w:ascii="Times New Roman;serif" w:hAnsi="Times New Roman;serif"/>
                <w:b/>
                <w:sz w:val="11"/>
              </w:rPr>
              <w:t>(1)</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5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Gains (Losses)</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51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 xml:space="preserve">Frontline Food Services, LLC </w:t>
              <w:br/>
              <w:t>(f/k/a Accent Food Services, LLC)</w:t>
            </w:r>
          </w:p>
        </w:tc>
        <w:tc>
          <w:tcPr>
            <w:tcW w:w="226" w:type="dxa"/>
            <w:tcBorders/>
            <w:shd w:fill="auto" w:val="clear"/>
            <w:vAlign w:val="center"/>
          </w:tcPr>
          <w:p>
            <w:pPr>
              <w:pStyle w:val="TableContents"/>
              <w:spacing w:before="0" w:after="0"/>
              <w:ind w:left="0" w:right="0" w:hanging="0"/>
              <w:jc w:val="left"/>
              <w:rPr/>
            </w:pPr>
            <w:r>
              <w:rPr/>
              <w:t> </w:t>
            </w:r>
          </w:p>
        </w:tc>
        <w:tc>
          <w:tcPr>
            <w:tcW w:w="247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Exit of portfolio company</w:t>
            </w:r>
          </w:p>
        </w:tc>
        <w:tc>
          <w:tcPr>
            <w:tcW w:w="226" w:type="dxa"/>
            <w:tcBorders/>
            <w:shd w:fill="auto" w:val="clear"/>
            <w:vAlign w:val="center"/>
          </w:tcPr>
          <w:p>
            <w:pPr>
              <w:pStyle w:val="TableContents"/>
              <w:spacing w:before="0" w:after="0"/>
              <w:ind w:left="0" w:right="0" w:hanging="0"/>
              <w:jc w:val="left"/>
              <w:rPr/>
            </w:pPr>
            <w:r>
              <w:rPr/>
              <w:t> </w:t>
            </w:r>
          </w:p>
        </w:tc>
        <w:tc>
          <w:tcPr>
            <w:tcW w:w="51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3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215" w:type="dxa"/>
            <w:tcBorders/>
            <w:shd w:fill="auto" w:val="clear"/>
            <w:vAlign w:val="center"/>
          </w:tcPr>
          <w:p>
            <w:pPr>
              <w:pStyle w:val="TableContents"/>
              <w:spacing w:before="0" w:after="0"/>
              <w:ind w:left="0" w:right="0" w:hanging="0"/>
              <w:jc w:val="left"/>
              <w:rPr/>
            </w:pPr>
            <w:r>
              <w:rPr/>
              <w:t> </w:t>
            </w:r>
          </w:p>
        </w:tc>
      </w:tr>
      <w:tr>
        <w:trPr/>
        <w:tc>
          <w:tcPr>
            <w:tcW w:w="551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Revenue Management Solutions, LLC</w:t>
            </w:r>
          </w:p>
        </w:tc>
        <w:tc>
          <w:tcPr>
            <w:tcW w:w="226" w:type="dxa"/>
            <w:tcBorders/>
            <w:shd w:fill="auto" w:val="clear"/>
            <w:vAlign w:val="center"/>
          </w:tcPr>
          <w:p>
            <w:pPr>
              <w:pStyle w:val="TableContents"/>
              <w:spacing w:before="0" w:after="0"/>
              <w:ind w:left="0" w:right="0" w:hanging="0"/>
              <w:jc w:val="left"/>
              <w:rPr/>
            </w:pPr>
            <w:r>
              <w:rPr/>
              <w:t> </w:t>
            </w:r>
          </w:p>
        </w:tc>
        <w:tc>
          <w:tcPr>
            <w:tcW w:w="247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Exit of portfolio company</w:t>
            </w:r>
          </w:p>
        </w:tc>
        <w:tc>
          <w:tcPr>
            <w:tcW w:w="226" w:type="dxa"/>
            <w:tcBorders/>
            <w:shd w:fill="auto" w:val="clear"/>
            <w:vAlign w:val="center"/>
          </w:tcPr>
          <w:p>
            <w:pPr>
              <w:pStyle w:val="TableContents"/>
              <w:spacing w:before="0" w:after="0"/>
              <w:ind w:left="0" w:right="0" w:hanging="0"/>
              <w:jc w:val="left"/>
              <w:rPr/>
            </w:pPr>
            <w:r>
              <w:rPr/>
              <w:t> </w:t>
            </w:r>
          </w:p>
        </w:tc>
        <w:tc>
          <w:tcPr>
            <w:tcW w:w="515" w:type="dxa"/>
            <w:tcBorders/>
            <w:shd w:fill="auto" w:val="clear"/>
            <w:vAlign w:val="center"/>
          </w:tcPr>
          <w:p>
            <w:pPr>
              <w:pStyle w:val="TableContents"/>
              <w:spacing w:before="0" w:after="0"/>
              <w:ind w:left="0" w:right="0" w:hanging="0"/>
              <w:jc w:val="left"/>
              <w:rPr/>
            </w:pPr>
            <w:r>
              <w:rPr/>
              <w:t> </w:t>
            </w:r>
          </w:p>
        </w:tc>
        <w:tc>
          <w:tcPr>
            <w:tcW w:w="103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215" w:type="dxa"/>
            <w:tcBorders/>
            <w:shd w:fill="auto" w:val="clear"/>
            <w:vAlign w:val="center"/>
          </w:tcPr>
          <w:p>
            <w:pPr>
              <w:pStyle w:val="TableContents"/>
              <w:spacing w:before="0" w:after="0"/>
              <w:ind w:left="0" w:right="0" w:hanging="0"/>
              <w:jc w:val="left"/>
              <w:rPr/>
            </w:pPr>
            <w:r>
              <w:rPr/>
              <w:t> </w:t>
            </w:r>
          </w:p>
        </w:tc>
      </w:tr>
      <w:tr>
        <w:trPr/>
        <w:tc>
          <w:tcPr>
            <w:tcW w:w="551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SpendMend LLC</w:t>
            </w:r>
          </w:p>
        </w:tc>
        <w:tc>
          <w:tcPr>
            <w:tcW w:w="226" w:type="dxa"/>
            <w:tcBorders/>
            <w:shd w:fill="auto" w:val="clear"/>
            <w:vAlign w:val="center"/>
          </w:tcPr>
          <w:p>
            <w:pPr>
              <w:pStyle w:val="TableContents"/>
              <w:spacing w:before="0" w:after="0"/>
              <w:ind w:left="0" w:right="0" w:hanging="0"/>
              <w:jc w:val="left"/>
              <w:rPr/>
            </w:pPr>
            <w:r>
              <w:rPr/>
              <w:t> </w:t>
            </w:r>
          </w:p>
        </w:tc>
        <w:tc>
          <w:tcPr>
            <w:tcW w:w="247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Exit of portfolio company</w:t>
            </w:r>
          </w:p>
        </w:tc>
        <w:tc>
          <w:tcPr>
            <w:tcW w:w="226" w:type="dxa"/>
            <w:tcBorders/>
            <w:shd w:fill="auto" w:val="clear"/>
            <w:vAlign w:val="center"/>
          </w:tcPr>
          <w:p>
            <w:pPr>
              <w:pStyle w:val="TableContents"/>
              <w:spacing w:before="0" w:after="0"/>
              <w:ind w:left="0" w:right="0" w:hanging="0"/>
              <w:jc w:val="left"/>
              <w:rPr/>
            </w:pPr>
            <w:r>
              <w:rPr/>
              <w:t> </w:t>
            </w:r>
          </w:p>
        </w:tc>
        <w:tc>
          <w:tcPr>
            <w:tcW w:w="515" w:type="dxa"/>
            <w:tcBorders/>
            <w:shd w:fill="auto" w:val="clear"/>
            <w:vAlign w:val="center"/>
          </w:tcPr>
          <w:p>
            <w:pPr>
              <w:pStyle w:val="TableContents"/>
              <w:spacing w:before="0" w:after="0"/>
              <w:ind w:left="0" w:right="0" w:hanging="0"/>
              <w:jc w:val="left"/>
              <w:rPr/>
            </w:pPr>
            <w:r>
              <w:rPr/>
              <w:t> </w:t>
            </w:r>
          </w:p>
        </w:tc>
        <w:tc>
          <w:tcPr>
            <w:tcW w:w="103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6.2</w:t>
            </w:r>
          </w:p>
        </w:tc>
        <w:tc>
          <w:tcPr>
            <w:tcW w:w="215" w:type="dxa"/>
            <w:tcBorders/>
            <w:shd w:fill="auto" w:val="clear"/>
            <w:vAlign w:val="center"/>
          </w:tcPr>
          <w:p>
            <w:pPr>
              <w:pStyle w:val="TableContents"/>
              <w:spacing w:before="0" w:after="0"/>
              <w:ind w:left="0" w:right="0" w:hanging="0"/>
              <w:jc w:val="left"/>
              <w:rPr/>
            </w:pPr>
            <w:r>
              <w:rPr/>
              <w:t> </w:t>
            </w:r>
          </w:p>
        </w:tc>
      </w:tr>
      <w:tr>
        <w:trPr/>
        <w:tc>
          <w:tcPr>
            <w:tcW w:w="551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FDS Avionics Corp.</w:t>
            </w:r>
          </w:p>
        </w:tc>
        <w:tc>
          <w:tcPr>
            <w:tcW w:w="226" w:type="dxa"/>
            <w:tcBorders/>
            <w:shd w:fill="auto" w:val="clear"/>
            <w:vAlign w:val="center"/>
          </w:tcPr>
          <w:p>
            <w:pPr>
              <w:pStyle w:val="TableContents"/>
              <w:spacing w:before="0" w:after="0"/>
              <w:ind w:left="0" w:right="0" w:hanging="0"/>
              <w:jc w:val="left"/>
              <w:rPr/>
            </w:pPr>
            <w:r>
              <w:rPr/>
              <w:t> </w:t>
            </w:r>
          </w:p>
        </w:tc>
        <w:tc>
          <w:tcPr>
            <w:tcW w:w="247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Escrow liability release</w:t>
            </w:r>
          </w:p>
        </w:tc>
        <w:tc>
          <w:tcPr>
            <w:tcW w:w="226" w:type="dxa"/>
            <w:tcBorders/>
            <w:shd w:fill="auto" w:val="clear"/>
            <w:vAlign w:val="center"/>
          </w:tcPr>
          <w:p>
            <w:pPr>
              <w:pStyle w:val="TableContents"/>
              <w:spacing w:before="0" w:after="0"/>
              <w:ind w:left="0" w:right="0" w:hanging="0"/>
              <w:jc w:val="left"/>
              <w:rPr/>
            </w:pPr>
            <w:r>
              <w:rPr/>
              <w:t> </w:t>
            </w:r>
          </w:p>
        </w:tc>
        <w:tc>
          <w:tcPr>
            <w:tcW w:w="515" w:type="dxa"/>
            <w:tcBorders/>
            <w:shd w:fill="auto" w:val="clear"/>
            <w:vAlign w:val="center"/>
          </w:tcPr>
          <w:p>
            <w:pPr>
              <w:pStyle w:val="TableContents"/>
              <w:spacing w:before="0" w:after="0"/>
              <w:ind w:left="0" w:right="0" w:hanging="0"/>
              <w:jc w:val="left"/>
              <w:rPr/>
            </w:pPr>
            <w:r>
              <w:rPr/>
              <w:t> </w:t>
            </w:r>
          </w:p>
        </w:tc>
        <w:tc>
          <w:tcPr>
            <w:tcW w:w="103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215"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551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Mesa Line Services, LLC</w:t>
            </w:r>
          </w:p>
        </w:tc>
        <w:tc>
          <w:tcPr>
            <w:tcW w:w="226" w:type="dxa"/>
            <w:tcBorders/>
            <w:shd w:fill="auto" w:val="clear"/>
            <w:vAlign w:val="center"/>
          </w:tcPr>
          <w:p>
            <w:pPr>
              <w:pStyle w:val="TableContents"/>
              <w:spacing w:before="0" w:after="0"/>
              <w:ind w:left="0" w:right="0" w:hanging="0"/>
              <w:jc w:val="left"/>
              <w:rPr/>
            </w:pPr>
            <w:r>
              <w:rPr/>
              <w:t> </w:t>
            </w:r>
          </w:p>
        </w:tc>
        <w:tc>
          <w:tcPr>
            <w:tcW w:w="247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Exit of portfolio company</w:t>
            </w:r>
          </w:p>
        </w:tc>
        <w:tc>
          <w:tcPr>
            <w:tcW w:w="226" w:type="dxa"/>
            <w:tcBorders/>
            <w:shd w:fill="auto" w:val="clear"/>
            <w:vAlign w:val="center"/>
          </w:tcPr>
          <w:p>
            <w:pPr>
              <w:pStyle w:val="TableContents"/>
              <w:spacing w:before="0" w:after="0"/>
              <w:ind w:left="0" w:right="0" w:hanging="0"/>
              <w:jc w:val="left"/>
              <w:rPr/>
            </w:pPr>
            <w:r>
              <w:rPr/>
              <w:t> </w:t>
            </w:r>
          </w:p>
        </w:tc>
        <w:tc>
          <w:tcPr>
            <w:tcW w:w="515" w:type="dxa"/>
            <w:tcBorders/>
            <w:shd w:fill="auto" w:val="clear"/>
            <w:vAlign w:val="center"/>
          </w:tcPr>
          <w:p>
            <w:pPr>
              <w:pStyle w:val="TableContents"/>
              <w:spacing w:before="0" w:after="0"/>
              <w:ind w:left="0" w:right="0" w:hanging="0"/>
              <w:jc w:val="left"/>
              <w:rPr/>
            </w:pPr>
            <w:r>
              <w:rPr/>
              <w:t> </w:t>
            </w:r>
          </w:p>
        </w:tc>
        <w:tc>
          <w:tcPr>
            <w:tcW w:w="103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0.5</w:t>
            </w:r>
          </w:p>
        </w:tc>
        <w:tc>
          <w:tcPr>
            <w:tcW w:w="215" w:type="dxa"/>
            <w:tcBorders/>
            <w:shd w:fill="auto" w:val="clear"/>
            <w:vAlign w:val="center"/>
          </w:tcPr>
          <w:p>
            <w:pPr>
              <w:pStyle w:val="TableContents"/>
              <w:spacing w:before="0" w:after="0"/>
              <w:ind w:left="0" w:right="0" w:hanging="0"/>
              <w:jc w:val="left"/>
              <w:rPr/>
            </w:pPr>
            <w:r>
              <w:rPr/>
              <w:t> </w:t>
            </w:r>
          </w:p>
        </w:tc>
      </w:tr>
      <w:tr>
        <w:trPr/>
        <w:tc>
          <w:tcPr>
            <w:tcW w:w="551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Mirage Trailers LLC</w:t>
            </w:r>
          </w:p>
        </w:tc>
        <w:tc>
          <w:tcPr>
            <w:tcW w:w="226" w:type="dxa"/>
            <w:tcBorders/>
            <w:shd w:fill="auto" w:val="clear"/>
            <w:vAlign w:val="center"/>
          </w:tcPr>
          <w:p>
            <w:pPr>
              <w:pStyle w:val="TableContents"/>
              <w:spacing w:before="0" w:after="0"/>
              <w:ind w:left="0" w:right="0" w:hanging="0"/>
              <w:jc w:val="left"/>
              <w:rPr/>
            </w:pPr>
            <w:r>
              <w:rPr/>
              <w:t> </w:t>
            </w:r>
          </w:p>
        </w:tc>
        <w:tc>
          <w:tcPr>
            <w:tcW w:w="247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Exit of portfolio company</w:t>
            </w:r>
          </w:p>
        </w:tc>
        <w:tc>
          <w:tcPr>
            <w:tcW w:w="226" w:type="dxa"/>
            <w:tcBorders/>
            <w:shd w:fill="auto" w:val="clear"/>
            <w:vAlign w:val="center"/>
          </w:tcPr>
          <w:p>
            <w:pPr>
              <w:pStyle w:val="TableContents"/>
              <w:spacing w:before="0" w:after="0"/>
              <w:ind w:left="0" w:right="0" w:hanging="0"/>
              <w:jc w:val="left"/>
              <w:rPr/>
            </w:pPr>
            <w:r>
              <w:rPr/>
              <w:t> </w:t>
            </w:r>
          </w:p>
        </w:tc>
        <w:tc>
          <w:tcPr>
            <w:tcW w:w="5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1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realized gain (loss) on investments</w:t>
            </w:r>
          </w:p>
        </w:tc>
        <w:tc>
          <w:tcPr>
            <w:tcW w:w="226" w:type="dxa"/>
            <w:tcBorders/>
            <w:shd w:fill="auto" w:val="clear"/>
            <w:vAlign w:val="center"/>
          </w:tcPr>
          <w:p>
            <w:pPr>
              <w:pStyle w:val="TableContents"/>
              <w:spacing w:before="0" w:after="0"/>
              <w:ind w:left="0" w:right="0" w:hanging="0"/>
              <w:jc w:val="left"/>
              <w:rPr/>
            </w:pPr>
            <w:r>
              <w:rPr/>
              <w:t> </w:t>
            </w:r>
          </w:p>
        </w:tc>
        <w:tc>
          <w:tcPr>
            <w:tcW w:w="2478"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15" w:type="dxa"/>
            <w:tcBorders/>
            <w:shd w:fill="auto" w:val="clear"/>
            <w:vAlign w:val="center"/>
          </w:tcPr>
          <w:p>
            <w:pPr>
              <w:pStyle w:val="TableContents"/>
              <w:spacing w:before="0" w:after="0"/>
              <w:ind w:left="0" w:right="0" w:hanging="0"/>
              <w:jc w:val="left"/>
              <w:rPr/>
            </w:pPr>
            <w:r>
              <w:rPr/>
              <w:t> </w:t>
            </w:r>
          </w:p>
        </w:tc>
        <w:tc>
          <w:tcPr>
            <w:tcW w:w="103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6.9</w:t>
            </w:r>
          </w:p>
        </w:tc>
        <w:tc>
          <w:tcPr>
            <w:tcW w:w="215" w:type="dxa"/>
            <w:tcBorders/>
            <w:shd w:fill="auto" w:val="clear"/>
            <w:vAlign w:val="center"/>
          </w:tcPr>
          <w:p>
            <w:pPr>
              <w:pStyle w:val="TableContents"/>
              <w:spacing w:before="0" w:after="0"/>
              <w:ind w:left="0" w:right="0" w:hanging="0"/>
              <w:jc w:val="left"/>
              <w:rPr/>
            </w:pPr>
            <w:r>
              <w:rPr/>
              <w:t> </w:t>
            </w:r>
          </w:p>
        </w:tc>
      </w:tr>
      <w:tr>
        <w:trPr/>
        <w:tc>
          <w:tcPr>
            <w:tcW w:w="551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Income tax (provision) benefit from realized gains on investments</w:t>
            </w:r>
          </w:p>
        </w:tc>
        <w:tc>
          <w:tcPr>
            <w:tcW w:w="226" w:type="dxa"/>
            <w:tcBorders/>
            <w:shd w:fill="auto" w:val="clear"/>
            <w:vAlign w:val="center"/>
          </w:tcPr>
          <w:p>
            <w:pPr>
              <w:pStyle w:val="TableContents"/>
              <w:spacing w:before="0" w:after="0"/>
              <w:ind w:left="0" w:right="0" w:hanging="0"/>
              <w:jc w:val="left"/>
              <w:rPr/>
            </w:pPr>
            <w:r>
              <w:rPr/>
              <w:t> </w:t>
            </w:r>
          </w:p>
        </w:tc>
        <w:tc>
          <w:tcPr>
            <w:tcW w:w="2478"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21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1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Net realized gain (loss), net of income tax provision, on investments</w:t>
            </w:r>
          </w:p>
        </w:tc>
        <w:tc>
          <w:tcPr>
            <w:tcW w:w="226" w:type="dxa"/>
            <w:tcBorders/>
            <w:shd w:fill="auto" w:val="clear"/>
            <w:vAlign w:val="center"/>
          </w:tcPr>
          <w:p>
            <w:pPr>
              <w:pStyle w:val="TableContents"/>
              <w:spacing w:before="0" w:after="0"/>
              <w:ind w:left="0" w:right="0" w:hanging="0"/>
              <w:jc w:val="left"/>
              <w:rPr/>
            </w:pPr>
            <w:r>
              <w:rPr/>
              <w:t> </w:t>
            </w:r>
          </w:p>
        </w:tc>
        <w:tc>
          <w:tcPr>
            <w:tcW w:w="2478"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5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6.9</w:t>
            </w:r>
          </w:p>
        </w:tc>
        <w:tc>
          <w:tcPr>
            <w:tcW w:w="21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510"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2478"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1550" w:type="dxa"/>
            <w:gridSpan w:val="2"/>
            <w:tcBorders/>
            <w:shd w:fill="auto" w:val="clear"/>
            <w:vAlign w:val="center"/>
          </w:tcPr>
          <w:p>
            <w:pPr>
              <w:pStyle w:val="TableContents"/>
              <w:spacing w:before="0" w:after="0"/>
              <w:ind w:left="0" w:right="0" w:hanging="0"/>
              <w:jc w:val="left"/>
              <w:rPr/>
            </w:pPr>
            <w:r>
              <w:rPr/>
              <w:t> </w:t>
            </w:r>
          </w:p>
        </w:tc>
        <w:tc>
          <w:tcPr>
            <w:tcW w:w="215" w:type="dxa"/>
            <w:tcBorders/>
            <w:shd w:fill="auto" w:val="clear"/>
            <w:vAlign w:val="center"/>
          </w:tcPr>
          <w:p>
            <w:pPr>
              <w:pStyle w:val="TableContents"/>
              <w:spacing w:before="0" w:after="0"/>
              <w:ind w:left="0" w:right="0" w:hanging="0"/>
              <w:jc w:val="left"/>
              <w:rPr/>
            </w:pPr>
            <w:r>
              <w:rPr/>
              <w:t> </w:t>
            </w:r>
          </w:p>
        </w:tc>
      </w:tr>
      <w:tr>
        <w:trPr/>
        <w:tc>
          <w:tcPr>
            <w:tcW w:w="9990" w:type="dxa"/>
            <w:gridSpan w:val="6"/>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(1) As it relates to realization events, we define an 'exit' of a portfolio company as situations where we have completely exited our position in all of the portfolio company's securities and no longer carry the portfolio company on our schedule of investments.</w:t>
            </w:r>
          </w:p>
        </w:tc>
        <w:tc>
          <w:tcPr>
            <w:tcW w:w="215" w:type="dxa"/>
            <w:tcBorders/>
            <w:shd w:fill="auto" w:val="clear"/>
            <w:vAlign w:val="center"/>
          </w:tcPr>
          <w:p>
            <w:pPr>
              <w:pStyle w:val="TableContents"/>
              <w:spacing w:before="0" w:after="0"/>
              <w:ind w:left="0" w:right="0" w:hanging="0"/>
              <w:jc w:val="left"/>
              <w:rPr/>
            </w:pPr>
            <w:r>
              <w:rPr/>
              <w:t> </w:t>
            </w:r>
          </w:p>
        </w:tc>
      </w:tr>
    </w:tbl>
    <w:p>
      <w:pPr>
        <w:pStyle w:val="TextBody"/>
        <w:spacing w:before="180" w:after="0"/>
        <w:jc w:val="both"/>
        <w:rPr>
          <w:rFonts w:ascii="Times New Roman;serif" w:hAnsi="Times New Roman;serif"/>
          <w:b w:val="false"/>
          <w:sz w:val="20"/>
        </w:rPr>
      </w:pPr>
      <w:r>
        <w:rPr>
          <w:rFonts w:ascii="Times New Roman;serif" w:hAnsi="Times New Roman;serif"/>
          <w:b w:val="false"/>
          <w:sz w:val="20"/>
        </w:rPr>
        <w:t>During the three months ended March 31, 2023 and 2022, we recorded a net change in unrealized appreciation (depreciation) on investments attributable to the following (dollars in millions):</w:t>
      </w:r>
    </w:p>
    <w:p>
      <w:pPr>
        <w:pStyle w:val="TextBody"/>
        <w:spacing w:before="180" w:after="0"/>
        <w:jc w:val="both"/>
        <w:rPr/>
      </w:pPr>
      <w:r>
        <w:rPr/>
        <w:t> </w:t>
      </w:r>
    </w:p>
    <w:tbl>
      <w:tblPr>
        <w:tblW w:w="6520" w:type="dxa"/>
        <w:jc w:val="left"/>
        <w:tblInd w:w="0" w:type="dxa"/>
        <w:tblCellMar>
          <w:top w:w="28" w:type="dxa"/>
          <w:left w:w="28" w:type="dxa"/>
          <w:bottom w:w="28" w:type="dxa"/>
          <w:right w:w="28" w:type="dxa"/>
        </w:tblCellMar>
      </w:tblPr>
      <w:tblGrid>
        <w:gridCol w:w="3766"/>
        <w:gridCol w:w="146"/>
        <w:gridCol w:w="316"/>
        <w:gridCol w:w="631"/>
        <w:gridCol w:w="268"/>
        <w:gridCol w:w="235"/>
        <w:gridCol w:w="316"/>
        <w:gridCol w:w="631"/>
        <w:gridCol w:w="211"/>
      </w:tblGrid>
      <w:tr>
        <w:trPr/>
        <w:tc>
          <w:tcPr>
            <w:tcW w:w="37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37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239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Unrealized Appreciation (Depreciation)</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235" w:type="dxa"/>
            <w:tcBorders/>
            <w:shd w:fill="auto" w:val="clear"/>
            <w:vAlign w:val="center"/>
          </w:tcPr>
          <w:p>
            <w:pPr>
              <w:pStyle w:val="TableContents"/>
              <w:spacing w:before="0" w:after="0"/>
              <w:ind w:left="0" w:right="0" w:hanging="0"/>
              <w:jc w:val="center"/>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766"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Exit, sale or restructuring of investments</w:t>
            </w:r>
          </w:p>
        </w:tc>
        <w:tc>
          <w:tcPr>
            <w:tcW w:w="146"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35"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3766"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Fair value adjustments to debt investments</w:t>
            </w:r>
          </w:p>
        </w:tc>
        <w:tc>
          <w:tcPr>
            <w:tcW w:w="146" w:type="dxa"/>
            <w:tcBorders/>
            <w:shd w:fill="auto" w:val="clear"/>
            <w:vAlign w:val="center"/>
          </w:tcPr>
          <w:p>
            <w:pPr>
              <w:pStyle w:val="TableContents"/>
              <w:spacing w:before="0" w:after="0"/>
              <w:ind w:left="0" w:right="0" w:hanging="0"/>
              <w:jc w:val="both"/>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(0.6</w:t>
            </w:r>
          </w:p>
        </w:tc>
        <w:tc>
          <w:tcPr>
            <w:tcW w:w="268"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235" w:type="dxa"/>
            <w:tcBorders/>
            <w:shd w:fill="auto" w:val="clear"/>
            <w:vAlign w:val="center"/>
          </w:tcPr>
          <w:p>
            <w:pPr>
              <w:pStyle w:val="TableContents"/>
              <w:spacing w:before="0" w:after="0"/>
              <w:ind w:left="0" w:right="0" w:hanging="0"/>
              <w:jc w:val="left"/>
              <w:rPr/>
            </w:pPr>
            <w:r>
              <w:rPr/>
              <w:t> </w:t>
            </w:r>
          </w:p>
        </w:tc>
        <w:tc>
          <w:tcPr>
            <w:tcW w:w="316"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w:t>
            </w:r>
          </w:p>
        </w:tc>
        <w:tc>
          <w:tcPr>
            <w:tcW w:w="211" w:type="dxa"/>
            <w:tcBorders/>
            <w:shd w:fill="auto" w:val="clear"/>
            <w:vAlign w:val="center"/>
          </w:tcPr>
          <w:p>
            <w:pPr>
              <w:pStyle w:val="TableContents"/>
              <w:spacing w:before="0" w:after="0"/>
              <w:ind w:left="0" w:right="0" w:hanging="0"/>
              <w:jc w:val="left"/>
              <w:rPr/>
            </w:pPr>
            <w:r>
              <w:rPr/>
              <w:t> </w:t>
            </w:r>
          </w:p>
        </w:tc>
      </w:tr>
      <w:tr>
        <w:trPr/>
        <w:tc>
          <w:tcPr>
            <w:tcW w:w="3766"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Fair value adjustments to equity investments</w:t>
            </w:r>
          </w:p>
        </w:tc>
        <w:tc>
          <w:tcPr>
            <w:tcW w:w="146" w:type="dxa"/>
            <w:tcBorders/>
            <w:shd w:fill="auto" w:val="clear"/>
            <w:vAlign w:val="center"/>
          </w:tcPr>
          <w:p>
            <w:pPr>
              <w:pStyle w:val="TableContents"/>
              <w:spacing w:before="0" w:after="0"/>
              <w:ind w:left="0" w:right="0" w:hanging="0"/>
              <w:jc w:val="both"/>
              <w:rPr/>
            </w:pPr>
            <w:r>
              <w:rPr/>
              <w:t> </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w:t>
            </w:r>
          </w:p>
        </w:tc>
        <w:tc>
          <w:tcPr>
            <w:tcW w:w="26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(0.9</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3766" w:type="dxa"/>
            <w:tcBorders/>
            <w:shd w:fill="auto" w:val="clear"/>
            <w:vAlign w:val="center"/>
          </w:tcPr>
          <w:p>
            <w:pPr>
              <w:pStyle w:val="TableContents"/>
              <w:spacing w:before="0" w:after="0"/>
              <w:ind w:left="0" w:right="0" w:hanging="0"/>
              <w:jc w:val="both"/>
              <w:rPr>
                <w:rFonts w:ascii="Times New Roman;serif" w:hAnsi="Times New Roman;serif"/>
                <w:b w:val="false"/>
                <w:sz w:val="16"/>
              </w:rPr>
            </w:pPr>
            <w:r>
              <w:rPr>
                <w:rFonts w:ascii="Times New Roman;serif" w:hAnsi="Times New Roman;serif"/>
                <w:b w:val="false"/>
                <w:sz w:val="16"/>
              </w:rPr>
              <w:t>Net change in unrealized appreciation (depreciation)</w:t>
            </w:r>
          </w:p>
        </w:tc>
        <w:tc>
          <w:tcPr>
            <w:tcW w:w="146" w:type="dxa"/>
            <w:tcBorders/>
            <w:shd w:fill="auto" w:val="clear"/>
            <w:vAlign w:val="center"/>
          </w:tcPr>
          <w:p>
            <w:pPr>
              <w:pStyle w:val="TableContents"/>
              <w:spacing w:before="0" w:after="0"/>
              <w:ind w:left="0" w:right="0" w:hanging="0"/>
              <w:jc w:val="both"/>
              <w:rPr/>
            </w:pPr>
            <w:r>
              <w:rPr/>
              <w:t> </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0.7</w:t>
            </w:r>
          </w:p>
        </w:tc>
        <w:tc>
          <w:tcPr>
            <w:tcW w:w="26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235" w:type="dxa"/>
            <w:tcBorders/>
            <w:shd w:fill="auto" w:val="clear"/>
            <w:vAlign w:val="center"/>
          </w:tcPr>
          <w:p>
            <w:pPr>
              <w:pStyle w:val="TableContents"/>
              <w:spacing w:before="0" w:after="0"/>
              <w:ind w:left="0" w:right="0" w:hanging="0"/>
              <w:jc w:val="left"/>
              <w:rPr/>
            </w:pPr>
            <w:r>
              <w:rPr/>
              <w:t> </w:t>
            </w:r>
          </w:p>
        </w:tc>
        <w:tc>
          <w:tcPr>
            <w:tcW w:w="3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6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(5.3</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bl>
    <w:p>
      <w:pPr>
        <w:pStyle w:val="TextBody"/>
        <w:spacing w:before="0" w:after="0"/>
        <w:jc w:val="both"/>
        <w:rPr/>
      </w:pPr>
      <w:r>
        <w:rPr/>
        <w:t> </w:t>
      </w:r>
    </w:p>
    <w:p>
      <w:pPr>
        <w:pStyle w:val="TextBody"/>
        <w:spacing w:before="180" w:after="0"/>
        <w:jc w:val="both"/>
        <w:rPr>
          <w:rFonts w:ascii="Times New Roman;serif" w:hAnsi="Times New Roman;serif"/>
          <w:b w:val="false"/>
          <w:i/>
          <w:sz w:val="20"/>
        </w:rPr>
      </w:pPr>
      <w:r>
        <w:rPr>
          <w:rFonts w:ascii="Times New Roman;serif" w:hAnsi="Times New Roman;serif"/>
          <w:b w:val="false"/>
          <w:i/>
          <w:sz w:val="20"/>
        </w:rPr>
        <w:t>Net Increase in Net Assets Resulting From Operations</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Net increase (decrease) in net assets resulting from operations during the three months ended March 31, 2023 and 2022 was $15.5 million and $11.7 million, respectively, as a result of the events described above.</w:t>
      </w:r>
    </w:p>
    <w:p>
      <w:pPr>
        <w:pStyle w:val="TextBody"/>
        <w:spacing w:before="180" w:after="0"/>
        <w:jc w:val="both"/>
        <w:rPr>
          <w:rFonts w:ascii="Times New Roman" w:hAnsi="Times New Roman"/>
          <w:sz w:val="20"/>
        </w:rPr>
      </w:pPr>
      <w:r>
        <w:rPr>
          <w:rFonts w:ascii="Times New Roman;serif" w:hAnsi="Times New Roman;serif"/>
          <w:b/>
          <w:i/>
          <w:sz w:val="20"/>
        </w:rPr>
        <w:t>Liquidity and Capital Resources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Times New Roman;serif" w:hAnsi="Times New Roman;serif"/>
          <w:b w:val="false"/>
          <w:sz w:val="20"/>
        </w:rPr>
        <w:t>As of March 31, 2023, we had $36.4 million in cash and cash equivalents and our net assets totaled $484.6 million. We believe that our current cash and cash equivalents on hand, our Credit Facility, our continued access to SBA-guaranteed debentures, and our anticipated cash flows from investments will provide adequate capital resources with which to operate and finance our investment business and make distributions to our stockholders for at least the next 12 months. We intend to generate additional cash primarily from the future offerings of securities (including the ATM Program) and future borrowings, as well as cash flows from operations, including income earned from investments in our portfolio companies. On both a short-term and long-term basis, our primary use of funds will be investments in portfolio companies and cash distributions to our stockholders. We did not repay any SBA debentures during the three months ended March 31, 2023. Our remaining outstanding SBA debentures continue to mature in 2025 and subsequent years through 2033, which will require repayment on or before the respective maturity dates. This “Liquidity and Capital Resources” section should be read in conjunction with the notes of our consolidated financial statements.</w:t>
      </w:r>
      <w:r>
        <w:rPr>
          <w:rFonts w:ascii="Times New Roman" w:hAnsi="Times New Roman"/>
          <w:sz w:val="20"/>
        </w:rPr>
        <w:t xml:space="preserve"> </w:t>
      </w:r>
    </w:p>
    <w:p>
      <w:pPr>
        <w:pStyle w:val="TextBody"/>
        <w:spacing w:before="180" w:after="0"/>
        <w:jc w:val="left"/>
        <w:rPr>
          <w:rFonts w:ascii="Times New Roman" w:hAnsi="Times New Roman"/>
          <w:sz w:val="20"/>
        </w:rPr>
      </w:pPr>
      <w:r>
        <w:rPr>
          <w:rFonts w:ascii="Times New Roman;serif" w:hAnsi="Times New Roman;serif"/>
          <w:b w:val="false"/>
          <w:i/>
          <w:sz w:val="20"/>
        </w:rPr>
        <w:t>Cash Flows</w:t>
      </w:r>
      <w:r>
        <w:rPr>
          <w:rFonts w:ascii="Times New Roman" w:hAnsi="Times New Roman"/>
          <w:sz w:val="20"/>
        </w:rPr>
        <w:t xml:space="preserve"> </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For the three months ended March 31, 2023, we experienced a net decrease in cash and cash equivalents in the amount of $25.9 million. During that period, we made payments of $41.2 million of cash for operating activities, which included the funding of $51.5 million of investments that was partially offset by proceeds received from sales and repayments of investments of $15.9 million. During the same period, we received proceeds from the issuances of SBA debentures of $12.0 million, received net proceeds from the ATM program of approximately $5.3 million, received repayments of $0.2 million on our secured borrowings, paid cash dividends to stockholders of $16.5 million, and made payment of deferred financing costs related to our debt financings of $0.3 million.</w:t>
      </w:r>
    </w:p>
    <w:p>
      <w:pPr>
        <w:pStyle w:val="TextBody"/>
        <w:spacing w:before="180" w:after="0"/>
        <w:jc w:val="left"/>
        <w:rPr>
          <w:rFonts w:ascii="Times New Roman" w:hAnsi="Times New Roman"/>
          <w:sz w:val="20"/>
        </w:rPr>
      </w:pPr>
      <w:r>
        <w:rPr>
          <w:rFonts w:ascii="Times New Roman;serif" w:hAnsi="Times New Roman;serif"/>
          <w:b w:val="false"/>
          <w:i/>
          <w:sz w:val="20"/>
        </w:rPr>
        <w:t>Capital Resources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Times New Roman;serif" w:hAnsi="Times New Roman;serif"/>
          <w:b w:val="false"/>
          <w:sz w:val="20"/>
        </w:rPr>
        <w:t>We anticipate that we will continue to fund our investment activities on a long-term basis through a combination of additional debt and equity capital.</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50</w:t>
      </w:r>
    </w:p>
    <w:p>
      <w:pPr>
        <w:pStyle w:val="HorizontalLine"/>
        <w:rPr/>
      </w:pPr>
      <w:r>
        <w:rPr/>
      </w:r>
    </w:p>
    <w:p>
      <w:pPr>
        <w:pStyle w:val="TextBody"/>
        <w:spacing w:before="0" w:after="0"/>
        <w:jc w:val="left"/>
        <w:rPr/>
      </w:pPr>
      <w:r>
        <w:rPr/>
        <w:t> </w:t>
      </w:r>
    </w:p>
    <w:p>
      <w:pPr>
        <w:pStyle w:val="TextBody"/>
        <w:spacing w:before="180" w:after="0"/>
        <w:jc w:val="both"/>
        <w:rPr>
          <w:rFonts w:ascii="Times New Roman;serif" w:hAnsi="Times New Roman;serif"/>
          <w:b w:val="false"/>
          <w:i/>
          <w:sz w:val="20"/>
        </w:rPr>
      </w:pPr>
      <w:r>
        <w:rPr>
          <w:rFonts w:ascii="Times New Roman;serif" w:hAnsi="Times New Roman;serif"/>
          <w:b w:val="false"/>
          <w:i/>
          <w:sz w:val="20"/>
        </w:rPr>
        <w:t>SBA Debentures</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The Funds are licensed to operate as SBICs, and have the ability to issue debentures guaranteed by the SBA at favorable interest rates. Under the SBA regulations, an SBIC can have outstanding at any time debentures guaranteed by the SBA in an amount up to twice its regulatory capital. The SBA regulations currently limit the amount that is available to be borrowed by any SBIC and guaranteed by the SBA to 300.0% of an SBIC’s regulatory capital or $175.0 million, whichever is less. For two or more SBICs under common control, the maximum amount of outstanding SBA debentures cannot exceed $350.0 million. SBA debentures have fixed interest rates that approximate prevailing 10-year Treasury Note rates plus a spread and have a maturity of ten years with interest payable semi-annually. The principal amount of the SBA debentures is not required to be paid before maturity but may be pre-paid at any time. As of March 31, 2023, Fund II and Fund III had $40.0 million and $125.0 million of outstanding SBA debentures, respectively. Subject to SBA regulatory requirements and approval, Fund III may access up to $50.0 million of additional SBA debentures under the SBIC debenture program. The SBA may limit the amount that may be drawn each year under these commitments, and each issuance of leverage is conditioned on the Company’s full compliance, as determined by the SBA, with the terms and conditions under SBA regulations. For more information on the SBA debentures, please refer to Note 6 to our consolidated financial statements.</w:t>
      </w:r>
    </w:p>
    <w:p>
      <w:pPr>
        <w:pStyle w:val="TextBody"/>
        <w:spacing w:before="180" w:after="0"/>
        <w:jc w:val="both"/>
        <w:rPr>
          <w:rFonts w:ascii="Times New Roman;serif" w:hAnsi="Times New Roman;serif"/>
          <w:b w:val="false"/>
          <w:i/>
          <w:sz w:val="20"/>
        </w:rPr>
      </w:pPr>
      <w:r>
        <w:rPr>
          <w:rFonts w:ascii="Times New Roman;serif" w:hAnsi="Times New Roman;serif"/>
          <w:b w:val="false"/>
          <w:i/>
          <w:sz w:val="20"/>
        </w:rPr>
        <w:t>Credit Facility</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On June 16, 2014, we entered into a senior secured revolving credit agreement (the "Credit Agreement" and the senior secured revolving credit facility, the “Credit Facility”) with ING Capital LLC (“ING”), as the administrative agent, collateral agent, and lender. The Credit Facility is secured by certain portfolio investments held by us, but portfolio investments held by the Funds are not collateral for the Credit Facility. On April 24, 2019, we entered into an Amended &amp; Restated Senior Secured Revolving Credit Agreement (the “Amended Credit Agreement”) among us, as borrower, the lenders party thereto, and ING, as administrative agent. On June 26, 2020, we entered into an amendment to the Amended Credit Agreement that, among other changes, modified certain financial covenants. On August 17, 2022, the Company entered into a second amendment to the Amended Credit Agreement (“Second Amendment”). The Second Amendment, among other things: (i) changed the underlying benchmark used to compute interest under the Amended Credit Agreement to the Secured Overnight Financing Rate (SOFR) from the London Interbank Offered Rate (LIBOR); (ii) reduced the applicable margin from 3.00% to 2.675% on SOFR loans prior to satisfying certain step-down conditions, and from 2.675% to 2.50% after satisfying certain step-down conditions, with commensurate reductions in the applicable margins for base rate loans; (iii) provided for a loan commitment availability period ending on August 17, 2026; (iv) extended the maturity date to August 17, 2027 from April 24, 2023; and (v) amended certain financial covenants, including (a) amending the asset coverage ratio to no less than 1.50 to 1.00 from no less than 2.00 to 1.00 (on a regulatory basis); and (b) requiring the Company to maintain a senior asset coverage ratio of no less than 2.00 to 1.00.</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We pay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Facility is secured by a first priority security interest in all of our assets, excluding the assets of our SBIC subsidiaries.</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Amounts available to borrow under the Credit Facility are subject to a minimum borrowing/collateral base that applies an advance rate to certain investments held by us, excluding investments held by the Funds. We are subject to limitations with respect to the investments securing the Credit Facility, including, but not limited to, restrictions on sector concentrations, loan size, payment frequency and status and collateral interests, as well as restrictions on portfolio company leverage, which may also affect the borrowing base and therefore amounts available to borrow.</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We have made customary representations and warranties and we are required to comply with various covenants, reporting requirements and other customary requirements for similar credit facilities. These covenants are subject to important limitations and exceptions that are described in the documents governing the Credit Facility. As of March 31, 2023, we were in compliance with all covenants under the Credit Agreement and we had $15.0 million outstanding under the Credit Facility.</w:t>
      </w:r>
    </w:p>
    <w:p>
      <w:pPr>
        <w:pStyle w:val="TextBody"/>
        <w:spacing w:before="180" w:after="0"/>
        <w:jc w:val="both"/>
        <w:rPr>
          <w:rFonts w:ascii="Times New Roman;serif" w:hAnsi="Times New Roman;serif"/>
          <w:b w:val="false"/>
          <w:i/>
          <w:sz w:val="20"/>
        </w:rPr>
      </w:pPr>
      <w:r>
        <w:rPr>
          <w:rFonts w:ascii="Times New Roman;serif" w:hAnsi="Times New Roman;serif"/>
          <w:b w:val="false"/>
          <w:i/>
          <w:sz w:val="20"/>
        </w:rPr>
        <w:t>Notes</w:t>
      </w:r>
    </w:p>
    <w:p>
      <w:pPr>
        <w:pStyle w:val="TextBody"/>
        <w:spacing w:before="240" w:after="0"/>
        <w:jc w:val="both"/>
        <w:rPr>
          <w:rFonts w:ascii="Times New Roman" w:hAnsi="Times New Roman"/>
          <w:sz w:val="20"/>
        </w:rPr>
      </w:pPr>
      <w:r>
        <w:rPr>
          <w:rFonts w:ascii="Times New Roman;serif" w:hAnsi="Times New Roman;serif"/>
          <w:b w:val="false"/>
          <w:sz w:val="20"/>
        </w:rPr>
        <w:t>On December 23, 2020, we closed the offering of $125.0</w:t>
      </w:r>
      <w:r>
        <w:rPr>
          <w:rFonts w:ascii="Times New Roman" w:hAnsi="Times New Roman"/>
          <w:sz w:val="20"/>
        </w:rPr>
        <w:t xml:space="preserve"> </w:t>
      </w:r>
      <w:r>
        <w:rPr>
          <w:rFonts w:ascii="Times New Roman;serif" w:hAnsi="Times New Roman;serif"/>
          <w:b w:val="false"/>
          <w:sz w:val="20"/>
        </w:rPr>
        <w:t>million in aggregate principal amount of our 4.75% notes due 2026, or the “January 2026 Notes</w:t>
      </w:r>
      <w:r>
        <w:rPr>
          <w:rFonts w:ascii="Times New Roman" w:hAnsi="Times New Roman"/>
          <w:sz w:val="20"/>
        </w:rPr>
        <w:t>”</w:t>
      </w:r>
      <w:r>
        <w:rPr>
          <w:rFonts w:ascii="Times New Roman;serif" w:hAnsi="Times New Roman;serif"/>
          <w:b w:val="false"/>
          <w:sz w:val="20"/>
        </w:rPr>
        <w:t>. The total net proceeds to us from the January 2026 Notes, based on a public offering price of 100.00% of par, after deducting underwriting discounts of $2.5 million and estimated offering expenses of approximately $0.4 million, were approximately $122.1 million. The January 2026 Notes will mature on January 31, 2026 and bear interest at a rate of 4.75%. The January 2026 Notes may be redeemed in whole or in part at any time or from time to time at our option subject to a make whole provision if redeemed more than three months prior to maturity and at par thereafter. Interest on the January 2026 Notes is payable on January 31 and July 31 of each year.</w:t>
      </w:r>
      <w:r>
        <w:rPr>
          <w:rFonts w:ascii="Times New Roman" w:hAnsi="Times New Roman"/>
          <w:sz w:val="20"/>
        </w:rPr>
        <w:t xml:space="preserve"> </w:t>
      </w:r>
      <w:r>
        <w:rPr>
          <w:rFonts w:ascii="Times New Roman;serif" w:hAnsi="Times New Roman;serif"/>
          <w:b w:val="false"/>
          <w:sz w:val="20"/>
        </w:rPr>
        <w:t>We do not intend to list the January 2026 Notes on any securities exchange or automated dealer quotation system. As of March 31, 2023, the outstanding principal balance of the January 2026 Notes was approximately $125.0 million.</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51</w:t>
      </w:r>
    </w:p>
    <w:p>
      <w:pPr>
        <w:pStyle w:val="HorizontalLine"/>
        <w:rPr/>
      </w:pPr>
      <w:r>
        <w:rPr/>
      </w:r>
    </w:p>
    <w:p>
      <w:pPr>
        <w:pStyle w:val="TextBody"/>
        <w:spacing w:before="0" w:after="0"/>
        <w:jc w:val="left"/>
        <w:rPr/>
      </w:pPr>
      <w:r>
        <w:rPr/>
        <w:t> </w:t>
      </w:r>
    </w:p>
    <w:p>
      <w:pPr>
        <w:pStyle w:val="TextBody"/>
        <w:spacing w:before="180" w:after="0"/>
        <w:jc w:val="both"/>
        <w:rPr>
          <w:rFonts w:ascii="Times New Roman" w:hAnsi="Times New Roman"/>
          <w:sz w:val="20"/>
        </w:rPr>
      </w:pPr>
      <w:r>
        <w:rPr>
          <w:rFonts w:ascii="Times New Roman;serif" w:hAnsi="Times New Roman;serif"/>
          <w:b w:val="false"/>
          <w:sz w:val="20"/>
        </w:rPr>
        <w:t>On October 8, 2021, we closed the offering of $125.0</w:t>
      </w:r>
      <w:r>
        <w:rPr>
          <w:rFonts w:ascii="Times New Roman" w:hAnsi="Times New Roman"/>
          <w:sz w:val="20"/>
        </w:rPr>
        <w:t xml:space="preserve"> </w:t>
      </w:r>
      <w:r>
        <w:rPr>
          <w:rFonts w:ascii="Times New Roman;serif" w:hAnsi="Times New Roman;serif"/>
          <w:b w:val="false"/>
          <w:sz w:val="20"/>
        </w:rPr>
        <w:t>million in aggregate principal amount of our 3.50% notes due 2026, or the “November 2026 Notes</w:t>
      </w:r>
      <w:r>
        <w:rPr>
          <w:rFonts w:ascii="Times New Roman" w:hAnsi="Times New Roman"/>
          <w:sz w:val="20"/>
        </w:rPr>
        <w:t xml:space="preserve">” </w:t>
      </w:r>
      <w:r>
        <w:rPr>
          <w:rFonts w:ascii="Times New Roman;serif" w:hAnsi="Times New Roman;serif"/>
          <w:b w:val="false"/>
          <w:sz w:val="20"/>
        </w:rPr>
        <w:t>(collectively with the January 2026 Notes, the “Notes”). The total net proceeds to us from the November 2026 Notes, based on a public offering price of 99.996% of par, after deducting underwriting discounts of $2.5 million and estimated offering expenses of approximately $0.3 million, were approximately $122.2 million. The November 2026 Notes will mature on November 15, 2026 and bear interest at a rate of 3.50%. The November 2026 Notes may be redeemed in whole or in part at any time or from time to time at our option subject to a make whole provision if redeemed more than three months prior to maturity and at par thereafter. Interest on the November 2026 Notes is payable on May 15 and November 15 of each year. We do not intend to list the November 2026 Notes on any securities exchange or automated dealer quotation system.</w:t>
      </w:r>
      <w:r>
        <w:rPr>
          <w:rFonts w:ascii="Times New Roman" w:hAnsi="Times New Roman"/>
          <w:sz w:val="20"/>
        </w:rPr>
        <w:t xml:space="preserve"> </w:t>
      </w:r>
      <w:r>
        <w:rPr>
          <w:rFonts w:ascii="Times New Roman;serif" w:hAnsi="Times New Roman;serif"/>
          <w:b w:val="false"/>
          <w:sz w:val="20"/>
        </w:rPr>
        <w:t>As of March 31, 2023, the outstanding principal balance of the November 2026 Notes was approximately $125.0 million.</w:t>
      </w:r>
      <w:r>
        <w:rPr>
          <w:rFonts w:ascii="Times New Roman" w:hAnsi="Times New Roman"/>
          <w:sz w:val="20"/>
        </w:rPr>
        <w:t xml:space="preserve"> </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Each of the Notes are unsecured obligations and rank pari passu with our existing and future unsecured indebtedness; effectively subordinated to all of our existing and future secured indebtedness; and structurally subordinated to all existing and future indebtedness and other obligations of any of our subsidiaries, financing vehicles, or similar facilities we may form in the future, with respect to claims on the assets of any such subsidiaries, financing vehicles, or similar facilities, including the Credit Facility.</w:t>
      </w:r>
    </w:p>
    <w:p>
      <w:pPr>
        <w:pStyle w:val="TextBody"/>
        <w:spacing w:before="180" w:after="0"/>
        <w:jc w:val="both"/>
        <w:rPr>
          <w:rFonts w:ascii="Times New Roman;serif" w:hAnsi="Times New Roman;serif"/>
          <w:b w:val="false"/>
          <w:i/>
          <w:sz w:val="20"/>
        </w:rPr>
      </w:pPr>
      <w:r>
        <w:rPr>
          <w:rFonts w:ascii="Times New Roman;serif" w:hAnsi="Times New Roman;serif"/>
          <w:b w:val="false"/>
          <w:i/>
          <w:sz w:val="20"/>
        </w:rPr>
        <w:t>Secured Borrowing</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As of March 31, 2023, the carrying value of secured borrowings totaled $16.6 million and the fair value of the associated loans included in investments was $16.6 million. As of December 31, 2022, carrying value of secured borrowings totaled $16.9 million and the fair value of the associated loans included in investments was $16.9 million. These secured borrowings were created as a result of our completion of partial loan sales of certain unitranche loan assets that did not meet the definition of a “participating interest.” As a result, sale treatment was not permitted and these partial loan sales were treated as secured borrowings. The weighted average interest rate on our secured borrowings was approximately 8.685% and 7.786% as of March 31, 2023 and December 31, 2022, respectively.</w:t>
      </w:r>
    </w:p>
    <w:p>
      <w:pPr>
        <w:pStyle w:val="TextBody"/>
        <w:spacing w:before="180" w:after="0"/>
        <w:jc w:val="both"/>
        <w:rPr>
          <w:rFonts w:ascii="Times New Roman" w:hAnsi="Times New Roman"/>
          <w:sz w:val="20"/>
        </w:rPr>
      </w:pPr>
      <w:r>
        <w:rPr>
          <w:rFonts w:ascii="Times New Roman;serif" w:hAnsi="Times New Roman;serif"/>
          <w:b w:val="false"/>
          <w:sz w:val="20"/>
        </w:rPr>
        <w:t>As of March 31, 2023, the weighted average stated interest rates for our SBA debentures and the Notes were 3.268% and 4.125%, respectively. As of March 31, 2023, we had $85.0 million of unutilized commitment under our Credit Facility, and we were subject to a 0.971% fee on such amount. As of March 31, 2023, the weighted average stated interest rate on total debt outstanding was 4.244%.</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Times New Roman;serif" w:hAnsi="Times New Roman;serif"/>
          <w:b w:val="false"/>
          <w:sz w:val="20"/>
        </w:rPr>
        <w:t>As a BDC, we are generally required to meet an asset coverage ratio of at least 150.0% (defined as the ratio which the value of our consolidated total assets, less all consolidated liabilities and indebtedness not represented by senior securities, bears to the aggregate amount of senior securities representing indebtedness), which includes borrowings and any preferred stock we may issue in the future. This requirement limits the amount that we may borrow. On April 29, 2019, our Board, including a majority of the non-interested directors, approved a minimum asset coverage ratio of 150% under Sections 18(a)(1) and 18(a)(2) of the 1940 Act. As a result, we are subject to the 150% asset coverage ratio effective as of April 29, 2020. We have received exemptive relief from the U.S. Securities and Exchange Commission (“SEC”) to allow us to exclude the senior securities issued by the Funds from the definition of senior securities in the 150% asset coverage requirement applicable to the Company under the 1940 Act, which, in turn, will enable us to fund more investments with debt capital.</w:t>
      </w:r>
      <w:r>
        <w:rPr>
          <w:rFonts w:ascii="Times New Roman" w:hAnsi="Times New Roman"/>
          <w:sz w:val="20"/>
        </w:rPr>
        <w:t xml:space="preserve"> </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As a BDC, we are generally not permitted to issue and sell our common stock at a price below net asset value per share. We may, however, sell our common stock, or warrants, options or rights to acquire our common stock, at a price below the then-current net asset value per share of our common stock if the Board, including the Independent Directors, determines that such sale is in the best interests of us and our stockholders, and if our stockholders approve such sale. On June 29, 2022, our stockholders voted to allow us to sell or otherwise issue common stock at a price below net asset value per share for a period of one year ending on the earlier of June 29, 2023 or the date of our 2023 Annual Meeting of Stockholders. Our stockholders specified that the cumulative number of shares sold in each offering during the one-year period ending on the earlier of June 29, 2023 or the date of our 2023 Annual Meeting of Stockholders may not exceed 25.0% of our outstanding common stock immediately prior to each such sale. We are seeking stockholder approval of a similar proposal at our 2023 Annual Meeting of Stockholders</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52</w:t>
      </w:r>
    </w:p>
    <w:p>
      <w:pPr>
        <w:pStyle w:val="HorizontalLine"/>
        <w:rPr/>
      </w:pPr>
      <w:r>
        <w:rPr/>
      </w:r>
    </w:p>
    <w:p>
      <w:pPr>
        <w:pStyle w:val="TextBody"/>
        <w:spacing w:before="0" w:after="0"/>
        <w:jc w:val="left"/>
        <w:rPr/>
      </w:pPr>
      <w:r>
        <w:rPr/>
        <w:t> </w:t>
      </w:r>
    </w:p>
    <w:p>
      <w:pPr>
        <w:pStyle w:val="TextBody"/>
        <w:spacing w:before="180" w:after="180"/>
        <w:jc w:val="both"/>
        <w:rPr>
          <w:rFonts w:ascii="Times New Roman;serif" w:hAnsi="Times New Roman;serif"/>
          <w:b w:val="false"/>
          <w:i/>
          <w:sz w:val="20"/>
        </w:rPr>
      </w:pPr>
      <w:r>
        <w:rPr>
          <w:rFonts w:ascii="Times New Roman;serif" w:hAnsi="Times New Roman;serif"/>
          <w:b w:val="false"/>
          <w:i/>
          <w:sz w:val="20"/>
        </w:rPr>
        <w:t>Equity ATM Program</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On November 10, 2022, the Company established the at-the-market program (the “ATM Program”), pursuant to which the Company may offer and sell, from time to time through Raymond James &amp; Associates, Inc. and B. Riley Securities, Inc., each as sales agents, shares of the Company’s common stock having an aggregate offering price of up to $50.0 million. Cumulative to date, the Company has sold 550,998 shares of common stock under the ATM Program at a weighted-average price of $20.49, raising $11.3 million of gross proceeds. Net proceeds were $11.1 million after commissions to the sales agents on sales sold. As of March 31, 2023, the Company has $38.7 million available under the ATM Program.</w:t>
      </w:r>
    </w:p>
    <w:p>
      <w:pPr>
        <w:pStyle w:val="TextBody"/>
        <w:spacing w:before="180" w:after="0"/>
        <w:jc w:val="both"/>
        <w:rPr>
          <w:rFonts w:ascii="Times New Roman;serif" w:hAnsi="Times New Roman;serif"/>
          <w:b w:val="false"/>
          <w:i/>
          <w:sz w:val="20"/>
        </w:rPr>
      </w:pPr>
      <w:r>
        <w:rPr>
          <w:rFonts w:ascii="Times New Roman;serif" w:hAnsi="Times New Roman;serif"/>
          <w:b w:val="false"/>
          <w:i/>
          <w:sz w:val="20"/>
        </w:rPr>
        <w:t>Stock Repurchase Program</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31, 2022, the Board extended the Stock Repurchase Program through December 31, 2023,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 We did not make any repurchases of common stock during the three months ended March 31, 2023 and 2022. Refer to Note 8 to our consolidated financial statements for additional information concerning stock repurchases.</w:t>
      </w:r>
    </w:p>
    <w:p>
      <w:pPr>
        <w:pStyle w:val="TextBody"/>
        <w:spacing w:before="180" w:after="0"/>
        <w:jc w:val="left"/>
        <w:rPr>
          <w:rFonts w:ascii="Times New Roman;serif" w:hAnsi="Times New Roman;serif"/>
          <w:b/>
          <w:sz w:val="20"/>
        </w:rPr>
      </w:pPr>
      <w:r>
        <w:rPr>
          <w:rFonts w:ascii="Times New Roman;serif" w:hAnsi="Times New Roman;serif"/>
          <w:b/>
          <w:sz w:val="20"/>
        </w:rPr>
        <w:t>Critical Accounting Policies and Use of Estimates</w:t>
      </w:r>
    </w:p>
    <w:p>
      <w:pPr>
        <w:pStyle w:val="TextBody"/>
        <w:spacing w:before="180" w:after="0"/>
        <w:jc w:val="both"/>
        <w:rPr>
          <w:rFonts w:ascii="Times New Roman" w:hAnsi="Times New Roman"/>
          <w:sz w:val="20"/>
        </w:rPr>
      </w:pPr>
      <w:r>
        <w:rPr>
          <w:rFonts w:ascii="Times New Roman;serif" w:hAnsi="Times New Roman;serif"/>
          <w:b w:val="false"/>
          <w:sz w:val="20"/>
        </w:rPr>
        <w:t>The preparation of financial statements in accordance with GAAP requires management to make certain estimates and assumptions affecting amounts reported in the financial statements. We have identified investment valuation, revenue recognition and transfers of financial assets as our most critical accounting policies and estimates. We continuously evaluate our policies and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r>
        <w:rPr>
          <w:rFonts w:ascii="Times New Roman" w:hAnsi="Times New Roman"/>
          <w:sz w:val="20"/>
        </w:rPr>
        <w:t xml:space="preserve"> </w:t>
      </w:r>
    </w:p>
    <w:p>
      <w:pPr>
        <w:pStyle w:val="TextBody"/>
        <w:spacing w:before="180" w:after="0"/>
        <w:jc w:val="left"/>
        <w:rPr>
          <w:rFonts w:ascii="Times New Roman;serif" w:hAnsi="Times New Roman;serif"/>
          <w:b/>
          <w:i/>
          <w:sz w:val="20"/>
        </w:rPr>
      </w:pPr>
      <w:r>
        <w:rPr>
          <w:rFonts w:ascii="Times New Roman;serif" w:hAnsi="Times New Roman;serif"/>
          <w:b/>
          <w:i/>
          <w:sz w:val="20"/>
        </w:rPr>
        <w:t>Valuation of Portfolio Investments</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As a BDC, we report our assets and liabilities at fair value at all times consistent with GAAP and the 1940 Act. Accordingly, we are required to periodically determine the fair value of all of our portfolio investments.</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Our investments generally consist of illiquid securities including debt and equity investments in lower middle-market companies. Investments for which market quotations are readily available are valued at such market quotations. Because we expect that there will not be a readily available market for substantially all of the investments in our portfolio, we value substantially all of our portfolio investments at fair value as determined in good faith by our board of directors using a documented valuation policy and consistently applied valuation process. Due to the inherent uncertainty of determining the fair value of investments that do not have a readily available market quotation, the fair value of our investments may differ significantly from the values that would have been used had a readily available market quotation existed for such investments, and the difference could be material.</w:t>
      </w:r>
    </w:p>
    <w:p>
      <w:pPr>
        <w:pStyle w:val="TextBody"/>
        <w:spacing w:before="180" w:after="180"/>
        <w:jc w:val="both"/>
        <w:rPr>
          <w:rFonts w:ascii="Times New Roman" w:hAnsi="Times New Roman"/>
          <w:sz w:val="20"/>
        </w:rPr>
      </w:pPr>
      <w:r>
        <w:rPr>
          <w:rFonts w:ascii="Times New Roman;serif" w:hAnsi="Times New Roman;serif"/>
          <w:b w:val="false"/>
          <w:sz w:val="20"/>
        </w:rPr>
        <w:t>With respect to investments for which market quotations are not readily available, our board of directors undertakes a multi-step valuation process each quarter, as described below:</w:t>
      </w:r>
      <w:r>
        <w:rPr>
          <w:rFonts w:ascii="Times New Roman" w:hAnsi="Times New Roman"/>
          <w:sz w:val="20"/>
        </w:rPr>
        <w:t xml:space="preserve">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our quarterly valuation process begins with each portfolio company or investment being initially evaluated and rated by the investment professionals of the Investment Advisor responsible for the portfolio investment;</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preliminary valuation conclusions are then documented and discussed with the investment committee of the Investment Advisor;</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our board of directors engages one or more independent valuation firm(s) to conduct independent appraisals of a selection of our portfolio investments for which market quotations are not readily available. Each portfolio company investment is generally appraised by the valuation firm(s) at least once every calendar year and each new portfolio company investment is appraised at least once in the twelve-month period following the initial investment. In certain instances, we may determine that it is not cost-effective, and as a result it is not in our stockholders’ best interest, to request the independent appraisal of certain portfolio company investments. Such instances include, but are not limited to, situations where we determine that the fair value of the portfolio company investment is relatively insignificant to the fair value of the total portfolio;</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53</w:t>
      </w:r>
    </w:p>
    <w:p>
      <w:pPr>
        <w:pStyle w:val="HorizontalLine"/>
        <w:rPr/>
      </w:pPr>
      <w:r>
        <w:rPr/>
      </w:r>
    </w:p>
    <w:p>
      <w:pPr>
        <w:pStyle w:val="TextBody"/>
        <w:spacing w:before="0" w:after="0"/>
        <w:jc w:val="left"/>
        <w:rPr/>
      </w:pPr>
      <w:r>
        <w:rPr/>
        <w:t> </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the audit committee of our board of directors reviews the preliminary valuations of the Investment Advisor and of the independent valuation firm(s) and responds and supplements the valuation recommendations to reflect any comments; and</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our board of directors discusses the valuations and determines the fair value of each investment in our portfolio in good faith, based on the input of the Investment Advisor, the independent valuation firm(s) and the audit committee.</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In making the good faith determination of the value of portfolio investments, the Board starts with the cost basis of the security. The transaction price is typically the best estimate of fair value at inception. When evidence supports a subsequent change to the carrying value from the original transaction price, adjustments are made to reflect the expected exit values.</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Our Board consulted with the independent valuation firm(s) in arriving at our determination of fair value for 16 and 16 of our portfolio company investments representing 27.6% and 29.5% of the total portfolio investments at fair value (exclusive of new portfolio company investments made during the three months ended March 31, 2023 and December 31, 2022, respectively) as of March 31, 2023 and December 31, 2022, respectively</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Consistent with the policies and methodologies adopted by the Board, we perform detailed valuations of our debt and equity investments, including an analysis on the Company’s unfunded debt investment commitments, using both the market and income approaches as appropriate. Under the market approach, we typically use the enterprise value methodology to determine the fair value of an investment. There is no one methodology to estimate enterprise value and, in fact, for any one portfolio company, enterprise value is generally best expressed as a range of values, from which we derive a single estimate of enterprise value. Under the income approach, we typically prepare and analyze discounted cash flow models to estimate the present value of future cash flows of either an individual debt investment or of the underlying portfolio company itself.</w:t>
      </w:r>
    </w:p>
    <w:p>
      <w:pPr>
        <w:pStyle w:val="TextBody"/>
        <w:spacing w:before="180" w:after="0"/>
        <w:jc w:val="both"/>
        <w:rPr>
          <w:rFonts w:ascii="Times New Roman" w:hAnsi="Times New Roman"/>
          <w:sz w:val="20"/>
        </w:rPr>
      </w:pPr>
      <w:r>
        <w:rPr>
          <w:rFonts w:ascii="Times New Roman;serif" w:hAnsi="Times New Roman;serif"/>
          <w:b w:val="false"/>
          <w:sz w:val="20"/>
        </w:rPr>
        <w:t>We evaluate investments in portfolio companies using the most recent portfolio company financial statements and forecasts. We also consult with the portfolio company’s senior management to obtain further updates on the portfolio company’s performance, including information such as industry trends, new product development and other operational issues.</w:t>
      </w:r>
      <w:r>
        <w:rPr>
          <w:rFonts w:ascii="Times New Roman" w:hAnsi="Times New Roman"/>
          <w:sz w:val="20"/>
        </w:rPr>
        <w:t xml:space="preserve"> </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For our debt investments the primary valuation technique used to estimate the fair value is the discounted cash flow method. However, if there is deterioration in credit quality or a debt investment is in workout status, we may consider other methods in determining the fair value, including the value attributable to the debt investment from the enterprise value of the portfolio company or the proceeds that would be received in a liquidation analysis. Our discounted cash flow models estimate a range of fair values by applying an appropriate discount rate to the future cash flow streams of our debt investments, based on future interest and principal payments as set forth in the associated debt investment agreements. We prepare a weighted average cost of capital for use in the discounted cash flow model for each investment, based on factors including, but not limited to: current pricing and credit metrics for similar proposed or executed investment transactions of private companies; the portfolio company’s historical financial results and outlook; and the portfolio company’s current leverage and credit quality as compared to leverage and credit quality as of the date the investment was made. We may also consider the following factors when determining the fair value of debt investments: the portfolio company’s ability to make future scheduled payments; prepayment penalties and other fees; estimated remaining life; the nature and realizable value of any collateral securing such debt investment; and changes in the interest rate environment and the credit markets that generally may affect the price at which similar investments may be made. We estimate the remaining life of our debt investments to generally be the legal maturity date of the instrument, as we generally intend to hold debt investments to maturity. However, if we have information available to us that the debt investment is expected to be repaid in the near term, we would use an estimated remaining life based on the expected repayment date.</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For our equity investments, including equity securities and warrants, we generally use a market approach, including valuation methodologies consistent with industry practice, to estimate the enterprise value of portfolio companies. Typically, the enterprise value of a private company is based on multiples of EBITDA, net income, revenues, or in limited cases, book value. In estimating the enterprise value of a portfolio company, we analyze various factors consistent with industry practice, including but not limited to original transaction multiples, the portfolio company’s historical and projected financial results, applicable market trading and transaction comparables, applicable market yields and leverage levels, the nature and realizable value of any collateral, the markets in which the portfolio company does business, and comparisons of financial ratios of peer companies that are public.</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We may also utilize an income approach when estimating the fair value of our equity investments, either as a primary methodology if consistent with industry practice or if the market approach is otherwise not applicable, or as a supporting methodology to corroborate the fair value ranges determined by the market approach. We typically prepare and analyze discounted cash flow models based on projections of the future free cash flows (or earnings) of the portfolio company. We consider various factors, including but not limited to the portfolio company’s projected financial results, applicable market trading and transaction comparables, applicable market yields and leverage levels, the markets in which the portfolio company does business, and comparisons of financial ratios of peer companies that are public.</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54</w:t>
      </w:r>
    </w:p>
    <w:p>
      <w:pPr>
        <w:pStyle w:val="HorizontalLine"/>
        <w:rPr/>
      </w:pPr>
      <w:r>
        <w:rPr/>
      </w:r>
    </w:p>
    <w:p>
      <w:pPr>
        <w:pStyle w:val="TextBody"/>
        <w:spacing w:before="0" w:after="0"/>
        <w:jc w:val="left"/>
        <w:rPr/>
      </w:pPr>
      <w:r>
        <w:rPr/>
        <w:t> </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Determination of fair value involves subjective judgments and estimates. Accordingly, the notes to our consolidated financial statements express the uncertainties with respect to the possible effect of such valuations, and any changes in such valuations, on the consolidated financial statements.</w:t>
      </w:r>
    </w:p>
    <w:p>
      <w:pPr>
        <w:pStyle w:val="TextBody"/>
        <w:spacing w:before="180" w:after="0"/>
        <w:jc w:val="left"/>
        <w:rPr>
          <w:rFonts w:ascii="Times New Roman" w:hAnsi="Times New Roman"/>
          <w:sz w:val="20"/>
        </w:rPr>
      </w:pPr>
      <w:r>
        <w:rPr>
          <w:rFonts w:ascii="Times New Roman;serif" w:hAnsi="Times New Roman;serif"/>
          <w:b/>
          <w:i/>
          <w:sz w:val="20"/>
        </w:rPr>
        <w:t>Revenue Recognition</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Times New Roman;serif" w:hAnsi="Times New Roman;serif"/>
          <w:b w:val="false"/>
          <w:i/>
          <w:sz w:val="20"/>
        </w:rPr>
        <w:t>Investments and related investment income.</w:t>
      </w:r>
      <w:r>
        <w:rPr>
          <w:rFonts w:ascii="Times New Roman" w:hAnsi="Times New Roman"/>
          <w:sz w:val="20"/>
        </w:rPr>
        <w:t xml:space="preserve"> </w:t>
      </w:r>
      <w:r>
        <w:rPr>
          <w:rFonts w:ascii="Times New Roman;serif" w:hAnsi="Times New Roman;serif"/>
          <w:b w:val="false"/>
          <w:sz w:val="20"/>
        </w:rPr>
        <w:t>Realized gains or losses on investments are recorded upon the sale or disposition of a portfolio investment and are calculated as the difference between the net proceeds from the sale or disposition and the cost basis of the investment, without regard to unrealized appreciation or depreciation previously recognized. Net change in unrealized appreciation or depreciation on the consolidated statements of operations includes changes in the fair value of investments from the prior period, as determined by the Board through the application of our valuation policy, as well as reclassifications of any prior period unrealized appreciation or depreciation on exited investments to realized gains or losses on investments.</w:t>
      </w:r>
      <w:r>
        <w:rPr>
          <w:rFonts w:ascii="Times New Roman" w:hAnsi="Times New Roman"/>
          <w:sz w:val="20"/>
        </w:rPr>
        <w:t xml:space="preserve"> </w:t>
      </w:r>
    </w:p>
    <w:p>
      <w:pPr>
        <w:pStyle w:val="TextBody"/>
        <w:spacing w:before="180" w:after="0"/>
        <w:jc w:val="both"/>
        <w:rPr>
          <w:rFonts w:ascii="Times New Roman" w:hAnsi="Times New Roman"/>
          <w:sz w:val="20"/>
        </w:rPr>
      </w:pPr>
      <w:r>
        <w:rPr>
          <w:rFonts w:ascii="Times New Roman;serif" w:hAnsi="Times New Roman;serif"/>
          <w:b w:val="false"/>
          <w:i/>
          <w:sz w:val="20"/>
        </w:rPr>
        <w:t>Interest and dividend income</w:t>
      </w:r>
      <w:r>
        <w:rPr>
          <w:rFonts w:ascii="Times New Roman;serif" w:hAnsi="Times New Roman;serif"/>
          <w:b w:val="false"/>
          <w:sz w:val="20"/>
        </w:rPr>
        <w:t>. Interest and dividend income are recorded on the accrual basis to the extent that we expect to collect such amounts. Interest is accrued daily based on the outstanding principal amount and the contractual terms of the debt. Dividend income is recorded as dividends are declared or at the point an obligation exists for the portfolio company to make a distribution, and is generally recognized when received. Distributions from portfolio companies are evaluated to determine if the distribution is a distribution of earnings or a return of capital. Distributions of earnings are included in dividend income while a return of capital is recorded as a reduction in the cost basis of the investment. Estimates are adjusted as necessary after the relevant tax forms are received from the portfolio company.</w:t>
      </w:r>
    </w:p>
    <w:p>
      <w:pPr>
        <w:pStyle w:val="TextBody"/>
        <w:spacing w:before="180" w:after="0"/>
        <w:jc w:val="both"/>
        <w:rPr>
          <w:rFonts w:ascii="Times New Roman" w:hAnsi="Times New Roman"/>
          <w:sz w:val="20"/>
        </w:rPr>
      </w:pPr>
      <w:r>
        <w:rPr>
          <w:rFonts w:ascii="Times New Roman;serif" w:hAnsi="Times New Roman;serif"/>
          <w:b w:val="false"/>
          <w:i/>
          <w:sz w:val="20"/>
        </w:rPr>
        <w:t>PIK income.</w:t>
      </w:r>
      <w:r>
        <w:rPr>
          <w:rFonts w:ascii="Times New Roman" w:hAnsi="Times New Roman"/>
          <w:sz w:val="20"/>
        </w:rPr>
        <w:t xml:space="preserve"> </w:t>
      </w:r>
      <w:r>
        <w:rPr>
          <w:rFonts w:ascii="Times New Roman;serif" w:hAnsi="Times New Roman;serif"/>
          <w:b w:val="false"/>
          <w:sz w:val="20"/>
        </w:rPr>
        <w:t>Certain of our investments contain a PIK income provision. The PIK income, computed at the contractual rate specified in the applicable investment agreement, is added to the principal balance of the investment, rather than being paid in cash, and recorded as interest or dividend income, as applicable, on the consolidated statements of operations. Generally, PIK can be paid-in-kind or all in cash. We stop accruing PIK income when there is reasonable doubt that PIK income will be collected. PIK income that has been contractually capitalized to the principal balance of the investment prior to the non-accrual designation date is not reserved against interest or dividend income, but rather is assessed through the valuation of the investment (with corresponding adjustments to unrealized depreciation, as applicable). PIK income is included in our taxable income and, therefore, affects the amount we are required to pay to our stockholders in the form of dividends in order to maintain our tax treatment as a RIC, even though we have not yet collected the cash.</w:t>
      </w:r>
    </w:p>
    <w:p>
      <w:pPr>
        <w:pStyle w:val="TextBody"/>
        <w:spacing w:before="180" w:after="0"/>
        <w:jc w:val="both"/>
        <w:rPr>
          <w:rFonts w:ascii="Times New Roman" w:hAnsi="Times New Roman"/>
          <w:sz w:val="20"/>
        </w:rPr>
      </w:pPr>
      <w:r>
        <w:rPr>
          <w:rFonts w:ascii="Times New Roman;serif" w:hAnsi="Times New Roman;serif"/>
          <w:b w:val="false"/>
          <w:i/>
          <w:sz w:val="20"/>
        </w:rPr>
        <w:t>Non-accrual.</w:t>
      </w:r>
      <w:r>
        <w:rPr>
          <w:rFonts w:ascii="Times New Roman" w:hAnsi="Times New Roman"/>
          <w:sz w:val="20"/>
        </w:rPr>
        <w:t xml:space="preserve"> </w:t>
      </w:r>
      <w:r>
        <w:rPr>
          <w:rFonts w:ascii="Times New Roman;serif" w:hAnsi="Times New Roman;serif"/>
          <w:b w:val="false"/>
          <w:sz w:val="20"/>
        </w:rPr>
        <w:t>Debt investments or preferred equity investments (for which we are accruing PIK dividends) are placed on non-accrual status when principal, interest or dividend payments become materially past due, or when there is reasonable doubt that principal, interest or dividends will be collected. Any original issue discount and market discount are no longer accreted to interest income as of the date the loan is placed on full non-accrual status. Interest and dividend payments received on non-accrual investments may be recognized as interest or dividend income or applied to the investment principal balance based on management’s judgment. Non-accrual investments are restored to accrual status when past due principal, interest or dividends are paid and, in management’s judgment, are likely to remain current.</w:t>
      </w:r>
    </w:p>
    <w:p>
      <w:pPr>
        <w:pStyle w:val="TextBody"/>
        <w:spacing w:before="180" w:after="0"/>
        <w:jc w:val="both"/>
        <w:rPr>
          <w:rFonts w:ascii="Times New Roman" w:hAnsi="Times New Roman"/>
          <w:sz w:val="20"/>
        </w:rPr>
      </w:pPr>
      <w:r>
        <w:rPr>
          <w:rFonts w:ascii="Times New Roman;serif" w:hAnsi="Times New Roman;serif"/>
          <w:b w:val="false"/>
          <w:i/>
          <w:sz w:val="20"/>
        </w:rPr>
        <w:t>Warrants.</w:t>
      </w:r>
      <w:r>
        <w:rPr>
          <w:rFonts w:ascii="Times New Roman" w:hAnsi="Times New Roman"/>
          <w:sz w:val="20"/>
        </w:rPr>
        <w:t xml:space="preserve"> </w:t>
      </w:r>
      <w:r>
        <w:rPr>
          <w:rFonts w:ascii="Times New Roman;serif" w:hAnsi="Times New Roman;serif"/>
          <w:b w:val="false"/>
          <w:sz w:val="20"/>
        </w:rPr>
        <w:t>In connection with our debt investments, we will sometimes receive warrants or other equity-related securities (Warrants). We determine the cost basis of Warrants based upon their respective fair values on the date of receipt in proportion to the total fair value of the debt and Warrants received. Any resulting difference between the face amount of the debt and its recorded fair value resulting from the assignment of value to the Warrants is treated as OID and accreted into interest income using the effective interest method over the term of the debt investment. Upon the prepayment of a debt investment, any unaccreted OID is accelerated into interest income.</w:t>
      </w:r>
    </w:p>
    <w:p>
      <w:pPr>
        <w:pStyle w:val="TextBody"/>
        <w:spacing w:before="180" w:after="0"/>
        <w:jc w:val="both"/>
        <w:rPr>
          <w:rFonts w:ascii="Times New Roman" w:hAnsi="Times New Roman"/>
          <w:sz w:val="20"/>
        </w:rPr>
      </w:pPr>
      <w:r>
        <w:rPr>
          <w:rFonts w:ascii="Times New Roman;serif" w:hAnsi="Times New Roman;serif"/>
          <w:b w:val="false"/>
          <w:i/>
          <w:sz w:val="20"/>
        </w:rPr>
        <w:t>Fee income.</w:t>
      </w:r>
      <w:r>
        <w:rPr>
          <w:rFonts w:ascii="Times New Roman" w:hAnsi="Times New Roman"/>
          <w:sz w:val="20"/>
        </w:rPr>
        <w:t xml:space="preserve"> </w:t>
      </w:r>
      <w:r>
        <w:rPr>
          <w:rFonts w:ascii="Times New Roman;serif" w:hAnsi="Times New Roman;serif"/>
          <w:b w:val="false"/>
          <w:sz w:val="20"/>
        </w:rPr>
        <w:t>All transaction fees earned in connection with our investments are recognized as fee income and are generally non-recurring. Such fees typically include fees for services, including structuring and advisory services, provided to portfolio companies. We recognize income from fees for providing such structuring and advisory services when the services are rendered or the transactions are completed. Upon the prepayment of a debt investment, any prepayment penalties are recorded as fee income when earned.</w:t>
      </w:r>
      <w:r>
        <w:rPr>
          <w:rFonts w:ascii="Times New Roman" w:hAnsi="Times New Roman"/>
          <w:sz w:val="20"/>
        </w:rPr>
        <w:t xml:space="preserve"> </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We also typically receive debt investment origination or closing fees in connection with investments. Such debt investment origination and closing fees are capitalized as unearned income and offset against investment cost basis on our consolidated statements of assets and liabilities and accreted into interest income over the term of the investment. Upon the prepayment of a debt investment, any unaccreted debt investment origination and closing fees are accelerated into interest income.</w:t>
      </w:r>
    </w:p>
    <w:p>
      <w:pPr>
        <w:pStyle w:val="TextBody"/>
        <w:spacing w:before="180" w:after="0"/>
        <w:jc w:val="left"/>
        <w:rPr>
          <w:rFonts w:ascii="Times New Roman;serif" w:hAnsi="Times New Roman;serif"/>
          <w:b/>
          <w:i/>
          <w:sz w:val="20"/>
        </w:rPr>
      </w:pPr>
      <w:r>
        <w:rPr>
          <w:rFonts w:ascii="Times New Roman;serif" w:hAnsi="Times New Roman;serif"/>
          <w:b/>
          <w:i/>
          <w:sz w:val="20"/>
        </w:rPr>
        <w:t>Transfers of Financial Assets</w:t>
      </w:r>
    </w:p>
    <w:p>
      <w:pPr>
        <w:pStyle w:val="TextBody"/>
        <w:spacing w:before="180" w:after="0"/>
        <w:jc w:val="both"/>
        <w:rPr>
          <w:rFonts w:ascii="Times New Roman" w:hAnsi="Times New Roman"/>
          <w:sz w:val="20"/>
        </w:rPr>
      </w:pPr>
      <w:r>
        <w:rPr>
          <w:rFonts w:ascii="Times New Roman;serif" w:hAnsi="Times New Roman;serif"/>
          <w:b w:val="false"/>
          <w:i/>
          <w:sz w:val="20"/>
        </w:rPr>
        <w:t xml:space="preserve">Partial loan and equity sales. </w:t>
      </w:r>
      <w:r>
        <w:rPr>
          <w:rFonts w:ascii="Times New Roman;serif" w:hAnsi="Times New Roman;serif"/>
          <w:b w:val="false"/>
          <w:sz w:val="20"/>
        </w:rPr>
        <w:t xml:space="preserve">We follow the guidance in ASC 860, </w:t>
      </w:r>
      <w:r>
        <w:rPr>
          <w:rFonts w:ascii="Times New Roman;serif" w:hAnsi="Times New Roman;serif"/>
          <w:b w:val="false"/>
          <w:i/>
          <w:sz w:val="20"/>
        </w:rPr>
        <w:t xml:space="preserve">Transfers and Servicing, </w:t>
      </w:r>
      <w:r>
        <w:rPr>
          <w:rFonts w:ascii="Times New Roman;serif" w:hAnsi="Times New Roman;serif"/>
          <w:b w:val="false"/>
          <w:sz w:val="20"/>
        </w:rPr>
        <w:t>when accounting</w:t>
      </w:r>
      <w:r>
        <w:rPr>
          <w:rFonts w:ascii="Times New Roman" w:hAnsi="Times New Roman"/>
          <w:sz w:val="20"/>
        </w:rPr>
        <w:t xml:space="preserve"> </w:t>
      </w:r>
      <w:r>
        <w:rPr>
          <w:rFonts w:ascii="Times New Roman;serif" w:hAnsi="Times New Roman;serif"/>
          <w:b w:val="false"/>
          <w:sz w:val="20"/>
        </w:rPr>
        <w:t>for loan (debt investment) participations, equity assignments and other partial loan sales. Such guidance requires a participation, assignment or other partial loan or equity sale to meet the definition of a “participating interest,” as defined in the guidance, in order for sale</w:t>
      </w:r>
      <w:r>
        <w:rPr>
          <w:rFonts w:ascii="Times New Roman" w:hAnsi="Times New Roman"/>
          <w:sz w:val="20"/>
        </w:rPr>
        <w:t xml:space="preserve">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55</w:t>
      </w:r>
    </w:p>
    <w:p>
      <w:pPr>
        <w:pStyle w:val="HorizontalLine"/>
        <w:rPr/>
      </w:pPr>
      <w:r>
        <w:rPr/>
      </w:r>
    </w:p>
    <w:p>
      <w:pPr>
        <w:pStyle w:val="TextBody"/>
        <w:spacing w:before="0" w:after="0"/>
        <w:jc w:val="left"/>
        <w:rPr/>
      </w:pPr>
      <w:r>
        <w:rPr/>
        <w:t> </w:t>
      </w:r>
    </w:p>
    <w:p>
      <w:pPr>
        <w:pStyle w:val="TextBody"/>
        <w:spacing w:before="180" w:after="0"/>
        <w:jc w:val="both"/>
        <w:rPr>
          <w:rFonts w:ascii="Times New Roman" w:hAnsi="Times New Roman"/>
          <w:sz w:val="20"/>
        </w:rPr>
      </w:pPr>
      <w:r>
        <w:rPr>
          <w:rFonts w:ascii="Times New Roman;serif" w:hAnsi="Times New Roman;serif"/>
          <w:b w:val="false"/>
          <w:sz w:val="20"/>
        </w:rPr>
        <w:t>treatment to be allowed. Participations, assignments or other partial loan or equity sales which do not meet the definition of a participating interest should remain on our consolidated statements of assets and liabilities and the proceeds recorded as a secured borrowing until the definition is met.</w:t>
      </w:r>
      <w:r>
        <w:rPr>
          <w:rFonts w:ascii="Times New Roman" w:hAnsi="Times New Roman"/>
          <w:sz w:val="20"/>
        </w:rPr>
        <w:t xml:space="preserve"> </w:t>
      </w:r>
    </w:p>
    <w:p>
      <w:pPr>
        <w:pStyle w:val="TextBody"/>
        <w:spacing w:before="180" w:after="0"/>
        <w:jc w:val="left"/>
        <w:rPr>
          <w:rFonts w:ascii="Times New Roman;serif" w:hAnsi="Times New Roman;serif"/>
          <w:b/>
          <w:sz w:val="20"/>
        </w:rPr>
      </w:pPr>
      <w:r>
        <w:rPr>
          <w:rFonts w:ascii="Times New Roman;serif" w:hAnsi="Times New Roman;serif"/>
          <w:b/>
          <w:sz w:val="20"/>
        </w:rPr>
        <w:t>Recently Issued Accounting Standard</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In June 2022, the Financial Accounting Standards Board (“FASB”) issued Accounting Standards Update (“ASU”) No. 2022-03, “Fair Value Measurement of Equity Securities Subject to Contractual Sale Restrictions (Topic 820),” which clarifies that a contractual sale restriction prohibiting the sale of an equity security is a characteristic of the reporting entity holding the equity security and is not included in the equity security’s unit of account. Accordingly, an entity should not consider the contractual sale restriction when measuring the equity security’s fair value. In addition, ASU No. 2022-03 prohibits an entity from recognizing a contractual sale restriction as a separate unit of account. ASU No. 2022-03’s amendments are effective for fiscal years beginning after December 15, 2023, with early adoption permitted. We are currently evaluating the impact of the adoption of ASU No. 2022-03 on our consolidated financial statements.</w:t>
      </w:r>
    </w:p>
    <w:p>
      <w:pPr>
        <w:pStyle w:val="TextBody"/>
        <w:spacing w:before="180" w:after="0"/>
        <w:jc w:val="left"/>
        <w:rPr>
          <w:rFonts w:ascii="Times New Roman;serif" w:hAnsi="Times New Roman;serif"/>
          <w:b/>
          <w:sz w:val="20"/>
        </w:rPr>
      </w:pPr>
      <w:r>
        <w:rPr>
          <w:rFonts w:ascii="Times New Roman;serif" w:hAnsi="Times New Roman;serif"/>
          <w:b/>
          <w:sz w:val="20"/>
        </w:rPr>
        <w:t>Related Party Transactions</w:t>
      </w:r>
    </w:p>
    <w:p>
      <w:pPr>
        <w:pStyle w:val="TextBody"/>
        <w:spacing w:before="180" w:after="180"/>
        <w:jc w:val="both"/>
        <w:rPr>
          <w:rFonts w:ascii="Times New Roman;serif" w:hAnsi="Times New Roman;serif"/>
          <w:b w:val="false"/>
          <w:sz w:val="20"/>
        </w:rPr>
      </w:pPr>
      <w:r>
        <w:rPr>
          <w:rFonts w:ascii="Times New Roman;serif" w:hAnsi="Times New Roman;serif"/>
          <w:b w:val="false"/>
          <w:sz w:val="20"/>
        </w:rPr>
        <w:t>We have entered into a number of business relationships with affiliated or related parties, including the following:</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have entered into the Investment Advisory Agreement with Fidus Investment Advisors as our investment advisor. Pursuant to the agreement, the Investment Advisor manages our day-to-day operating and investing activities. We pay the Investment Advisor a fee for its services under the Investment Advisory Agreement consisting of two components — a base management fee and an incentive fee. See Note 5 to our consolidated financial statements.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Fidus Group Holdings, LLC (“Holdings”), a limited liability company organized under the laws of Delaware, is the parent company of Fidus Investment Advisors. Edward H. Ross, our Chairman and Chief Executive Officer, and Thomas C. Lauer, our President, are managers of Holdings.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We entered into the Administration Agreement with Fidus Investment Advisors to provide us with the office facilities and administrative services necessary to conduct day-to-day operations. See Note 5 to our consolidated financial statements.</w:t>
      </w:r>
    </w:p>
    <w:p>
      <w:pPr>
        <w:pStyle w:val="TextBody"/>
        <w:spacing w:before="0" w:after="0"/>
        <w:jc w:val="left"/>
        <w:rPr/>
      </w:pPr>
      <w:r>
        <w:rPr/>
        <w:t>•</w:t>
      </w:r>
    </w:p>
    <w:p>
      <w:pPr>
        <w:pStyle w:val="TextBody"/>
        <w:spacing w:before="0" w:after="0"/>
        <w:jc w:val="left"/>
        <w:rPr>
          <w:rFonts w:ascii="Times New Roman;serif" w:hAnsi="Times New Roman;serif"/>
          <w:b w:val="false"/>
          <w:sz w:val="20"/>
        </w:rPr>
      </w:pPr>
      <w:r>
        <w:rPr>
          <w:rFonts w:ascii="Times New Roman;serif" w:hAnsi="Times New Roman;serif"/>
          <w:b w:val="false"/>
          <w:sz w:val="20"/>
        </w:rPr>
        <w:t xml:space="preserve">We entered into a license agreement with Fidus Partners, LLC, pursuant to which Fidus Partners, LLC has granted us a non-exclusive, royalty-free license to use the name “Fidus.” </w:t>
      </w:r>
    </w:p>
    <w:p>
      <w:pPr>
        <w:pStyle w:val="TextBody"/>
        <w:spacing w:before="0" w:after="0"/>
        <w:jc w:val="left"/>
        <w:rPr/>
      </w:pPr>
      <w:r>
        <w:rPr/>
        <w:t>•</w:t>
      </w:r>
    </w:p>
    <w:p>
      <w:pPr>
        <w:pStyle w:val="TextBody"/>
        <w:jc w:val="left"/>
        <w:rPr>
          <w:rFonts w:ascii="Times New Roman;serif" w:hAnsi="Times New Roman;serif"/>
          <w:b w:val="false"/>
          <w:sz w:val="20"/>
        </w:rPr>
      </w:pPr>
      <w:r>
        <w:rPr>
          <w:rFonts w:ascii="Times New Roman;serif" w:hAnsi="Times New Roman;serif"/>
          <w:b w:val="false"/>
          <w:sz w:val="20"/>
        </w:rPr>
        <w:t>The Investment Advisor, in consultation with the Board, agreed to voluntarily waive $0.1 million and $0.1 million of the base management fees on any assets accounted for as secured borrowings as defined under GAAP for the three months ended March 31, 2023, and 2022, respectively.</w:t>
      </w:r>
    </w:p>
    <w:p>
      <w:pPr>
        <w:pStyle w:val="TextBody"/>
        <w:spacing w:before="180" w:after="0"/>
        <w:jc w:val="both"/>
        <w:rPr>
          <w:rFonts w:ascii="Times New Roman" w:hAnsi="Times New Roman"/>
          <w:sz w:val="20"/>
        </w:rPr>
      </w:pPr>
      <w:r>
        <w:rPr>
          <w:rFonts w:ascii="Times New Roman;serif" w:hAnsi="Times New Roman;serif"/>
          <w:b w:val="false"/>
          <w:sz w:val="20"/>
        </w:rPr>
        <w:t>In connection with the IPO and our election to be regulated as a BDC, we applied for and received exemptive relief from the SEC on March 27, 2012 to allow us to take certain actions that would otherwise be prohibited by the 1940 Act, as applicable to BDCs. Effective June 30, 2014, pursuant to exemptive relief from the SEC, we are permitted to exclude the senior securities issued by Fund II and Fund III from the definition of senior securities in the asset coverage requirement applicable to the Company under the 1940 Act.</w:t>
      </w:r>
      <w:r>
        <w:rPr>
          <w:rFonts w:ascii="Times New Roman" w:hAnsi="Times New Roman"/>
          <w:sz w:val="20"/>
        </w:rPr>
        <w:t xml:space="preserve"> </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While we may co-invest with investment entities managed by the Investment Advisor or its affiliates, to the extent permitted by the 1940 Act and the rules and regulations thereunder, the 1940 Act imposes significant limits on co-investment. On January 4, 2017, the SEC staff has granted us relief sought in an exemptive order that expands our ability to co-invest in portfolio companies with other funds managed by the Investment Advisor or its affiliates ("Affiliated Funds") in a manner consistent with our investment objective, positions, policies, strategies and restrictions as well as regulatory requirements and other pertinent factors, subject to compliance with certain conditions (the “Order”). Pursuant to the Order, we are permitted to co-invest with our affiliates if a “required majority” (as defined in Section 57(o) of the 1940 Act) or the Independent Directors make certain conclusions in connection with a co-investment transaction, including that (1) the terms of the transactions, including the consideration to be paid, are reasonable and fair to us and our stockholders and do not involve overreaching by us or our stockholders on the part of any person concerned, and (2) the transaction is consistent with the interests of our stockholders and is consistent with our investment objective and strategies. However, neither we nor our affiliates are obligated to invest or co-invest when investment opportunities are referred to us or them.</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In addition, we and our Investment Advisor have each adopted a joint code of ethics pursuant to Rule 17j-1 under the 1940 Act that governs the conduct of our and the Investment Advisor’s officers, directors and employees. Additionally, the Investment Advisor has adopted a code of ethics pursuant to Rule 204A-1 under the Advisers Act of 1940, as amended, and in accordance with Rule 17j-1(c) under the 1940 Act. We have also adopted a code of business conduct that is applicable to all officers, directors and employees of Fidus and our Investment Advisor. Our officers and directors also remain subject to the duties imposed by both the 1940 Act and the Maryland General Corporation Law.</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56</w:t>
      </w:r>
    </w:p>
    <w:p>
      <w:pPr>
        <w:pStyle w:val="HorizontalLine"/>
        <w:rPr/>
      </w:pPr>
      <w:r>
        <w:rPr/>
      </w:r>
    </w:p>
    <w:p>
      <w:pPr>
        <w:pStyle w:val="TextBody"/>
        <w:spacing w:before="0" w:after="0"/>
        <w:jc w:val="left"/>
        <w:rPr/>
      </w:pPr>
      <w:r>
        <w:rPr/>
        <w:t> </w:t>
      </w:r>
    </w:p>
    <w:p>
      <w:pPr>
        <w:pStyle w:val="TextBody"/>
        <w:spacing w:before="0" w:after="180"/>
        <w:jc w:val="left"/>
        <w:rPr>
          <w:rFonts w:ascii="Times New Roman;serif" w:hAnsi="Times New Roman;serif"/>
          <w:b/>
          <w:sz w:val="20"/>
        </w:rPr>
      </w:pPr>
      <w:r>
        <w:rPr>
          <w:rFonts w:ascii="Times New Roman;serif" w:hAnsi="Times New Roman;serif"/>
          <w:b/>
          <w:sz w:val="20"/>
        </w:rPr>
        <w:t>Recent Developments</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On April 4, 2023, we exited our debt and equity investments in Rhino Assembly Company, LLC. We received payment in full of $14.9 million on our second lien debt. We received a distribution on our common and preferred equity investments for a net realized gain of approximately $2.1 million.</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On April 28, 2023, we invested $2.5 million in first lien debt of Puget Collision, LLC, a multi-unit operator of auto collision repair shops operating in the CARSTAR and Fix Auto franchise systems.</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On May 1, 2023, our Board declared a regular quarterly dividend of $0.41 per share, a supplemental dividend of $0.19 per share, and a special dividend of $0.10 per share, payable on June 28, 2023, to stockholders of record as of June 21, 2023.</w:t>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15" w:name="item3_marketrisk"/>
      <w:bookmarkEnd w:id="15"/>
      <w:r>
        <w:rPr>
          <w:rFonts w:ascii="Times New Roman;serif" w:hAnsi="Times New Roman;serif"/>
          <w:b/>
          <w:sz w:val="20"/>
        </w:rPr>
        <w:t>Item 3. Quantitative and Qualitative Disclosures About Market Risk.</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We are subject to financial market risks, including changes in interest rates. Changes in interest rates affect both our cost of funding and the valuation of our investment portfolio. Our risk management systems and procedures are designed to identify and analyze our risk, to set appropriate policies and limits and to continually monitor these risks and limits by means of reliable administrative and information systems and other policies and programs. The prices of securities held by us may decline in response to certain events, including those directly involving the companies in which we invest and conditions affecting the general economy, including: overall market changes, including an increase in market volatility; legislative reform; local, regional, national or global political, social or economic instability; and interest rate volatility, including the decommissioning of LIBOR and rising interest rates.</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In the future, our investment income may also be affected by changes in various interest rates, including the decommissioning of LIBOR and changes in alternate rates and prime rates, to the extent of any debt investments that include floating interest rates. Since March 2022, the Federal Reserve has been rapidly raising interest rates and has indicated that it would consider additional rate hikes in response to ongoing inflation concerns. In a rising interest rate environment, our cost of funds would increase, which could reduce our net investment income if there is not a corresponding increase in interest income generated by our investment portfolio. It is possible that the Federal Reserve's tightening cycle could result the United States into a recession, which would likely decrease interest rates. A prolonged reduction in interest rates will reduce our gross investment income and could result in a decrease in our net investment income if such decreases in base rates, such as LIBOR and SOFR are not offset by a corresponding increase in the spread over such base rate that we earn on any portfolio investments, a decrease in in our operating expenses, including with respect to our income incentive fee, or a decrease in the interest rate of our floating interest rate liabilities tied to such base rate. See Risk Factors contained in our Annual Report on Form 10-K for the year ended December 31, 2022, such as "Changes in interest rates will affect our cost of capital and net investment income”, “Inflation may adversely affect the business, results of operations and financial condition of our portfolio companies, which may, in turn, impact the valuation of such portfolio companies”, and “Changes relating to the discontinuation LIBOR may adversely affect the value of our portfolio of LIBOR-indexed, floating-rate debt securities”.</w:t>
      </w:r>
    </w:p>
    <w:p>
      <w:pPr>
        <w:pStyle w:val="TextBody"/>
        <w:spacing w:before="180" w:after="0"/>
        <w:jc w:val="both"/>
        <w:rPr>
          <w:rFonts w:ascii="Times New Roman;serif" w:hAnsi="Times New Roman;serif"/>
          <w:b w:val="false"/>
          <w:sz w:val="20"/>
        </w:rPr>
      </w:pPr>
      <w:r>
        <w:rPr>
          <w:rFonts w:ascii="Times New Roman;serif" w:hAnsi="Times New Roman;serif"/>
          <w:b w:val="false"/>
          <w:sz w:val="20"/>
        </w:rPr>
        <w:t>As of March 31, 2023 and December 31, 2022, 43 and 43 portfolio companies’ debt investments, respectively, bore interest at a variable rate, which represented $549.9 million and $522.9 million of our portfolio on a fair value basis, respectively, and the remainder of our debt portfolio was comprised entirely of fixed rate investments. Our pooled SBA debentures and our Notes bear interest at fixed rates. Our Credit Facility bears interest, at our election, at a rate per annum equal to (a) 2.675% on SOFR loans prior to satisfying certain step-down conditions (or 2.50% after satisfying certain step-down conditions, with commensurate reductions in the applicable margins for base rate loans). We pay a commitment fee that varies depending on the size of the unused portion of the Credit Facility: 2.500% to 2.675% per annum on the unused portion of the Credit Facility at or below 35% of the commitments and 0.50% per annum on any remaining unused portion of the Credit Facility between the total commitments and the 35% minimum utilization. The Credit Agreement relating to the Credit Facility contains certain covenants, including a minimum asset coverage ratio of 1.50 to 1.00 (on a regulatory basis) and a senior asset coverage ratio of no less than 2.00 to 1.00. The Credit Facility is secured by a first priority security interest in all of our assets, excluding the assets of our SBIC subsidiaries.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Because we currently borrow, and plan to borrow in the future, money to make investments,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following table shows the approximate annualized increase or decrease in the components of net investment income due to hypothetical base rate changes in interest rates, assuming no changes in our investments and borrowings as of March 31, 2023 (dollars in millions):</w:t>
      </w:r>
    </w:p>
    <w:p>
      <w:pPr>
        <w:pStyle w:val="TextBody"/>
        <w:spacing w:before="0" w:after="0"/>
        <w:jc w:val="both"/>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57</w:t>
      </w:r>
    </w:p>
    <w:p>
      <w:pPr>
        <w:pStyle w:val="HorizontalLine"/>
        <w:rPr/>
      </w:pPr>
      <w:r>
        <w:rPr/>
      </w:r>
    </w:p>
    <w:p>
      <w:pPr>
        <w:pStyle w:val="TextBody"/>
        <w:spacing w:before="0" w:after="0"/>
        <w:jc w:val="left"/>
        <w:rPr/>
      </w:pPr>
      <w:r>
        <w:rPr/>
        <w:t> </w:t>
      </w:r>
    </w:p>
    <w:tbl>
      <w:tblPr>
        <w:tblW w:w="8554" w:type="dxa"/>
        <w:jc w:val="left"/>
        <w:tblInd w:w="0" w:type="dxa"/>
        <w:tblCellMar>
          <w:top w:w="28" w:type="dxa"/>
          <w:left w:w="28" w:type="dxa"/>
          <w:bottom w:w="28" w:type="dxa"/>
          <w:right w:w="28" w:type="dxa"/>
        </w:tblCellMar>
      </w:tblPr>
      <w:tblGrid>
        <w:gridCol w:w="637"/>
        <w:gridCol w:w="1733"/>
        <w:gridCol w:w="166"/>
        <w:gridCol w:w="146"/>
        <w:gridCol w:w="356"/>
        <w:gridCol w:w="874"/>
        <w:gridCol w:w="166"/>
        <w:gridCol w:w="146"/>
        <w:gridCol w:w="429"/>
        <w:gridCol w:w="861"/>
        <w:gridCol w:w="166"/>
        <w:gridCol w:w="146"/>
        <w:gridCol w:w="290"/>
        <w:gridCol w:w="715"/>
        <w:gridCol w:w="166"/>
        <w:gridCol w:w="146"/>
        <w:gridCol w:w="381"/>
        <w:gridCol w:w="819"/>
        <w:gridCol w:w="211"/>
      </w:tblGrid>
      <w:tr>
        <w:trPr/>
        <w:tc>
          <w:tcPr>
            <w:tcW w:w="637" w:type="dxa"/>
            <w:tcBorders/>
            <w:shd w:fill="auto" w:val="clear"/>
            <w:vAlign w:val="center"/>
          </w:tcPr>
          <w:p>
            <w:pPr>
              <w:pStyle w:val="TableContents"/>
              <w:spacing w:before="0" w:after="283"/>
              <w:rPr>
                <w:sz w:val="4"/>
                <w:szCs w:val="4"/>
              </w:rPr>
            </w:pPr>
            <w:r>
              <w:rPr>
                <w:sz w:val="4"/>
                <w:szCs w:val="4"/>
              </w:rPr>
            </w:r>
          </w:p>
        </w:tc>
        <w:tc>
          <w:tcPr>
            <w:tcW w:w="173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81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37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3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Interest Income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9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Interest Expense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5" w:type="dxa"/>
            <w:gridSpan w:val="2"/>
            <w:tcBorders/>
            <w:shd w:fill="auto" w:val="clear"/>
            <w:vAlign w:val="center"/>
          </w:tcPr>
          <w:p>
            <w:pPr>
              <w:pStyle w:val="TableContents"/>
              <w:spacing w:before="0" w:after="0"/>
              <w:ind w:left="0" w:right="0" w:hanging="0"/>
              <w:jc w:val="center"/>
              <w:rPr/>
            </w:pPr>
            <w:r>
              <w:rPr/>
              <w:t> </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0"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2370"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3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Increase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9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Increase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5"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Increase</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0" w:type="dxa"/>
            <w:gridSpan w:val="2"/>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Net Investment</w:t>
            </w:r>
          </w:p>
        </w:tc>
        <w:tc>
          <w:tcPr>
            <w:tcW w:w="211" w:type="dxa"/>
            <w:tcBorders/>
            <w:shd w:fill="auto" w:val="clear"/>
            <w:vAlign w:val="center"/>
          </w:tcPr>
          <w:p>
            <w:pPr>
              <w:pStyle w:val="TableContents"/>
              <w:spacing w:before="0" w:after="0"/>
              <w:ind w:left="0" w:right="0" w:hanging="0"/>
              <w:jc w:val="center"/>
              <w:rPr/>
            </w:pPr>
            <w:r>
              <w:rPr/>
              <w:t> </w:t>
            </w:r>
          </w:p>
        </w:tc>
      </w:tr>
      <w:tr>
        <w:trPr/>
        <w:tc>
          <w:tcPr>
            <w:tcW w:w="23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16"/>
              </w:rPr>
            </w:pPr>
            <w:r>
              <w:rPr>
                <w:rFonts w:ascii="Times New Roman;serif" w:hAnsi="Times New Roman;serif"/>
                <w:b/>
                <w:sz w:val="16"/>
              </w:rPr>
              <w:t>Basis Point Increase (Decrease)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 xml:space="preserve">(Decrease) </w:t>
            </w:r>
            <w:r>
              <w:rPr>
                <w:rFonts w:ascii="Times New Roman;serif" w:hAnsi="Times New Roman;serif"/>
                <w:b/>
                <w:sz w:val="11"/>
              </w:rPr>
              <w:t>(1) (2)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9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 xml:space="preserve">(Decrease) </w:t>
            </w:r>
            <w:r>
              <w:rPr>
                <w:rFonts w:ascii="Times New Roman;serif" w:hAnsi="Times New Roman;serif"/>
                <w:b/>
                <w:sz w:val="11"/>
              </w:rPr>
              <w:t>(4)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0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(Decrease)</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20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 w:hAnsi="Times New Roman"/>
                <w:sz w:val="16"/>
              </w:rPr>
            </w:pPr>
            <w:r>
              <w:rPr>
                <w:rFonts w:ascii="Times New Roman;serif" w:hAnsi="Times New Roman;serif"/>
                <w:b/>
                <w:sz w:val="16"/>
              </w:rPr>
              <w:t xml:space="preserve">Income </w:t>
            </w:r>
            <w:r>
              <w:rPr>
                <w:rFonts w:ascii="Times New Roman;serif" w:hAnsi="Times New Roman;serif"/>
                <w:b/>
                <w:sz w:val="11"/>
              </w:rPr>
              <w:t>(3)</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37" w:type="dxa"/>
            <w:tcBorders/>
            <w:shd w:fill="auto" w:val="clear"/>
            <w:vAlign w:val="center"/>
          </w:tcPr>
          <w:p>
            <w:pPr>
              <w:pStyle w:val="TableContents"/>
              <w:spacing w:before="0" w:after="0"/>
              <w:ind w:left="0" w:right="0" w:hanging="0"/>
              <w:jc w:val="left"/>
              <w:rPr/>
            </w:pPr>
            <w:r>
              <w:rPr/>
              <w:t> </w:t>
            </w:r>
          </w:p>
        </w:tc>
        <w:tc>
          <w:tcPr>
            <w:tcW w:w="173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7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429"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71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8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(8.5</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37" w:type="dxa"/>
            <w:tcBorders/>
            <w:shd w:fill="auto" w:val="clear"/>
            <w:vAlign w:val="center"/>
          </w:tcPr>
          <w:p>
            <w:pPr>
              <w:pStyle w:val="TableContents"/>
              <w:spacing w:before="0" w:after="0"/>
              <w:ind w:left="0" w:right="0" w:hanging="0"/>
              <w:jc w:val="left"/>
              <w:rPr/>
            </w:pPr>
            <w:r>
              <w:rPr/>
              <w:t> </w:t>
            </w:r>
          </w:p>
        </w:tc>
        <w:tc>
          <w:tcPr>
            <w:tcW w:w="173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429"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(0.4</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71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pPr>
            <w:r>
              <w:rPr/>
              <w:t> </w:t>
            </w:r>
          </w:p>
        </w:tc>
        <w:tc>
          <w:tcPr>
            <w:tcW w:w="8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(6.4</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37" w:type="dxa"/>
            <w:tcBorders/>
            <w:shd w:fill="auto" w:val="clear"/>
            <w:vAlign w:val="center"/>
          </w:tcPr>
          <w:p>
            <w:pPr>
              <w:pStyle w:val="TableContents"/>
              <w:spacing w:before="0" w:after="0"/>
              <w:ind w:left="0" w:right="0" w:hanging="0"/>
              <w:jc w:val="left"/>
              <w:rPr/>
            </w:pPr>
            <w:r>
              <w:rPr/>
              <w:t> </w:t>
            </w:r>
          </w:p>
        </w:tc>
        <w:tc>
          <w:tcPr>
            <w:tcW w:w="173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429"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71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(5.3</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pPr>
            <w:r>
              <w:rPr/>
              <w:t> </w:t>
            </w:r>
          </w:p>
        </w:tc>
        <w:tc>
          <w:tcPr>
            <w:tcW w:w="8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37" w:type="dxa"/>
            <w:tcBorders/>
            <w:shd w:fill="auto" w:val="clear"/>
            <w:vAlign w:val="center"/>
          </w:tcPr>
          <w:p>
            <w:pPr>
              <w:pStyle w:val="TableContents"/>
              <w:spacing w:before="0" w:after="0"/>
              <w:ind w:left="0" w:right="0" w:hanging="0"/>
              <w:jc w:val="left"/>
              <w:rPr/>
            </w:pPr>
            <w:r>
              <w:rPr/>
              <w:t> </w:t>
            </w:r>
          </w:p>
        </w:tc>
        <w:tc>
          <w:tcPr>
            <w:tcW w:w="173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429"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71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pPr>
            <w:r>
              <w:rPr/>
              <w:t> </w:t>
            </w:r>
          </w:p>
        </w:tc>
        <w:tc>
          <w:tcPr>
            <w:tcW w:w="8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r>
      <w:tr>
        <w:trPr/>
        <w:tc>
          <w:tcPr>
            <w:tcW w:w="637" w:type="dxa"/>
            <w:tcBorders/>
            <w:shd w:fill="auto" w:val="clear"/>
            <w:vAlign w:val="center"/>
          </w:tcPr>
          <w:p>
            <w:pPr>
              <w:pStyle w:val="TableContents"/>
              <w:spacing w:before="0" w:after="0"/>
              <w:ind w:left="0" w:right="0" w:hanging="0"/>
              <w:jc w:val="left"/>
              <w:rPr/>
            </w:pPr>
            <w:r>
              <w:rPr/>
              <w:t> </w:t>
            </w:r>
          </w:p>
        </w:tc>
        <w:tc>
          <w:tcPr>
            <w:tcW w:w="173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9"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71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pPr>
            <w:r>
              <w:rPr/>
              <w:t> </w:t>
            </w:r>
          </w:p>
        </w:tc>
        <w:tc>
          <w:tcPr>
            <w:tcW w:w="8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2.1</w:t>
            </w:r>
          </w:p>
        </w:tc>
        <w:tc>
          <w:tcPr>
            <w:tcW w:w="211" w:type="dxa"/>
            <w:tcBorders/>
            <w:shd w:fill="auto" w:val="clear"/>
            <w:vAlign w:val="center"/>
          </w:tcPr>
          <w:p>
            <w:pPr>
              <w:pStyle w:val="TableContents"/>
              <w:spacing w:before="0" w:after="0"/>
              <w:ind w:left="0" w:right="0" w:hanging="0"/>
              <w:jc w:val="left"/>
              <w:rPr/>
            </w:pPr>
            <w:r>
              <w:rPr/>
              <w:t> </w:t>
            </w:r>
          </w:p>
        </w:tc>
      </w:tr>
      <w:tr>
        <w:trPr/>
        <w:tc>
          <w:tcPr>
            <w:tcW w:w="637" w:type="dxa"/>
            <w:tcBorders/>
            <w:shd w:fill="auto" w:val="clear"/>
            <w:vAlign w:val="center"/>
          </w:tcPr>
          <w:p>
            <w:pPr>
              <w:pStyle w:val="TableContents"/>
              <w:spacing w:before="0" w:after="0"/>
              <w:ind w:left="0" w:right="0" w:hanging="0"/>
              <w:jc w:val="left"/>
              <w:rPr/>
            </w:pPr>
            <w:r>
              <w:rPr/>
              <w:t> </w:t>
            </w:r>
          </w:p>
        </w:tc>
        <w:tc>
          <w:tcPr>
            <w:tcW w:w="173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9"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71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5.3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pPr>
            <w:r>
              <w:rPr/>
              <w:t> </w:t>
            </w:r>
          </w:p>
        </w:tc>
        <w:tc>
          <w:tcPr>
            <w:tcW w:w="8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4.2</w:t>
            </w:r>
          </w:p>
        </w:tc>
        <w:tc>
          <w:tcPr>
            <w:tcW w:w="211" w:type="dxa"/>
            <w:tcBorders/>
            <w:shd w:fill="auto" w:val="clear"/>
            <w:vAlign w:val="center"/>
          </w:tcPr>
          <w:p>
            <w:pPr>
              <w:pStyle w:val="TableContents"/>
              <w:spacing w:before="0" w:after="0"/>
              <w:ind w:left="0" w:right="0" w:hanging="0"/>
              <w:jc w:val="left"/>
              <w:rPr/>
            </w:pPr>
            <w:r>
              <w:rPr/>
              <w:t> </w:t>
            </w:r>
          </w:p>
        </w:tc>
      </w:tr>
      <w:tr>
        <w:trPr/>
        <w:tc>
          <w:tcPr>
            <w:tcW w:w="637" w:type="dxa"/>
            <w:tcBorders/>
            <w:shd w:fill="auto" w:val="clear"/>
            <w:vAlign w:val="center"/>
          </w:tcPr>
          <w:p>
            <w:pPr>
              <w:pStyle w:val="TableContents"/>
              <w:spacing w:before="0" w:after="0"/>
              <w:ind w:left="0" w:right="0" w:hanging="0"/>
              <w:jc w:val="left"/>
              <w:rPr/>
            </w:pPr>
            <w:r>
              <w:rPr/>
              <w:t> </w:t>
            </w:r>
          </w:p>
        </w:tc>
        <w:tc>
          <w:tcPr>
            <w:tcW w:w="173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9"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71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7.9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pPr>
            <w:r>
              <w:rPr/>
              <w:t> </w:t>
            </w:r>
          </w:p>
        </w:tc>
        <w:tc>
          <w:tcPr>
            <w:tcW w:w="8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6.3</w:t>
            </w:r>
          </w:p>
        </w:tc>
        <w:tc>
          <w:tcPr>
            <w:tcW w:w="211" w:type="dxa"/>
            <w:tcBorders/>
            <w:shd w:fill="auto" w:val="clear"/>
            <w:vAlign w:val="center"/>
          </w:tcPr>
          <w:p>
            <w:pPr>
              <w:pStyle w:val="TableContents"/>
              <w:spacing w:before="0" w:after="0"/>
              <w:ind w:left="0" w:right="0" w:hanging="0"/>
              <w:jc w:val="left"/>
              <w:rPr/>
            </w:pPr>
            <w:r>
              <w:rPr/>
              <w:t> </w:t>
            </w:r>
          </w:p>
        </w:tc>
      </w:tr>
      <w:tr>
        <w:trPr/>
        <w:tc>
          <w:tcPr>
            <w:tcW w:w="637" w:type="dxa"/>
            <w:tcBorders/>
            <w:shd w:fill="auto" w:val="clear"/>
            <w:vAlign w:val="center"/>
          </w:tcPr>
          <w:p>
            <w:pPr>
              <w:pStyle w:val="TableContents"/>
              <w:spacing w:before="0" w:after="0"/>
              <w:ind w:left="0" w:right="0" w:hanging="0"/>
              <w:jc w:val="left"/>
              <w:rPr/>
            </w:pPr>
            <w:r>
              <w:rPr/>
              <w:t> </w:t>
            </w:r>
          </w:p>
        </w:tc>
        <w:tc>
          <w:tcPr>
            <w:tcW w:w="173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11.2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9"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71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pPr>
            <w:r>
              <w:rPr/>
              <w:t> </w:t>
            </w:r>
          </w:p>
        </w:tc>
        <w:tc>
          <w:tcPr>
            <w:tcW w:w="8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8.4</w:t>
            </w:r>
          </w:p>
        </w:tc>
        <w:tc>
          <w:tcPr>
            <w:tcW w:w="211" w:type="dxa"/>
            <w:tcBorders/>
            <w:shd w:fill="auto" w:val="clear"/>
            <w:vAlign w:val="center"/>
          </w:tcPr>
          <w:p>
            <w:pPr>
              <w:pStyle w:val="TableContents"/>
              <w:spacing w:before="0" w:after="0"/>
              <w:ind w:left="0" w:right="0" w:hanging="0"/>
              <w:jc w:val="left"/>
              <w:rPr/>
            </w:pPr>
            <w:r>
              <w:rPr/>
              <w:t> </w:t>
            </w:r>
          </w:p>
        </w:tc>
      </w:tr>
      <w:tr>
        <w:trPr/>
        <w:tc>
          <w:tcPr>
            <w:tcW w:w="637" w:type="dxa"/>
            <w:tcBorders/>
            <w:shd w:fill="auto" w:val="clear"/>
            <w:vAlign w:val="center"/>
          </w:tcPr>
          <w:p>
            <w:pPr>
              <w:pStyle w:val="TableContents"/>
              <w:spacing w:before="0" w:after="0"/>
              <w:ind w:left="0" w:right="0" w:hanging="0"/>
              <w:jc w:val="left"/>
              <w:rPr/>
            </w:pPr>
            <w:r>
              <w:rPr/>
              <w:t> </w:t>
            </w:r>
          </w:p>
        </w:tc>
        <w:tc>
          <w:tcPr>
            <w:tcW w:w="173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250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9"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71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pPr>
            <w:r>
              <w:rPr/>
              <w:t> </w:t>
            </w:r>
          </w:p>
        </w:tc>
        <w:tc>
          <w:tcPr>
            <w:tcW w:w="8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10.5</w:t>
            </w:r>
          </w:p>
        </w:tc>
        <w:tc>
          <w:tcPr>
            <w:tcW w:w="211" w:type="dxa"/>
            <w:tcBorders/>
            <w:shd w:fill="auto" w:val="clear"/>
            <w:vAlign w:val="center"/>
          </w:tcPr>
          <w:p>
            <w:pPr>
              <w:pStyle w:val="TableContents"/>
              <w:spacing w:before="0" w:after="0"/>
              <w:ind w:left="0" w:right="0" w:hanging="0"/>
              <w:jc w:val="left"/>
              <w:rPr/>
            </w:pPr>
            <w:r>
              <w:rPr/>
              <w:t> </w:t>
            </w:r>
          </w:p>
        </w:tc>
      </w:tr>
      <w:tr>
        <w:trPr/>
        <w:tc>
          <w:tcPr>
            <w:tcW w:w="637" w:type="dxa"/>
            <w:tcBorders/>
            <w:shd w:fill="auto" w:val="clear"/>
            <w:vAlign w:val="center"/>
          </w:tcPr>
          <w:p>
            <w:pPr>
              <w:pStyle w:val="TableContents"/>
              <w:spacing w:before="0" w:after="0"/>
              <w:ind w:left="0" w:right="0" w:hanging="0"/>
              <w:jc w:val="left"/>
              <w:rPr/>
            </w:pPr>
            <w:r>
              <w:rPr/>
              <w:t> </w:t>
            </w:r>
          </w:p>
        </w:tc>
        <w:tc>
          <w:tcPr>
            <w:tcW w:w="1733"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300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6" w:type="dxa"/>
            <w:tcBorders/>
            <w:shd w:fill="auto" w:val="clear"/>
            <w:vAlign w:val="center"/>
          </w:tcPr>
          <w:p>
            <w:pPr>
              <w:pStyle w:val="TableContents"/>
              <w:spacing w:before="0" w:after="0"/>
              <w:ind w:left="0" w:right="0" w:hanging="0"/>
              <w:jc w:val="left"/>
              <w:rPr/>
            </w:pPr>
            <w:r>
              <w:rPr/>
              <w:t> </w:t>
            </w:r>
          </w:p>
        </w:tc>
        <w:tc>
          <w:tcPr>
            <w:tcW w:w="874"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16.8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9" w:type="dxa"/>
            <w:tcBorders/>
            <w:shd w:fill="auto" w:val="clear"/>
            <w:vAlign w:val="center"/>
          </w:tcPr>
          <w:p>
            <w:pPr>
              <w:pStyle w:val="TableContents"/>
              <w:spacing w:before="0" w:after="0"/>
              <w:ind w:left="0" w:right="0" w:hanging="0"/>
              <w:jc w:val="left"/>
              <w:rPr/>
            </w:pPr>
            <w:r>
              <w:rPr/>
              <w:t> </w:t>
            </w:r>
          </w:p>
        </w:tc>
        <w:tc>
          <w:tcPr>
            <w:tcW w:w="861"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0.9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90" w:type="dxa"/>
            <w:tcBorders/>
            <w:shd w:fill="auto" w:val="clear"/>
            <w:vAlign w:val="center"/>
          </w:tcPr>
          <w:p>
            <w:pPr>
              <w:pStyle w:val="TableContents"/>
              <w:spacing w:before="0" w:after="0"/>
              <w:ind w:left="0" w:right="0" w:hanging="0"/>
              <w:jc w:val="left"/>
              <w:rPr/>
            </w:pPr>
            <w:r>
              <w:rPr/>
              <w:t> </w:t>
            </w:r>
          </w:p>
        </w:tc>
        <w:tc>
          <w:tcPr>
            <w:tcW w:w="715"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15.9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81" w:type="dxa"/>
            <w:tcBorders/>
            <w:shd w:fill="auto" w:val="clear"/>
            <w:vAlign w:val="center"/>
          </w:tcPr>
          <w:p>
            <w:pPr>
              <w:pStyle w:val="TableContents"/>
              <w:spacing w:before="0" w:after="0"/>
              <w:ind w:left="0" w:right="0" w:hanging="0"/>
              <w:jc w:val="left"/>
              <w:rPr/>
            </w:pPr>
            <w:r>
              <w:rPr/>
              <w:t> </w:t>
            </w:r>
          </w:p>
        </w:tc>
        <w:tc>
          <w:tcPr>
            <w:tcW w:w="819" w:type="dxa"/>
            <w:tcBorders/>
            <w:shd w:fill="auto" w:val="clear"/>
            <w:vAlign w:val="center"/>
          </w:tcPr>
          <w:p>
            <w:pPr>
              <w:pStyle w:val="TableContents"/>
              <w:spacing w:before="0" w:after="0"/>
              <w:ind w:left="0" w:right="0" w:hanging="0"/>
              <w:jc w:val="right"/>
              <w:rPr>
                <w:rFonts w:ascii="Times New Roman;serif" w:hAnsi="Times New Roman;serif"/>
                <w:b w:val="false"/>
                <w:sz w:val="16"/>
              </w:rPr>
            </w:pPr>
            <w:r>
              <w:rPr>
                <w:rFonts w:ascii="Times New Roman;serif" w:hAnsi="Times New Roman;serif"/>
                <w:b w:val="false"/>
                <w:sz w:val="16"/>
              </w:rPr>
              <w:t>12.7</w:t>
            </w:r>
          </w:p>
        </w:tc>
        <w:tc>
          <w:tcPr>
            <w:tcW w:w="21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both"/>
        <w:rPr>
          <w:rFonts w:ascii="Times New Roman;serif" w:hAnsi="Times New Roman;serif"/>
          <w:b w:val="false"/>
          <w:sz w:val="16"/>
        </w:rPr>
      </w:pPr>
      <w:r>
        <w:rPr>
          <w:rFonts w:ascii="Times New Roman;serif" w:hAnsi="Times New Roman;serif"/>
          <w:b w:val="false"/>
          <w:sz w:val="16"/>
        </w:rPr>
        <w:t>(1) Certain of our variable rate debt investments have a LIBOR, PRIME or SOFR interest rate floor, which lessens the impact of decreases in interest rates.</w:t>
      </w:r>
    </w:p>
    <w:p>
      <w:pPr>
        <w:pStyle w:val="TextBody"/>
        <w:spacing w:before="0" w:after="0"/>
        <w:jc w:val="both"/>
        <w:rPr>
          <w:rFonts w:ascii="Times New Roman;serif" w:hAnsi="Times New Roman;serif"/>
          <w:b w:val="false"/>
          <w:sz w:val="16"/>
        </w:rPr>
      </w:pPr>
      <w:r>
        <w:rPr>
          <w:rFonts w:ascii="Times New Roman;serif" w:hAnsi="Times New Roman;serif"/>
          <w:b w:val="false"/>
          <w:sz w:val="16"/>
        </w:rPr>
        <w:t>(2) Interest income calculated assuming three-month LIBOR, PRIME, and SOFR rate as of March 31, 2023.</w:t>
      </w:r>
    </w:p>
    <w:p>
      <w:pPr>
        <w:pStyle w:val="TextBody"/>
        <w:spacing w:before="0" w:after="0"/>
        <w:jc w:val="both"/>
        <w:rPr>
          <w:rFonts w:ascii="Times New Roman;serif" w:hAnsi="Times New Roman;serif"/>
          <w:b w:val="false"/>
          <w:sz w:val="16"/>
        </w:rPr>
      </w:pPr>
      <w:r>
        <w:rPr>
          <w:rFonts w:ascii="Times New Roman;serif" w:hAnsi="Times New Roman;serif"/>
          <w:b w:val="false"/>
          <w:sz w:val="16"/>
        </w:rPr>
        <w:t>(3) Includes the impact of income incentive fee at 20.0% on net increase (decrease) in net interest.</w:t>
      </w:r>
    </w:p>
    <w:p>
      <w:pPr>
        <w:pStyle w:val="TextBody"/>
        <w:spacing w:before="0" w:after="0"/>
        <w:jc w:val="both"/>
        <w:rPr>
          <w:rFonts w:ascii="Times New Roman" w:hAnsi="Times New Roman"/>
          <w:sz w:val="20"/>
        </w:rPr>
      </w:pPr>
      <w:r>
        <w:rPr>
          <w:rFonts w:ascii="Times New Roman;serif" w:hAnsi="Times New Roman;serif"/>
          <w:b w:val="false"/>
          <w:sz w:val="16"/>
        </w:rPr>
        <w:t>(4) As of March 31, 2023, we had $15.0 million outstanding under our Credit Facility.</w:t>
        <w:br/>
        <w:br/>
      </w:r>
      <w:r>
        <w:rPr>
          <w:rFonts w:ascii="Times New Roman" w:hAnsi="Times New Roman"/>
          <w:sz w:val="20"/>
        </w:rPr>
        <w:t> </w:t>
      </w:r>
    </w:p>
    <w:p>
      <w:pPr>
        <w:pStyle w:val="TextBody"/>
        <w:spacing w:before="0" w:after="180"/>
        <w:jc w:val="left"/>
        <w:rPr>
          <w:rFonts w:ascii="Times New Roman;serif" w:hAnsi="Times New Roman;serif"/>
          <w:b/>
          <w:sz w:val="20"/>
        </w:rPr>
      </w:pPr>
      <w:bookmarkStart w:id="16" w:name="item4_controls"/>
      <w:bookmarkEnd w:id="16"/>
      <w:r>
        <w:rPr>
          <w:rFonts w:ascii="Times New Roman;serif" w:hAnsi="Times New Roman;serif"/>
          <w:b/>
          <w:sz w:val="20"/>
        </w:rPr>
        <w:t>Item 4. Controls and Procedures.</w:t>
      </w:r>
    </w:p>
    <w:p>
      <w:pPr>
        <w:pStyle w:val="TextBody"/>
        <w:spacing w:before="180" w:after="0"/>
        <w:jc w:val="both"/>
        <w:rPr>
          <w:rFonts w:ascii="Times New Roman;serif" w:hAnsi="Times New Roman;serif"/>
          <w:b w:val="false"/>
          <w:i/>
          <w:sz w:val="20"/>
        </w:rPr>
      </w:pPr>
      <w:r>
        <w:rPr>
          <w:rFonts w:ascii="Times New Roman;serif" w:hAnsi="Times New Roman;serif"/>
          <w:b w:val="false"/>
          <w:i/>
          <w:sz w:val="20"/>
        </w:rPr>
        <w:t>Evaluation of Disclosure Controls and Procedures</w:t>
      </w:r>
    </w:p>
    <w:p>
      <w:pPr>
        <w:pStyle w:val="TextBody"/>
        <w:spacing w:before="180" w:after="0"/>
        <w:jc w:val="both"/>
        <w:rPr>
          <w:rFonts w:ascii="Times New Roman" w:hAnsi="Times New Roman"/>
          <w:sz w:val="20"/>
        </w:rPr>
      </w:pPr>
      <w:r>
        <w:rPr>
          <w:rFonts w:ascii="Times New Roman;serif" w:hAnsi="Times New Roman;serif"/>
          <w:b w:val="false"/>
          <w:sz w:val="20"/>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Chief Executive Officer and Chief Financial Officer carried out an evaluation of the effectiveness of the design and operation of our disclosure controls and procedures (as defined in Rule 13a-15(e) of the 1934 Act) as of the end of the period covered by this report. Based on the evaluation of these disclosure controls and procedures, the Chief Executive Officer and Chief Financial Officer concluded that our disclosure controls and procedures were effective. 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w:t>
        <w:br/>
      </w:r>
      <w:r>
        <w:rPr>
          <w:rFonts w:ascii="Times New Roman" w:hAnsi="Times New Roman"/>
          <w:sz w:val="20"/>
        </w:rPr>
        <w:t> </w:t>
      </w:r>
    </w:p>
    <w:p>
      <w:pPr>
        <w:pStyle w:val="TextBody"/>
        <w:spacing w:before="180" w:after="0"/>
        <w:jc w:val="both"/>
        <w:rPr>
          <w:rFonts w:ascii="Times New Roman;serif" w:hAnsi="Times New Roman;serif"/>
          <w:b w:val="false"/>
          <w:i/>
          <w:sz w:val="20"/>
        </w:rPr>
      </w:pPr>
      <w:r>
        <w:rPr>
          <w:rFonts w:ascii="Times New Roman;serif" w:hAnsi="Times New Roman;serif"/>
          <w:b w:val="false"/>
          <w:i/>
          <w:sz w:val="20"/>
        </w:rPr>
        <w:t>Changes in Internal Control over Financial Reporting</w:t>
      </w:r>
    </w:p>
    <w:p>
      <w:pPr>
        <w:pStyle w:val="TextBody"/>
        <w:spacing w:before="180" w:after="0"/>
        <w:jc w:val="both"/>
        <w:rPr>
          <w:rFonts w:ascii="Times New Roman" w:hAnsi="Times New Roman"/>
          <w:sz w:val="20"/>
        </w:rPr>
      </w:pPr>
      <w:r>
        <w:rPr>
          <w:rFonts w:ascii="Times New Roman;serif" w:hAnsi="Times New Roman;serif"/>
          <w:b w:val="false"/>
          <w:sz w:val="20"/>
        </w:rPr>
        <w:t>There were no changes in our internal control over financial reporting during the first quarter of 2023 that have materially affected, or are reasonably likely to materially affect, our internal control over financial reporting.</w:t>
        <w:br/>
        <w:br/>
      </w:r>
      <w:r>
        <w:rPr>
          <w:rFonts w:ascii="Times New Roman" w:hAnsi="Times New Roman"/>
          <w:sz w:val="20"/>
        </w:rPr>
        <w:t>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58</w:t>
      </w:r>
    </w:p>
    <w:p>
      <w:pPr>
        <w:pStyle w:val="HorizontalLine"/>
        <w:rPr/>
      </w:pPr>
      <w:r>
        <w:rPr/>
      </w:r>
    </w:p>
    <w:p>
      <w:pPr>
        <w:pStyle w:val="TextBody"/>
        <w:spacing w:before="0" w:after="0"/>
        <w:jc w:val="left"/>
        <w:rPr/>
      </w:pPr>
      <w:r>
        <w:rPr/>
        <w:t> </w:t>
      </w:r>
    </w:p>
    <w:p>
      <w:pPr>
        <w:pStyle w:val="TextBody"/>
        <w:spacing w:before="0" w:after="0"/>
        <w:jc w:val="both"/>
        <w:rPr>
          <w:rFonts w:ascii="Times New Roman;serif" w:hAnsi="Times New Roman;serif"/>
          <w:b/>
          <w:sz w:val="20"/>
        </w:rPr>
      </w:pPr>
      <w:bookmarkStart w:id="17" w:name="part_ii"/>
      <w:bookmarkEnd w:id="17"/>
      <w:r>
        <w:rPr>
          <w:rFonts w:ascii="Times New Roman;serif" w:hAnsi="Times New Roman;serif"/>
          <w:b/>
          <w:sz w:val="20"/>
        </w:rPr>
        <w:t>PART II — OTHER INFORMATION</w:t>
      </w:r>
    </w:p>
    <w:p>
      <w:pPr>
        <w:pStyle w:val="TextBody"/>
        <w:spacing w:before="0" w:after="0"/>
        <w:jc w:val="both"/>
        <w:rPr/>
      </w:pPr>
      <w:r>
        <w:rPr/>
        <w:t> </w:t>
      </w:r>
    </w:p>
    <w:p>
      <w:pPr>
        <w:pStyle w:val="TextBody"/>
        <w:spacing w:before="0" w:after="0"/>
        <w:jc w:val="both"/>
        <w:rPr>
          <w:rFonts w:ascii="Times New Roman;serif" w:hAnsi="Times New Roman;serif"/>
          <w:b/>
          <w:sz w:val="20"/>
        </w:rPr>
      </w:pPr>
      <w:bookmarkStart w:id="18" w:name="item1_legal_proceedings"/>
      <w:bookmarkEnd w:id="18"/>
      <w:r>
        <w:rPr>
          <w:rFonts w:ascii="Times New Roman;serif" w:hAnsi="Times New Roman;serif"/>
          <w:b/>
          <w:sz w:val="20"/>
        </w:rPr>
        <w:t>Item 1. Legal Proceedings.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We are not, and the Investment Advisor is not, currently subject to any material legal proceedings.</w:t>
      </w:r>
    </w:p>
    <w:p>
      <w:pPr>
        <w:pStyle w:val="TextBody"/>
        <w:spacing w:before="0" w:after="0"/>
        <w:jc w:val="both"/>
        <w:rPr/>
      </w:pPr>
      <w:r>
        <w:rPr/>
        <w:t> </w:t>
      </w:r>
    </w:p>
    <w:p>
      <w:pPr>
        <w:pStyle w:val="TextBody"/>
        <w:spacing w:before="0" w:after="0"/>
        <w:jc w:val="both"/>
        <w:rPr>
          <w:rFonts w:ascii="Times New Roman" w:hAnsi="Times New Roman"/>
          <w:sz w:val="20"/>
        </w:rPr>
      </w:pPr>
      <w:bookmarkStart w:id="19" w:name="item1a_risk_factors"/>
      <w:bookmarkEnd w:id="19"/>
      <w:r>
        <w:rPr>
          <w:rFonts w:ascii="Times New Roman;serif" w:hAnsi="Times New Roman;serif"/>
          <w:b/>
          <w:sz w:val="20"/>
        </w:rPr>
        <w:t>Item 1A. Risk Factors.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Except for the risk factor set forth below, there have been no material changes to the risk factors previously disclosed under "Item 1A. Risk Factors” previously disclosed in our Annual Report on Form 10-K for the year ended December 31, 2022</w:t>
      </w:r>
      <w:r>
        <w:rPr>
          <w:rFonts w:ascii="Times New Roman" w:hAnsi="Times New Roman"/>
          <w:sz w:val="20"/>
        </w:rPr>
        <w:t xml:space="preserve"> </w:t>
      </w:r>
      <w:r>
        <w:rPr>
          <w:rFonts w:ascii="Times New Roman;serif" w:hAnsi="Times New Roman;serif"/>
          <w:b w:val="false"/>
          <w:sz w:val="20"/>
        </w:rPr>
        <w:t>filed with the SEC on March 2, 2023, which are incorporated herein by reference. The risk factors therein could materially affect our business, financial condition and/or operating results. Additional risks and uncertainties not currently known to us or that we currently deem to be immaterial also may materially affect our business, financial condition and/or operating results.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i/>
          <w:sz w:val="20"/>
        </w:rPr>
        <w:t>Our business is dependent on bank relationships and recent strain on the banking system may adversely impact us.</w:t>
      </w:r>
      <w:r>
        <w:rPr>
          <w:rFonts w:ascii="Times New Roman" w:hAnsi="Times New Roman"/>
          <w:sz w:val="20"/>
        </w:rPr>
        <w:t xml:space="preserve">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The financial markets recently have encountered volatility associated with concerns about the balance sheets of banks, especially small and regional banks that may have significant losses associated with investments that make it difficult to fund demands to withdraw deposits and other liquidity needs. Although the federal government has announced measures to assist these banks and protect depositors, some banks have already been impacted and others may be materially and adversely impacted. Our business is dependent on bank relationships, including small and regional banks, and we are proactively monitoring the financial health of banks with which we (or our portfolio companies) do or may in the future do business. To the extent that our portfolio companies work with banks that are negatively impacted by the foregoing, such portfolio companies’ ability to access their own cash, cash equivalents and investments may be threatened. In addition, such affected portfolio companies may not be able to enter into new banking arrangements or credit facilities, or receive the benefits of their existing banking arrangements or facilities. Any such developments could harm our business, financial condition, and operating results, and prevent us from fully implementing our investment plan. Continued strain on the banking system may adversely impact our business, financial condition and results of operations.</w:t>
      </w:r>
    </w:p>
    <w:p>
      <w:pPr>
        <w:pStyle w:val="TextBody"/>
        <w:spacing w:before="0" w:after="0"/>
        <w:jc w:val="both"/>
        <w:rPr/>
      </w:pPr>
      <w:r>
        <w:rPr/>
        <w:t> </w:t>
      </w:r>
    </w:p>
    <w:p>
      <w:pPr>
        <w:pStyle w:val="TextBody"/>
        <w:spacing w:before="0" w:after="0"/>
        <w:jc w:val="both"/>
        <w:rPr>
          <w:rFonts w:ascii="Times New Roman" w:hAnsi="Times New Roman"/>
          <w:sz w:val="20"/>
        </w:rPr>
      </w:pPr>
      <w:bookmarkStart w:id="20" w:name="item2_unregistered_sales_equity"/>
      <w:bookmarkEnd w:id="20"/>
      <w:r>
        <w:rPr>
          <w:rFonts w:ascii="Times New Roman;serif" w:hAnsi="Times New Roman;serif"/>
          <w:b/>
          <w:sz w:val="20"/>
        </w:rPr>
        <w:t>Item 2. Unregistered Sales of Equity</w:t>
      </w:r>
      <w:r>
        <w:rPr>
          <w:rFonts w:ascii="Times New Roman" w:hAnsi="Times New Roman"/>
          <w:sz w:val="20"/>
        </w:rPr>
        <w:t xml:space="preserve"> </w:t>
      </w:r>
      <w:r>
        <w:rPr>
          <w:rFonts w:ascii="Times New Roman;serif" w:hAnsi="Times New Roman;serif"/>
          <w:b/>
          <w:sz w:val="20"/>
        </w:rPr>
        <w:t>Securities and Use of Proceeds.</w:t>
      </w:r>
    </w:p>
    <w:p>
      <w:pPr>
        <w:pStyle w:val="TextBody"/>
        <w:spacing w:before="0" w:after="0"/>
        <w:jc w:val="both"/>
        <w:rPr/>
      </w:pPr>
      <w:r>
        <w:rPr/>
        <w:t> </w:t>
      </w:r>
    </w:p>
    <w:p>
      <w:pPr>
        <w:pStyle w:val="TextBody"/>
        <w:spacing w:before="0" w:after="0"/>
        <w:jc w:val="both"/>
        <w:rPr>
          <w:rFonts w:ascii="Times New Roman;serif" w:hAnsi="Times New Roman;serif"/>
          <w:b w:val="false"/>
          <w:i/>
          <w:sz w:val="20"/>
        </w:rPr>
      </w:pPr>
      <w:r>
        <w:rPr>
          <w:rFonts w:ascii="Times New Roman;serif" w:hAnsi="Times New Roman;serif"/>
          <w:b w:val="false"/>
          <w:i/>
          <w:sz w:val="20"/>
        </w:rPr>
        <w:t>Sales of Unregistered Securities</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None.</w:t>
      </w:r>
    </w:p>
    <w:p>
      <w:pPr>
        <w:pStyle w:val="TextBody"/>
        <w:spacing w:before="0" w:after="0"/>
        <w:jc w:val="both"/>
        <w:rPr/>
      </w:pPr>
      <w:r>
        <w:rPr/>
        <w:t> </w:t>
      </w:r>
    </w:p>
    <w:p>
      <w:pPr>
        <w:pStyle w:val="TextBody"/>
        <w:spacing w:before="0" w:after="0"/>
        <w:jc w:val="both"/>
        <w:rPr>
          <w:rFonts w:ascii="Times New Roman;serif" w:hAnsi="Times New Roman;serif"/>
          <w:b w:val="false"/>
          <w:i/>
          <w:sz w:val="20"/>
        </w:rPr>
      </w:pPr>
      <w:r>
        <w:rPr>
          <w:rFonts w:ascii="Times New Roman;serif" w:hAnsi="Times New Roman;serif"/>
          <w:b w:val="false"/>
          <w:i/>
          <w:sz w:val="20"/>
        </w:rPr>
        <w:t>Issuer Purchases of Equity Securities</w:t>
      </w:r>
    </w:p>
    <w:p>
      <w:pPr>
        <w:pStyle w:val="TextBody"/>
        <w:spacing w:before="0" w:after="0"/>
        <w:jc w:val="both"/>
        <w:rPr/>
      </w:pPr>
      <w:r>
        <w:rPr/>
        <w:t> </w:t>
      </w:r>
    </w:p>
    <w:p>
      <w:pPr>
        <w:pStyle w:val="TextBody"/>
        <w:spacing w:before="0" w:after="0"/>
        <w:jc w:val="both"/>
        <w:rPr>
          <w:rFonts w:ascii="Times New Roman" w:hAnsi="Times New Roman"/>
          <w:sz w:val="20"/>
        </w:rPr>
      </w:pPr>
      <w:r>
        <w:rPr>
          <w:rFonts w:ascii="Times New Roman;serif" w:hAnsi="Times New Roman;serif"/>
          <w:b w:val="false"/>
          <w:sz w:val="20"/>
        </w:rPr>
        <w:t>We have an open market stock repurchase program (the “Stock Repurchase Program”) under which we may acquire up to $5.0 million of our outstanding common stock. Under the Stock Repurchase Program, we may, but are not obligated to, repurchase outstanding common stock in the open market from time to time provided that we comply with the prohibitions under our insider trading policies and the requirements of Rule 10b-18 of the Securities Exchange Act of 1934, as amended, including certain price, market value and timing constraints. The timing, manner, price and amount of any share repurchases will be determined by our management, in its discretion, based upon the evaluation of economic and market conditions, stock price, capital availability, applicable legal and regulatory requirements and other corporate considerations. On October 31, 2022, the Board extended the Stock Repurchase Program through December 31, 2023, or until the approved dollar amount has been used to repurchase shares. The Stock Repurchase Program does not require us to repurchase any specific number of shares and we cannot assure that any shares will be repurchased under the Stock Repurchase Program. The Stock Repurchase Program may be suspended, extended, modified or discontinued at any time.</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 w:hAnsi="Times New Roman"/>
          <w:sz w:val="20"/>
        </w:rPr>
      </w:pPr>
      <w:bookmarkStart w:id="21" w:name="item3_defaults_upon_senior_securities"/>
      <w:bookmarkEnd w:id="21"/>
      <w:r>
        <w:rPr>
          <w:rFonts w:ascii="Times New Roman;serif" w:hAnsi="Times New Roman;serif"/>
          <w:b/>
          <w:sz w:val="20"/>
        </w:rPr>
        <w:t>Item</w:t>
      </w:r>
      <w:r>
        <w:rPr>
          <w:rFonts w:ascii="Times New Roman" w:hAnsi="Times New Roman"/>
          <w:sz w:val="20"/>
        </w:rPr>
        <w:t xml:space="preserve"> </w:t>
      </w:r>
      <w:r>
        <w:rPr>
          <w:rFonts w:ascii="Times New Roman;serif" w:hAnsi="Times New Roman;serif"/>
          <w:b/>
          <w:sz w:val="20"/>
        </w:rPr>
        <w:t>3. Defaults Upon Senior Securities.</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None.</w:t>
      </w:r>
    </w:p>
    <w:p>
      <w:pPr>
        <w:pStyle w:val="TextBody"/>
        <w:spacing w:before="0" w:after="0"/>
        <w:jc w:val="both"/>
        <w:rPr/>
      </w:pPr>
      <w:r>
        <w:rPr/>
        <w:t> </w:t>
      </w:r>
    </w:p>
    <w:p>
      <w:pPr>
        <w:pStyle w:val="TextBody"/>
        <w:spacing w:before="0" w:after="0"/>
        <w:jc w:val="both"/>
        <w:rPr>
          <w:rFonts w:ascii="Times New Roman" w:hAnsi="Times New Roman"/>
          <w:sz w:val="20"/>
        </w:rPr>
      </w:pPr>
      <w:bookmarkStart w:id="22" w:name="item4_mine_safety_disclosures"/>
      <w:bookmarkEnd w:id="22"/>
      <w:r>
        <w:rPr>
          <w:rFonts w:ascii="Times New Roman;serif" w:hAnsi="Times New Roman;serif"/>
          <w:b/>
          <w:sz w:val="20"/>
        </w:rPr>
        <w:t>Item 4. Mine Safety Disclosures</w:t>
      </w:r>
      <w:r>
        <w:rPr>
          <w:rFonts w:ascii="Times New Roman;serif" w:hAnsi="Times New Roman;serif"/>
          <w:b/>
          <w:i/>
          <w:sz w:val="20"/>
        </w:rPr>
        <w:t>.</w:t>
      </w:r>
      <w:r>
        <w:rPr>
          <w:rFonts w:ascii="Times New Roman" w:hAnsi="Times New Roman"/>
          <w:sz w:val="20"/>
        </w:rPr>
        <w:t xml:space="preserve"> </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None.</w:t>
      </w:r>
    </w:p>
    <w:p>
      <w:pPr>
        <w:pStyle w:val="TextBody"/>
        <w:spacing w:before="0" w:after="0"/>
        <w:jc w:val="both"/>
        <w:rPr/>
      </w:pPr>
      <w:r>
        <w:rPr/>
        <w:t> </w:t>
      </w:r>
    </w:p>
    <w:p>
      <w:pPr>
        <w:pStyle w:val="TextBody"/>
        <w:spacing w:before="0" w:after="0"/>
        <w:jc w:val="both"/>
        <w:rPr>
          <w:rFonts w:ascii="Times New Roman;serif" w:hAnsi="Times New Roman;serif"/>
          <w:b/>
          <w:sz w:val="20"/>
        </w:rPr>
      </w:pPr>
      <w:bookmarkStart w:id="23" w:name="item5_other_information"/>
      <w:bookmarkEnd w:id="23"/>
      <w:r>
        <w:rPr>
          <w:rFonts w:ascii="Times New Roman;serif" w:hAnsi="Times New Roman;serif"/>
          <w:b/>
          <w:sz w:val="20"/>
        </w:rPr>
        <w:t>Item 5. Other Information.</w:t>
      </w:r>
    </w:p>
    <w:p>
      <w:pPr>
        <w:pStyle w:val="TextBody"/>
        <w:spacing w:before="0" w:after="0"/>
        <w:jc w:val="both"/>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None.</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59</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24" w:name="item6_exhibits"/>
      <w:bookmarkEnd w:id="24"/>
      <w:r>
        <w:rPr>
          <w:rFonts w:ascii="Times New Roman;serif" w:hAnsi="Times New Roman;serif"/>
          <w:b/>
          <w:sz w:val="20"/>
        </w:rPr>
        <w:t>Item 6. Exhibits.</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829"/>
        <w:gridCol w:w="146"/>
        <w:gridCol w:w="9230"/>
      </w:tblGrid>
      <w:tr>
        <w:trPr/>
        <w:tc>
          <w:tcPr>
            <w:tcW w:w="829"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230" w:type="dxa"/>
            <w:tcBorders/>
            <w:shd w:fill="auto" w:val="clear"/>
            <w:vAlign w:val="center"/>
          </w:tcPr>
          <w:p>
            <w:pPr>
              <w:pStyle w:val="TableContents"/>
              <w:spacing w:before="0" w:after="283"/>
              <w:rPr>
                <w:sz w:val="4"/>
                <w:szCs w:val="4"/>
              </w:rPr>
            </w:pPr>
            <w:r>
              <w:rPr>
                <w:sz w:val="4"/>
                <w:szCs w:val="4"/>
              </w:rPr>
            </w:r>
          </w:p>
        </w:tc>
      </w:tr>
      <w:tr>
        <w:trPr/>
        <w:tc>
          <w:tcPr>
            <w:tcW w:w="8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Number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923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Exhibit</w:t>
            </w:r>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2">
              <w:r>
                <w:rPr>
                  <w:rStyle w:val="InternetLink"/>
                  <w:rFonts w:ascii="Times New Roman;serif" w:hAnsi="Times New Roman;serif"/>
                  <w:b w:val="false"/>
                  <w:sz w:val="20"/>
                  <w:u w:val="single"/>
                </w:rPr>
                <w:t>Articles of Amendment and Restatement of the Registrant (Filed as Exhibit (a)(1) to Pre-Effective Amendment No. 2 to the Registrant’s Registration Statement on Form N-2 (File No. 333-172550) filed with the U.S. Securities and Exchange Commission on April 29, 2011 and incorporated herein by reference).</w:t>
              </w:r>
            </w:hyperlink>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3">
              <w:r>
                <w:rPr>
                  <w:rStyle w:val="InternetLink"/>
                  <w:rFonts w:ascii="Times New Roman;serif" w:hAnsi="Times New Roman;serif"/>
                  <w:b w:val="false"/>
                  <w:sz w:val="20"/>
                  <w:u w:val="single"/>
                </w:rPr>
                <w:t>Bylaws of the Registrant (Filed as Exhibit (b)(1) to Pre-Effective Amendment No. 2 to the Registrant’s Registration Statement on Form N-2 (File No. 333-172550) filed with the U.S. Securities and Exchange Commission on April 29, 2011 and incorporated herein by reference).</w:t>
              </w:r>
            </w:hyperlink>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4">
              <w:r>
                <w:rPr>
                  <w:rStyle w:val="InternetLink"/>
                  <w:rFonts w:ascii="Times New Roman;serif" w:hAnsi="Times New Roman;serif"/>
                  <w:b w:val="false"/>
                  <w:sz w:val="20"/>
                  <w:u w:val="single"/>
                </w:rPr>
                <w:t>Form of Stock Certificate of the Registrant (Filed as Exhibit (d) to Pre-Effective Amendment No. 2 to the Registrant’s Registration Statement on Form N-2 (File No. 333-172550) filed with the U.S. Securities and Exchange Commission on April 29, 2011 and incorporated herein by reference).</w:t>
              </w:r>
            </w:hyperlink>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5">
              <w:r>
                <w:rPr>
                  <w:rStyle w:val="InternetLink"/>
                  <w:rFonts w:ascii="Times New Roman;serif" w:hAnsi="Times New Roman;serif"/>
                  <w:b w:val="false"/>
                  <w:sz w:val="20"/>
                  <w:u w:val="single"/>
                </w:rPr>
                <w:t>Agreement to Furnish Certain Instruments (Filed as Exhibit (f)(2) to Pre-Effective Amendment No. 3 to the Registrant’s Registration Statement on Form N-2 (File No. 333-172550) filed with the U.S. Securities and Exchange Commission on May 26, 2011 and incorporated herein by reference)</w:t>
              </w:r>
            </w:hyperlink>
            <w:r>
              <w:rPr>
                <w:rFonts w:ascii="Times New Roman;serif" w:hAnsi="Times New Roman;serif"/>
                <w:b w:val="false"/>
                <w:sz w:val="20"/>
              </w:rPr>
              <w:t>.</w:t>
            </w:r>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4.3</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6">
              <w:r>
                <w:rPr>
                  <w:rStyle w:val="InternetLink"/>
                  <w:rFonts w:ascii="Times New Roman;serif" w:hAnsi="Times New Roman;serif"/>
                  <w:b w:val="false"/>
                  <w:sz w:val="20"/>
                  <w:u w:val="single"/>
                </w:rPr>
                <w:t>Form of Indenture (Filed as Exhibit (d)(5) to Post-Effective Amendment No. 2 to the Registrant’s Registration Statement on Form N-2 (File No. 333-202531) filed with the U.S. Securities and Exchange Commission on April 29, 2016 and incorporated herein by reference).</w:t>
              </w:r>
            </w:hyperlink>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7">
              <w:r>
                <w:rPr>
                  <w:rStyle w:val="InternetLink"/>
                  <w:rFonts w:ascii="Times New Roman;serif" w:hAnsi="Times New Roman;serif"/>
                  <w:b w:val="false"/>
                  <w:sz w:val="20"/>
                  <w:u w:val="single"/>
                </w:rPr>
                <w:t>Fourth Supplemental Indenture dated as of December 23, 2020 between Fidus Investment Corporation and U.S. Bank National Association, as trustee (Filed as Exhibit 4.1 to the Registrant’s Current report on Form 8-K filed with the U.S. Securities and Exchange Commission on December 23, 2020 and incorporated herein by reference).</w:t>
              </w:r>
            </w:hyperlink>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4.5</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8">
              <w:r>
                <w:rPr>
                  <w:rStyle w:val="InternetLink"/>
                  <w:rFonts w:ascii="Times New Roman;serif" w:hAnsi="Times New Roman;serif"/>
                  <w:b w:val="false"/>
                  <w:sz w:val="20"/>
                  <w:u w:val="single"/>
                </w:rPr>
                <w:t>Form of Global Note with respect to the 4.75% Notes due 2026 (Filed as Exhibit 4.1 to the Registrant’s Current report on Form 8-K filed with the U.S. Securities and Exchange Commission on December 23, 2020 and incorporated herein by reference).</w:t>
              </w:r>
            </w:hyperlink>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4.6</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9">
              <w:r>
                <w:rPr>
                  <w:rStyle w:val="InternetLink"/>
                  <w:rFonts w:ascii="Times New Roman;serif" w:hAnsi="Times New Roman;serif"/>
                  <w:b w:val="false"/>
                  <w:sz w:val="20"/>
                  <w:u w:val="single"/>
                </w:rPr>
                <w:t>Fifth Supplemental Indenture dated as of October 8, 2021 between Fidus Investment Corporation and U.S. Bank National Association, as trustee (Filed as Exhibit 4.1 to the Registrant’s Current report on Form 8-K filed with the U.S. Securities and Exchange Commission on October 8, 2021 and incorporated herein by reference).</w:t>
              </w:r>
            </w:hyperlink>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4.7</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r:id="rId10">
              <w:r>
                <w:rPr>
                  <w:rStyle w:val="InternetLink"/>
                  <w:rFonts w:ascii="Times New Roman;serif" w:hAnsi="Times New Roman;serif"/>
                  <w:b w:val="false"/>
                  <w:sz w:val="20"/>
                  <w:u w:val="single"/>
                </w:rPr>
                <w:t>Form of Global Note with respect to the 3.50% Notes due 2026 (Filed as Exhibit 4.1 to the Registrant’s Current report on Form 8-K filed with the U.S. Securities and Exchange Commission on October 8, 2021 and incorporated herein by reference).</w:t>
              </w:r>
            </w:hyperlink>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fdus-ex31_1.htm">
              <w:r>
                <w:rPr>
                  <w:rStyle w:val="InternetLink"/>
                  <w:rFonts w:ascii="Times New Roman;serif" w:hAnsi="Times New Roman;serif"/>
                  <w:b w:val="false"/>
                  <w:sz w:val="20"/>
                  <w:u w:val="single"/>
                </w:rPr>
                <w:t>Chief Executive Officer Certification Pursuant to Rule 13a-14 of the Securities Exchange Act of 1934, as adopted pursuant to Section 302 of the Sarbanes-Oxley Act of 2002.*</w:t>
              </w:r>
            </w:hyperlink>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fdus-ex31_2.htm">
              <w:r>
                <w:rPr>
                  <w:rStyle w:val="InternetLink"/>
                  <w:rFonts w:ascii="Times New Roman;serif" w:hAnsi="Times New Roman;serif"/>
                  <w:b w:val="false"/>
                  <w:sz w:val="20"/>
                  <w:u w:val="single"/>
                </w:rPr>
                <w:t>Chief Financial Officer Certification Pursuant to Rule 13a-14 of the Securities Exchange Act of 1934, as adopted pursuant to Section 302 of the Sarbanes-Oxley Act of 2002.*</w:t>
              </w:r>
            </w:hyperlink>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fdus-ex32_1.htm">
              <w:r>
                <w:rPr>
                  <w:rStyle w:val="InternetLink"/>
                  <w:rFonts w:ascii="Times New Roman;serif" w:hAnsi="Times New Roman;serif"/>
                  <w:b w:val="false"/>
                  <w:sz w:val="20"/>
                  <w:u w:val="single"/>
                </w:rPr>
                <w:t>Certification pursuant to Section 1350, Chapter 63 of Title 18, United States Code, as adopted pursuant to Section 906 of the Sarbanes-Oxley Act of 2002.*</w:t>
              </w:r>
            </w:hyperlink>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101.INS</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829"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101.PRE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30"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bl>
    <w:p>
      <w:pPr>
        <w:pStyle w:val="TextBody"/>
        <w:spacing w:before="0" w:after="0"/>
        <w:jc w:val="center"/>
        <w:rPr>
          <w:rFonts w:ascii="Times New Roman;serif" w:hAnsi="Times New Roman;serif"/>
          <w:b w:val="false"/>
          <w:sz w:val="20"/>
        </w:rPr>
      </w:pPr>
      <w:r>
        <w:rPr>
          <w:rFonts w:ascii="Times New Roman;serif" w:hAnsi="Times New Roman;serif"/>
          <w:b w:val="false"/>
          <w:sz w:val="20"/>
        </w:rPr>
        <w:t>60</w:t>
      </w:r>
    </w:p>
    <w:p>
      <w:pPr>
        <w:pStyle w:val="HorizontalLine"/>
        <w:rPr/>
      </w:pPr>
      <w:r>
        <w:rPr/>
      </w:r>
    </w:p>
    <w:p>
      <w:pPr>
        <w:pStyle w:val="TextBody"/>
        <w:spacing w:before="0" w:after="0"/>
        <w:jc w:val="left"/>
        <w:rPr/>
      </w:pPr>
      <w:r>
        <w:rPr/>
        <w:t> </w:t>
      </w:r>
    </w:p>
    <w:tbl>
      <w:tblPr>
        <w:tblW w:w="7288" w:type="dxa"/>
        <w:jc w:val="left"/>
        <w:tblInd w:w="0" w:type="dxa"/>
        <w:tblCellMar>
          <w:top w:w="28" w:type="dxa"/>
          <w:left w:w="28" w:type="dxa"/>
          <w:bottom w:w="28" w:type="dxa"/>
          <w:right w:w="28" w:type="dxa"/>
        </w:tblCellMar>
      </w:tblPr>
      <w:tblGrid>
        <w:gridCol w:w="436"/>
        <w:gridCol w:w="146"/>
        <w:gridCol w:w="6706"/>
      </w:tblGrid>
      <w:tr>
        <w:trPr/>
        <w:tc>
          <w:tcPr>
            <w:tcW w:w="4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706" w:type="dxa"/>
            <w:tcBorders/>
            <w:shd w:fill="auto" w:val="clear"/>
            <w:vAlign w:val="center"/>
          </w:tcPr>
          <w:p>
            <w:pPr>
              <w:pStyle w:val="TableContents"/>
              <w:spacing w:before="0" w:after="283"/>
              <w:rPr>
                <w:sz w:val="4"/>
                <w:szCs w:val="4"/>
              </w:rPr>
            </w:pPr>
            <w:r>
              <w:rPr>
                <w:sz w:val="4"/>
                <w:szCs w:val="4"/>
              </w:rPr>
            </w:r>
          </w:p>
        </w:tc>
      </w:tr>
      <w:tr>
        <w:trPr/>
        <w:tc>
          <w:tcPr>
            <w:tcW w:w="436" w:type="dxa"/>
            <w:tcBorders/>
            <w:shd w:fill="auto" w:val="clear"/>
            <w:tcMar>
              <w:top w:w="0" w:type="dxa"/>
              <w:left w:w="0" w:type="dxa"/>
              <w:bottom w:w="0" w:type="dxa"/>
              <w:right w:w="0" w:type="dxa"/>
            </w:tcMar>
            <w:vAlign w:val="center"/>
          </w:tcPr>
          <w:p>
            <w:pPr>
              <w:pStyle w:val="TableContents"/>
              <w:spacing w:before="0" w:after="0"/>
              <w:ind w:left="0" w:right="0" w:hanging="0"/>
              <w:jc w:val="center"/>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70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43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7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(embedded within the Inline XBRL document)*</w:t>
            </w:r>
          </w:p>
        </w:tc>
      </w:tr>
    </w:tbl>
    <w:p>
      <w:pPr>
        <w:pStyle w:val="TextBody"/>
        <w:spacing w:before="0" w:after="0"/>
        <w:jc w:val="left"/>
        <w:rPr/>
      </w:pPr>
      <w:r>
        <w:rPr/>
        <w:t> </w:t>
      </w:r>
    </w:p>
    <w:p>
      <w:pPr>
        <w:pStyle w:val="TextBody"/>
        <w:spacing w:before="0" w:after="0"/>
        <w:jc w:val="both"/>
        <w:rPr>
          <w:rFonts w:ascii="Times New Roman" w:hAnsi="Times New Roman"/>
          <w:sz w:val="20"/>
        </w:rPr>
      </w:pPr>
      <w:r>
        <w:rPr>
          <w:rFonts w:ascii="Times New Roman;serif" w:hAnsi="Times New Roman;serif"/>
          <w:b w:val="false"/>
          <w:sz w:val="20"/>
        </w:rPr>
        <w:t>*Filed herewith.</w:t>
      </w:r>
      <w:r>
        <w:rPr>
          <w:rFonts w:ascii="Times New Roman" w:hAnsi="Times New Roman"/>
          <w:sz w:val="20"/>
        </w:rPr>
        <w:t xml:space="preserve"> </w:t>
      </w:r>
    </w:p>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61</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5" w:name="signatures"/>
      <w:bookmarkEnd w:id="25"/>
      <w:r>
        <w:rPr>
          <w:rFonts w:ascii="Times New Roman;serif" w:hAnsi="Times New Roman;serif"/>
          <w:b/>
          <w:sz w:val="20"/>
        </w:rPr>
        <w:t>SIGNATURES</w:t>
      </w:r>
    </w:p>
    <w:p>
      <w:pPr>
        <w:pStyle w:val="TextBody"/>
        <w:spacing w:before="0" w:after="0"/>
        <w:jc w:val="left"/>
        <w:rPr/>
      </w:pPr>
      <w:r>
        <w:rPr/>
        <w:t> </w:t>
      </w:r>
    </w:p>
    <w:p>
      <w:pPr>
        <w:pStyle w:val="TextBody"/>
        <w:spacing w:before="0" w:after="0"/>
        <w:jc w:val="both"/>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both"/>
        <w:rPr/>
      </w:pPr>
      <w:r>
        <w:rPr/>
        <w:t> </w:t>
      </w:r>
    </w:p>
    <w:tbl>
      <w:tblPr>
        <w:tblW w:w="5402" w:type="dxa"/>
        <w:jc w:val="left"/>
        <w:tblInd w:w="0" w:type="dxa"/>
        <w:tblCellMar>
          <w:top w:w="28" w:type="dxa"/>
          <w:left w:w="28" w:type="dxa"/>
          <w:bottom w:w="28" w:type="dxa"/>
          <w:right w:w="28" w:type="dxa"/>
        </w:tblCellMar>
      </w:tblPr>
      <w:tblGrid>
        <w:gridCol w:w="1636"/>
        <w:gridCol w:w="3766"/>
      </w:tblGrid>
      <w:tr>
        <w:trPr/>
        <w:tc>
          <w:tcPr>
            <w:tcW w:w="1636" w:type="dxa"/>
            <w:tcBorders/>
            <w:shd w:fill="auto" w:val="clear"/>
            <w:vAlign w:val="center"/>
          </w:tcPr>
          <w:p>
            <w:pPr>
              <w:pStyle w:val="TableContents"/>
              <w:spacing w:before="0" w:after="283"/>
              <w:rPr>
                <w:sz w:val="4"/>
                <w:szCs w:val="4"/>
              </w:rPr>
            </w:pPr>
            <w:r>
              <w:rPr>
                <w:sz w:val="4"/>
                <w:szCs w:val="4"/>
              </w:rPr>
            </w:r>
          </w:p>
        </w:tc>
        <w:tc>
          <w:tcPr>
            <w:tcW w:w="3766"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FIDUS INVESTMENT CORPORATION</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both"/>
              <w:rPr>
                <w:rFonts w:ascii="Times New Roman;serif" w:hAnsi="Times New Roman;serif"/>
                <w:b w:val="false"/>
                <w:sz w:val="20"/>
              </w:rPr>
            </w:pPr>
            <w:r>
              <w:rPr>
                <w:rFonts w:ascii="Times New Roman;serif" w:hAnsi="Times New Roman;serif"/>
                <w:b w:val="false"/>
                <w:sz w:val="20"/>
              </w:rPr>
              <w:t>Date: May 4, 2023</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/s/ EDWARD H. ROSS</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Edward H. Ross</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Chairman and Chief Executive Officer</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4, 2023</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/s/ SHELBY E. SHERARD</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Shelby E. Sherard</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Chief Financial Officer</w:t>
            </w:r>
            <w:r>
              <w:rPr>
                <w:rFonts w:ascii="Times New Roman" w:hAnsi="Times New Roman"/>
                <w:sz w:val="20"/>
              </w:rPr>
              <w:t xml:space="preserve"> </w:t>
            </w:r>
          </w:p>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spacing w:before="0" w:after="0"/>
        <w:jc w:val="left"/>
        <w:rPr/>
      </w:pPr>
      <w:r>
        <w:rPr/>
        <w:t> </w:t>
      </w:r>
    </w:p>
    <w:p>
      <w:pPr>
        <w:pStyle w:val="TextBody"/>
        <w:spacing w:before="0" w:after="0"/>
        <w:jc w:val="center"/>
        <w:rPr>
          <w:rFonts w:ascii="Times New Roman;serif" w:hAnsi="Times New Roman;serif"/>
          <w:b w:val="false"/>
          <w:sz w:val="20"/>
        </w:rPr>
      </w:pPr>
      <w:r>
        <w:rPr>
          <w:rFonts w:ascii="Times New Roman;serif" w:hAnsi="Times New Roman;serif"/>
          <w:b w:val="false"/>
          <w:sz w:val="20"/>
        </w:rPr>
        <w:t>62</w:t>
      </w:r>
    </w:p>
    <w:p>
      <w:pPr>
        <w:pStyle w:val="HorizontalLine"/>
        <w:rPr/>
      </w:pPr>
      <w:r>
        <w:rPr/>
      </w:r>
      <w:r>
        <w:br w:type="page"/>
      </w:r>
    </w:p>
    <w:p>
      <w:pPr>
        <w:pStyle w:val="TextBody"/>
        <w:spacing w:before="0" w:after="0"/>
        <w:jc w:val="left"/>
        <w:rPr/>
      </w:pPr>
      <w:bookmarkStart w:id="26" w:name="fdus-ex31_1.htm"/>
      <w:bookmarkStart w:id="27" w:name="ksfdusex31_1"/>
      <w:bookmarkEnd w:id="26"/>
      <w:bookmarkEnd w:id="27"/>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31.1</w:t>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 Chief Executive Officer Certification</w:t>
      </w:r>
    </w:p>
    <w:p>
      <w:pPr>
        <w:pStyle w:val="TextBody"/>
        <w:spacing w:before="0" w:after="0"/>
        <w:jc w:val="center"/>
        <w:rPr>
          <w:rFonts w:ascii="Times New Roman;serif" w:hAnsi="Times New Roman;serif"/>
          <w:b/>
          <w:sz w:val="20"/>
        </w:rPr>
      </w:pPr>
      <w:r>
        <w:rPr>
          <w:rFonts w:ascii="Times New Roman;serif" w:hAnsi="Times New Roman;serif"/>
          <w:b/>
          <w:sz w:val="20"/>
        </w:rPr>
        <w:t>Pursuant to Rule 13a-14 of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 Edward H. Ross, as Chief Executive Officer of Fidus Investment Corporation, certify that:</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Fidus Investment Corporation;</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Date: May 4, 2023</w:t>
      </w:r>
    </w:p>
    <w:p>
      <w:pPr>
        <w:pStyle w:val="TextBody"/>
        <w:spacing w:before="0" w:after="0"/>
        <w:jc w:val="left"/>
        <w:rPr/>
      </w:pPr>
      <w:r>
        <w:rPr/>
        <w:t> </w:t>
      </w:r>
    </w:p>
    <w:p>
      <w:pPr>
        <w:pStyle w:val="TextBody"/>
        <w:spacing w:before="0" w:after="0"/>
        <w:jc w:val="left"/>
        <w:rPr>
          <w:rFonts w:ascii="Times New Roman;serif" w:hAnsi="Times New Roman;serif"/>
          <w:b w:val="false"/>
          <w:sz w:val="20"/>
          <w:u w:val="single"/>
        </w:rPr>
      </w:pPr>
      <w:r>
        <w:rPr>
          <w:rFonts w:ascii="Times New Roman;serif" w:hAnsi="Times New Roman;serif"/>
          <w:b w:val="false"/>
          <w:sz w:val="20"/>
          <w:u w:val="single"/>
        </w:rPr>
        <w:t xml:space="preserve">/s/ EDWARD H. ROSS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Edward H. Ross</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Chairman and Chief Executive Officer</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(Principal Executive Officer)</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8" w:name="fdus-ex31_2.htm"/>
      <w:bookmarkStart w:id="29" w:name="ksfdusex31_2"/>
      <w:bookmarkEnd w:id="28"/>
      <w:bookmarkEnd w:id="29"/>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31.2</w:t>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Fidus Investment Corporation Chief Financial Officer Certification</w:t>
      </w:r>
    </w:p>
    <w:p>
      <w:pPr>
        <w:pStyle w:val="TextBody"/>
        <w:spacing w:before="0" w:after="0"/>
        <w:jc w:val="center"/>
        <w:rPr>
          <w:rFonts w:ascii="Times New Roman;serif" w:hAnsi="Times New Roman;serif"/>
          <w:b/>
          <w:sz w:val="20"/>
        </w:rPr>
      </w:pPr>
      <w:r>
        <w:rPr>
          <w:rFonts w:ascii="Times New Roman;serif" w:hAnsi="Times New Roman;serif"/>
          <w:b/>
          <w:sz w:val="20"/>
        </w:rPr>
        <w:t>Pursuant to Rule 13a-14 of the Securities Exchange Act of 1934,</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302 of the Sarbanes-Oxley Act of 2002</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 Shelby E. Sherard, as Chief Financial Officer of Fidus Investment Corporation, certify that:</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1. I have reviewed this Quarterly Report on Form 10-Q of Fidus Investment Corporation;</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(b) Any fraud, whether or not material, that involves management or other employees who have a significant role in the registrant’s internal control over financial reporting.</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Date: May 4, 2023</w:t>
      </w:r>
    </w:p>
    <w:p>
      <w:pPr>
        <w:pStyle w:val="TextBody"/>
        <w:spacing w:before="0" w:after="0"/>
        <w:jc w:val="left"/>
        <w:rPr/>
      </w:pPr>
      <w:r>
        <w:rPr/>
        <w:t> </w:t>
      </w:r>
    </w:p>
    <w:p>
      <w:pPr>
        <w:pStyle w:val="TextBody"/>
        <w:spacing w:before="0" w:after="0"/>
        <w:jc w:val="left"/>
        <w:rPr>
          <w:rFonts w:ascii="Times New Roman;serif" w:hAnsi="Times New Roman;serif"/>
          <w:b w:val="false"/>
          <w:sz w:val="20"/>
          <w:u w:val="single"/>
        </w:rPr>
      </w:pPr>
      <w:r>
        <w:rPr>
          <w:rFonts w:ascii="Times New Roman;serif" w:hAnsi="Times New Roman;serif"/>
          <w:b w:val="false"/>
          <w:sz w:val="20"/>
          <w:u w:val="single"/>
        </w:rPr>
        <w:t xml:space="preserve">/s/ SHELBY E. SHERARD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Shelby E. Sherard</w:t>
      </w:r>
    </w:p>
    <w:p>
      <w:pPr>
        <w:pStyle w:val="TextBody"/>
        <w:spacing w:before="0" w:after="0"/>
        <w:jc w:val="left"/>
        <w:rPr>
          <w:rFonts w:ascii="Times New Roman;serif" w:hAnsi="Times New Roman;serif"/>
          <w:b w:val="false"/>
          <w:sz w:val="20"/>
        </w:rPr>
      </w:pPr>
      <w:r>
        <w:rPr>
          <w:rFonts w:ascii="Times New Roman;serif" w:hAnsi="Times New Roman;serif"/>
          <w:b w:val="false"/>
          <w:sz w:val="20"/>
        </w:rPr>
        <w:t>Chief Financial Officer</w:t>
      </w:r>
    </w:p>
    <w:p>
      <w:pPr>
        <w:pStyle w:val="TextBody"/>
        <w:spacing w:before="0" w:after="0"/>
        <w:jc w:val="left"/>
        <w:rPr>
          <w:rFonts w:ascii="Times New Roman;serif" w:hAnsi="Times New Roman;serif"/>
          <w:b w:val="false"/>
          <w:sz w:val="20"/>
        </w:rPr>
      </w:pPr>
      <w:r>
        <w:rPr>
          <w:rFonts w:ascii="Times New Roman;serif" w:hAnsi="Times New Roman;serif"/>
          <w:b w:val="false"/>
          <w:sz w:val="20"/>
        </w:rPr>
        <w:t>(Principal Financial and Accounting Officer)</w:t>
      </w:r>
    </w:p>
    <w:p>
      <w:pPr>
        <w:pStyle w:val="TextBody"/>
        <w:spacing w:before="0" w:after="0"/>
        <w:jc w:val="both"/>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30" w:name="fdus-ex32_1.htm"/>
      <w:bookmarkStart w:id="31" w:name="ksfdusex32_1"/>
      <w:bookmarkEnd w:id="30"/>
      <w:bookmarkEnd w:id="31"/>
      <w:r>
        <w:rPr/>
        <w:t> </w:t>
      </w:r>
    </w:p>
    <w:p>
      <w:pPr>
        <w:pStyle w:val="TextBody"/>
        <w:spacing w:before="0" w:after="0"/>
        <w:jc w:val="right"/>
        <w:rPr>
          <w:rFonts w:ascii="Times New Roman;serif" w:hAnsi="Times New Roman;serif"/>
          <w:b/>
          <w:sz w:val="20"/>
        </w:rPr>
      </w:pPr>
      <w:r>
        <w:rPr>
          <w:rFonts w:ascii="Times New Roman;serif" w:hAnsi="Times New Roman;serif"/>
          <w:b/>
          <w:sz w:val="20"/>
        </w:rPr>
        <w:t>Exhibit 32.1</w:t>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Certification Pursuant to 18 U.S.C. Section 1350,</w:t>
      </w:r>
    </w:p>
    <w:p>
      <w:pPr>
        <w:pStyle w:val="TextBody"/>
        <w:spacing w:before="0" w:after="0"/>
        <w:jc w:val="center"/>
        <w:rPr>
          <w:rFonts w:ascii="Times New Roman;serif" w:hAnsi="Times New Roman;serif"/>
          <w:b/>
          <w:sz w:val="20"/>
        </w:rPr>
      </w:pPr>
      <w:r>
        <w:rPr>
          <w:rFonts w:ascii="Times New Roman;serif" w:hAnsi="Times New Roman;serif"/>
          <w:b/>
          <w:sz w:val="20"/>
        </w:rPr>
        <w:t>as adopted pursuant to Section 906 of the Sarbanes-Oxley Act Of 2002</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In connection with the Quarterly Report on Form 10-Q of Fidus Investment Corporation (the “Company”) for the quarterly period ended March 31, 2023, as filed with the Securities and Exchange Commission on the date hereof (the “Report”), I, Edward H. Ross, Chief Executive Officer of the Company, and I, Shelby E. Sherard, Chief Financial Officer of the Company, each certify, pursuant to 18 U.S.C. Section 1350, as adopted pursuant to Section 906 of the Sarbanes-Oxley Act of 2002, that to my knowledge:</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(1) The Report fully complies with the requirements of Section 13(a) or 15(d) of the Securities Exchange Act of 1934; and</w:t>
      </w:r>
    </w:p>
    <w:p>
      <w:pPr>
        <w:pStyle w:val="TextBody"/>
        <w:spacing w:before="0" w:after="0"/>
        <w:jc w:val="left"/>
        <w:rPr/>
      </w:pPr>
      <w:r>
        <w:rPr/>
        <w:t> </w:t>
      </w:r>
    </w:p>
    <w:p>
      <w:pPr>
        <w:pStyle w:val="TextBody"/>
        <w:spacing w:before="0" w:after="0"/>
        <w:jc w:val="left"/>
        <w:rPr>
          <w:rFonts w:ascii="Times New Roman;serif" w:hAnsi="Times New Roman;serif"/>
          <w:b w:val="false"/>
          <w:sz w:val="20"/>
        </w:rPr>
      </w:pPr>
      <w:r>
        <w:rPr>
          <w:rFonts w:ascii="Times New Roman;serif" w:hAnsi="Times New Roman;serif"/>
          <w:b w:val="false"/>
          <w:sz w:val="20"/>
        </w:rPr>
        <w:t>(2) The information contained in the Report fairly presents, in all material respects, the financial condition and results of operations of the Company.</w:t>
      </w:r>
    </w:p>
    <w:p>
      <w:pPr>
        <w:pStyle w:val="TextBody"/>
        <w:spacing w:before="0" w:after="0"/>
        <w:jc w:val="both"/>
        <w:rPr/>
      </w:pPr>
      <w:r>
        <w:rPr/>
        <w:t> </w:t>
      </w:r>
    </w:p>
    <w:tbl>
      <w:tblPr>
        <w:tblW w:w="5402" w:type="dxa"/>
        <w:jc w:val="left"/>
        <w:tblInd w:w="0" w:type="dxa"/>
        <w:tblCellMar>
          <w:top w:w="28" w:type="dxa"/>
          <w:left w:w="28" w:type="dxa"/>
          <w:bottom w:w="28" w:type="dxa"/>
          <w:right w:w="28" w:type="dxa"/>
        </w:tblCellMar>
      </w:tblPr>
      <w:tblGrid>
        <w:gridCol w:w="1636"/>
        <w:gridCol w:w="3766"/>
      </w:tblGrid>
      <w:tr>
        <w:trPr/>
        <w:tc>
          <w:tcPr>
            <w:tcW w:w="1636" w:type="dxa"/>
            <w:tcBorders/>
            <w:shd w:fill="auto" w:val="clear"/>
            <w:vAlign w:val="center"/>
          </w:tcPr>
          <w:p>
            <w:pPr>
              <w:pStyle w:val="TableContents"/>
              <w:spacing w:before="0" w:after="283"/>
              <w:rPr>
                <w:sz w:val="4"/>
                <w:szCs w:val="4"/>
              </w:rPr>
            </w:pPr>
            <w:r>
              <w:rPr>
                <w:sz w:val="4"/>
                <w:szCs w:val="4"/>
              </w:rPr>
            </w:r>
          </w:p>
        </w:tc>
        <w:tc>
          <w:tcPr>
            <w:tcW w:w="3766" w:type="dxa"/>
            <w:tcBorders/>
            <w:shd w:fill="auto" w:val="clear"/>
            <w:vAlign w:val="center"/>
          </w:tcPr>
          <w:p>
            <w:pPr>
              <w:pStyle w:val="TableContents"/>
              <w:spacing w:before="0" w:after="283"/>
              <w:rPr>
                <w:sz w:val="4"/>
                <w:szCs w:val="4"/>
              </w:rPr>
            </w:pPr>
            <w:r>
              <w:rPr>
                <w:sz w:val="4"/>
                <w:szCs w:val="4"/>
              </w:rPr>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 May 4, 2023</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/s/ EDWARD H. ROSS</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Edward H. Ross</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Chairman and Chief Executive Officer</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Executive Officer)</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u w:val="single"/>
              </w:rPr>
            </w:pPr>
            <w:r>
              <w:rPr>
                <w:rFonts w:ascii="Times New Roman;serif" w:hAnsi="Times New Roman;serif"/>
                <w:b w:val="false"/>
                <w:sz w:val="20"/>
                <w:u w:val="single"/>
              </w:rPr>
              <w:t>/s/ SHELBY E. SHERARD</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Shelby E. Sherard</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Chief Financial Officer</w:t>
            </w:r>
          </w:p>
        </w:tc>
      </w:tr>
      <w:tr>
        <w:trPr/>
        <w:tc>
          <w:tcPr>
            <w:tcW w:w="163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7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(Principal Financial and Accounting Officer)</w:t>
            </w:r>
          </w:p>
        </w:tc>
      </w:tr>
    </w:tbl>
    <w:p>
      <w:pPr>
        <w:pStyle w:val="TextBody"/>
        <w:spacing w:before="0" w:after="0"/>
        <w:jc w:val="left"/>
        <w:rPr/>
      </w:pPr>
      <w:r>
        <w:rPr/>
        <w:t> </w:t>
      </w:r>
    </w:p>
    <w:p>
      <w:pPr>
        <w:pStyle w:val="TextBody"/>
        <w:spacing w:before="180" w:after="0"/>
        <w:jc w:val="left"/>
        <w:rPr/>
      </w:pPr>
      <w:r>
        <w:rPr/>
        <w:t> </w:t>
      </w:r>
    </w:p>
    <w:p>
      <w:pPr>
        <w:pStyle w:val="TextBody"/>
        <w:spacing w:before="0" w:after="0"/>
        <w:jc w:val="left"/>
        <w:rPr/>
      </w:pPr>
      <w:r>
        <w:rPr/>
        <w:t> </w:t>
      </w:r>
    </w:p>
    <w:p>
      <w:pPr>
        <w:pStyle w:val="TextBody"/>
        <w:spacing w:before="0" w:after="0"/>
        <w:jc w:val="both"/>
        <w:rPr/>
      </w:pPr>
      <w:r>
        <w:rPr/>
        <w:t> </w:t>
      </w:r>
    </w:p>
    <w:p>
      <w:pPr>
        <w:pStyle w:val="TextBody"/>
        <w:spacing w:before="0" w:after="180"/>
        <w:jc w:val="both"/>
        <w:rPr/>
      </w:pPr>
      <w:r>
        <w:rPr/>
        <w:t> </w:t>
      </w:r>
    </w:p>
    <w:p>
      <w:pPr>
        <w:pStyle w:val="TextBody"/>
        <w:spacing w:before="0" w:after="0"/>
        <w:jc w:val="both"/>
        <w:rPr/>
      </w:pPr>
      <w:r>
        <w:rPr/>
        <w:t> </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13363/000095012311041885/w81466a2exv99wxayx1y.htm" TargetMode="External"/><Relationship Id="rId3" Type="http://schemas.openxmlformats.org/officeDocument/2006/relationships/hyperlink" Target="https://www.sec.gov/Archives/edgar/data/1513363/000095012311041885/w81466a2exv99wxbyx1y.htm" TargetMode="External"/><Relationship Id="rId4" Type="http://schemas.openxmlformats.org/officeDocument/2006/relationships/hyperlink" Target="https://www.sec.gov/Archives/edgar/data/1513363/000095012311041885/w81466a2exv99wxdy.htm" TargetMode="External"/><Relationship Id="rId5" Type="http://schemas.openxmlformats.org/officeDocument/2006/relationships/hyperlink" Target="https://www.sec.gov/Archives/edgar/data/1513363/000095012311054001/w81466a3exv99wxfyx2y.htm" TargetMode="External"/><Relationship Id="rId6" Type="http://schemas.openxmlformats.org/officeDocument/2006/relationships/hyperlink" Target="https://www.sec.gov/Archives/edgar/data/1513363/000119312516569246/d141023dex99d5.htm" TargetMode="External"/><Relationship Id="rId7" Type="http://schemas.openxmlformats.org/officeDocument/2006/relationships/hyperlink" Target="https://www.sec.gov/Archives/edgar/data/1513363/000119312520325989/d97521dex41.htm" TargetMode="External"/><Relationship Id="rId8" Type="http://schemas.openxmlformats.org/officeDocument/2006/relationships/hyperlink" Target="https://www.sec.gov/Archives/edgar/data/1513363/000119312520325989/d97521dex41.htm" TargetMode="External"/><Relationship Id="rId9" Type="http://schemas.openxmlformats.org/officeDocument/2006/relationships/hyperlink" Target="https://www.sec.gov/Archives/edgar/data/0001513363/000119312521295460/d193806dex41.htm" TargetMode="External"/><Relationship Id="rId10" Type="http://schemas.openxmlformats.org/officeDocument/2006/relationships/hyperlink" Target="https://www.sec.gov/Archives/edgar/data/0001513363/000119312521295460/d193806dex4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19</Pages>
  <Words>45291</Words>
  <CharactersWithSpaces>301220</CharactersWithSpaces>
  <Paragraphs>24198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