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540" w:type="dxa"/>
            <w:vAlign w:val="bottom"/>
            <w:gridSpan w:val="3"/>
          </w:tcPr>
          <w:p>
            <w:pPr>
              <w:jc w:val="center"/>
              <w:ind w:left="938"/>
              <w:spacing w:after="0"/>
              <w:rPr>
                <w:sz w:val="20"/>
                <w:szCs w:val="20"/>
                <w:color w:val="auto"/>
              </w:rPr>
            </w:pPr>
            <w:r>
              <w:rPr>
                <w:rFonts w:ascii="Arial" w:cs="Arial" w:eastAsia="Arial" w:hAnsi="Arial"/>
                <w:sz w:val="18"/>
                <w:szCs w:val="18"/>
                <w:b w:val="1"/>
                <w:bCs w:val="1"/>
                <w:color w:val="auto"/>
                <w:w w:val="96"/>
              </w:rPr>
              <w:t>Maryland</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jc w:val="right"/>
              <w:ind w:right="2158"/>
              <w:spacing w:after="0"/>
              <w:rPr>
                <w:sz w:val="20"/>
                <w:szCs w:val="20"/>
                <w:color w:val="auto"/>
              </w:rPr>
            </w:pPr>
            <w:r>
              <w:rPr>
                <w:rFonts w:ascii="Arial" w:cs="Arial" w:eastAsia="Arial" w:hAnsi="Arial"/>
                <w:sz w:val="18"/>
                <w:szCs w:val="18"/>
                <w:b w:val="1"/>
                <w:bCs w:val="1"/>
                <w:color w:val="auto"/>
              </w:rPr>
              <w:t>27-5017321</w:t>
            </w:r>
          </w:p>
        </w:tc>
      </w:tr>
      <w:tr>
        <w:trPr>
          <w:trHeight w:val="148"/>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9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jc w:val="center"/>
              <w:ind w:right="199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40" w:type="dxa"/>
            <w:vAlign w:val="bottom"/>
            <w:gridSpan w:val="3"/>
          </w:tcPr>
          <w:p>
            <w:pPr>
              <w:jc w:val="center"/>
              <w:ind w:left="938"/>
              <w:spacing w:after="0"/>
              <w:rPr>
                <w:sz w:val="20"/>
                <w:szCs w:val="20"/>
                <w:color w:val="auto"/>
              </w:rPr>
            </w:pPr>
            <w:r>
              <w:rPr>
                <w:rFonts w:ascii="Arial" w:cs="Arial" w:eastAsia="Arial" w:hAnsi="Arial"/>
                <w:sz w:val="18"/>
                <w:szCs w:val="18"/>
                <w:b w:val="1"/>
                <w:bCs w:val="1"/>
                <w:color w:val="auto"/>
                <w:w w:val="90"/>
              </w:rPr>
              <w:t>1603 Orrington Avenue, Suite 1005</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5"/>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90"/>
              </w:rPr>
              <w:t>Evanston, Illinois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jc w:val="right"/>
              <w:ind w:right="2378"/>
              <w:spacing w:after="0"/>
              <w:rPr>
                <w:sz w:val="20"/>
                <w:szCs w:val="20"/>
                <w:color w:val="auto"/>
              </w:rPr>
            </w:pPr>
            <w:r>
              <w:rPr>
                <w:rFonts w:ascii="Arial" w:cs="Arial" w:eastAsia="Arial" w:hAnsi="Arial"/>
                <w:sz w:val="18"/>
                <w:szCs w:val="18"/>
                <w:b w:val="1"/>
                <w:bCs w:val="1"/>
                <w:color w:val="auto"/>
              </w:rPr>
              <w:t>60201</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jc w:val="center"/>
              <w:ind w:right="1998"/>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jc w:val="center"/>
              <w:ind w:right="954"/>
              <w:spacing w:after="0"/>
              <w:rPr>
                <w:sz w:val="20"/>
                <w:szCs w:val="20"/>
                <w:color w:val="auto"/>
              </w:rPr>
            </w:pPr>
            <w:r>
              <w:rPr>
                <w:rFonts w:ascii="Arial" w:cs="Arial" w:eastAsia="Arial" w:hAnsi="Arial"/>
                <w:sz w:val="18"/>
                <w:szCs w:val="18"/>
                <w:b w:val="1"/>
                <w:bCs w:val="1"/>
                <w:color w:val="auto"/>
                <w:w w:val="90"/>
              </w:rPr>
              <w:t>(847) 859-3940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86"/>
        </w:trPr>
        <w:tc>
          <w:tcPr>
            <w:tcW w:w="7740" w:type="dxa"/>
            <w:vAlign w:val="bottom"/>
            <w:gridSpan w:val="6"/>
          </w:tcPr>
          <w:p>
            <w:pPr>
              <w:jc w:val="center"/>
              <w:ind w:left="3198"/>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3280" w:type="dxa"/>
            <w:vAlign w:val="bottom"/>
          </w:tcPr>
          <w:p>
            <w:pPr>
              <w:spacing w:after="0"/>
              <w:rPr>
                <w:sz w:val="16"/>
                <w:szCs w:val="16"/>
                <w:color w:val="auto"/>
              </w:rPr>
            </w:pPr>
          </w:p>
        </w:tc>
      </w:tr>
      <w:tr>
        <w:trPr>
          <w:trHeight w:val="417"/>
        </w:trPr>
        <w:tc>
          <w:tcPr>
            <w:tcW w:w="7740" w:type="dxa"/>
            <w:vAlign w:val="bottom"/>
            <w:gridSpan w:val="6"/>
          </w:tcPr>
          <w:p>
            <w:pPr>
              <w:jc w:val="center"/>
              <w:ind w:left="317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280" w:type="dxa"/>
            <w:vAlign w:val="bottom"/>
          </w:tcPr>
          <w:p>
            <w:pPr>
              <w:spacing w:after="0"/>
              <w:rPr>
                <w:sz w:val="24"/>
                <w:szCs w:val="24"/>
                <w:color w:val="auto"/>
              </w:rPr>
            </w:pPr>
          </w:p>
        </w:tc>
      </w:tr>
      <w:tr>
        <w:trPr>
          <w:trHeight w:val="405"/>
        </w:trPr>
        <w:tc>
          <w:tcPr>
            <w:tcW w:w="4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Title of each class</w:t>
            </w:r>
          </w:p>
        </w:tc>
        <w:tc>
          <w:tcPr>
            <w:tcW w:w="32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4"/>
              </w:rPr>
              <w:t>Trading Symbol(s)</w:t>
            </w:r>
          </w:p>
        </w:tc>
        <w:tc>
          <w:tcPr>
            <w:tcW w:w="32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474"/>
              <w:spacing w:after="0" w:line="191" w:lineRule="exact"/>
              <w:rPr>
                <w:sz w:val="20"/>
                <w:szCs w:val="20"/>
                <w:color w:val="auto"/>
              </w:rPr>
            </w:pPr>
            <w:r>
              <w:rPr>
                <w:rFonts w:ascii="Arial" w:cs="Arial" w:eastAsia="Arial" w:hAnsi="Arial"/>
                <w:sz w:val="18"/>
                <w:szCs w:val="18"/>
                <w:b w:val="1"/>
                <w:bCs w:val="1"/>
                <w:color w:val="auto"/>
                <w:w w:val="97"/>
              </w:rPr>
              <w:t>FDUS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right="58"/>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r>
      <w:tr>
        <w:trPr>
          <w:trHeight w:val="216"/>
        </w:trPr>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6.000% Notes due 2024</w:t>
            </w:r>
          </w:p>
        </w:tc>
        <w:tc>
          <w:tcPr>
            <w:tcW w:w="32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9"/>
              </w:rPr>
              <w:t>FDUSZ</w:t>
            </w:r>
          </w:p>
        </w:tc>
        <w:tc>
          <w:tcPr>
            <w:tcW w:w="3280" w:type="dxa"/>
            <w:vAlign w:val="bottom"/>
          </w:tcPr>
          <w:p>
            <w:pPr>
              <w:jc w:val="center"/>
              <w:ind w:right="58"/>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234"/>
        </w:trPr>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5.375% Notes due 2024</w:t>
            </w:r>
          </w:p>
        </w:tc>
        <w:tc>
          <w:tcPr>
            <w:tcW w:w="32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5"/>
              </w:rPr>
              <w:t>FDUSG</w:t>
            </w:r>
          </w:p>
        </w:tc>
        <w:tc>
          <w:tcPr>
            <w:tcW w:w="3280" w:type="dxa"/>
            <w:vAlign w:val="bottom"/>
          </w:tcPr>
          <w:p>
            <w:pPr>
              <w:jc w:val="center"/>
              <w:ind w:right="58"/>
              <w:spacing w:after="0"/>
              <w:rPr>
                <w:sz w:val="20"/>
                <w:szCs w:val="20"/>
                <w:color w:val="auto"/>
              </w:rPr>
            </w:pPr>
            <w:r>
              <w:rPr>
                <w:rFonts w:ascii="Arial" w:cs="Arial" w:eastAsia="Arial" w:hAnsi="Arial"/>
                <w:sz w:val="18"/>
                <w:szCs w:val="18"/>
                <w:b w:val="1"/>
                <w:bCs w:val="1"/>
                <w:color w:val="auto"/>
                <w:w w:val="93"/>
              </w:rPr>
              <w:t>The NASDAQ Global Select Market</w:t>
            </w:r>
          </w:p>
        </w:tc>
      </w:tr>
    </w:tbl>
    <w:p>
      <w:pPr>
        <w:spacing w:after="0" w:line="198"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8500" w:type="dxa"/>
            <w:vAlign w:val="bottom"/>
            <w:gridSpan w:val="3"/>
          </w:tcPr>
          <w:p>
            <w:pPr>
              <w:ind w:left="26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5"/>
        </w:trPr>
        <w:tc>
          <w:tcPr>
            <w:tcW w:w="850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00"/>
              <w:spacing w:after="0"/>
              <w:rPr>
                <w:sz w:val="20"/>
                <w:szCs w:val="20"/>
                <w:color w:val="auto"/>
              </w:rPr>
            </w:pPr>
            <w:r>
              <w:rPr>
                <w:rFonts w:ascii="Arial" w:cs="Arial" w:eastAsia="Arial" w:hAnsi="Arial"/>
                <w:sz w:val="18"/>
                <w:szCs w:val="18"/>
                <w:color w:val="auto"/>
                <w:w w:val="83"/>
              </w:rPr>
              <w:t>Yes</w:t>
            </w:r>
          </w:p>
        </w:tc>
        <w:tc>
          <w:tcPr>
            <w:tcW w:w="2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060" w:val="left"/>
          <w:tab w:leader="none" w:pos="8540" w:val="left"/>
          <w:tab w:leader="none" w:pos="109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40"/>
            <w:col w:w="5760" w:space="720"/>
            <w:col w:w="1960" w:space="460"/>
            <w:col w:w="160"/>
          </w:cols>
          <w:pgMar w:left="440" w:top="147" w:right="439" w:bottom="1440" w:gutter="0" w:footer="0" w:header="0"/>
        </w:sectPr>
      </w:pPr>
    </w:p>
    <w:p>
      <w:pPr>
        <w:spacing w:after="0" w:line="33"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00" w:space="460"/>
            <w:col w:w="160"/>
          </w:cols>
          <w:pgMar w:left="440" w:top="147" w:right="439" w:bottom="1440" w:gutter="0" w:footer="0" w:header="0"/>
          <w:type w:val="continuous"/>
        </w:sectPr>
      </w:pPr>
    </w:p>
    <w:p>
      <w:pPr>
        <w:spacing w:after="0" w:line="48" w:lineRule="exact"/>
        <w:rPr>
          <w:sz w:val="20"/>
          <w:szCs w:val="20"/>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24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207" w:lineRule="exact"/>
        <w:tabs>
          <w:tab w:leader="none" w:pos="8000" w:val="left"/>
          <w:tab w:leader="none" w:pos="87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The aggregate market value of common stock held by non-affiliates of the registrant on June 30, 2020 based on the closing price on that date of $9.07 on the NASDAQ Global Select Market was $218,493,597. For the purpose of calculating this amount only, all directors and executive officers of the registrant have been treated as affiliates. There were 24,437,400 shares of the registrant’s common stock outstanding as of February 23, 2021.</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Portions of the registrant’s proxy statement to be filed with the U.S. Securities and Exchange Commission pursuant to Regulation 14A in connection with the registrant’s 2021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47"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392"/>
        </w:trPr>
        <w:tc>
          <w:tcPr>
            <w:tcW w:w="7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740" w:type="dxa"/>
            <w:vAlign w:val="bottom"/>
          </w:tcPr>
          <w:p>
            <w:pPr>
              <w:spacing w:after="0"/>
              <w:rPr>
                <w:sz w:val="24"/>
                <w:szCs w:val="24"/>
                <w:color w:val="auto"/>
              </w:rPr>
            </w:pPr>
          </w:p>
        </w:tc>
        <w:tc>
          <w:tcPr>
            <w:tcW w:w="990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PART I</w:t>
            </w:r>
          </w:p>
        </w:tc>
        <w:tc>
          <w:tcPr>
            <w:tcW w:w="32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9900" w:type="dxa"/>
            <w:vAlign w:val="bottom"/>
          </w:tcPr>
          <w:p>
            <w:pPr>
              <w:ind w:left="12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990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Unresolved Staff Comments.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tcPr>
          <w:p>
            <w:pPr>
              <w:ind w:left="120"/>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Properties</w:t>
              </w:r>
              <w:r>
                <w:rPr>
                  <w:rFonts w:ascii="Arial" w:cs="Arial" w:eastAsia="Arial" w:hAnsi="Arial"/>
                  <w:sz w:val="18"/>
                  <w:szCs w:val="18"/>
                  <w:color w:val="0000EE"/>
                </w:rPr>
                <w: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120"/>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740" w:type="dxa"/>
            <w:vAlign w:val="bottom"/>
          </w:tcPr>
          <w:p>
            <w:pPr>
              <w:spacing w:after="0"/>
              <w:rPr>
                <w:sz w:val="24"/>
                <w:szCs w:val="24"/>
                <w:color w:val="auto"/>
              </w:rPr>
            </w:pPr>
          </w:p>
        </w:tc>
        <w:tc>
          <w:tcPr>
            <w:tcW w:w="9900" w:type="dxa"/>
            <w:vAlign w:val="bottom"/>
          </w:tcPr>
          <w:p>
            <w:pPr>
              <w:jc w:val="center"/>
              <w:ind w:right="350"/>
              <w:spacing w:after="0"/>
              <w:rPr>
                <w:sz w:val="20"/>
                <w:szCs w:val="20"/>
                <w:color w:val="auto"/>
              </w:rPr>
            </w:pPr>
            <w:r>
              <w:rPr>
                <w:rFonts w:ascii="Arial" w:cs="Arial" w:eastAsia="Arial" w:hAnsi="Arial"/>
                <w:sz w:val="18"/>
                <w:szCs w:val="18"/>
                <w:b w:val="1"/>
                <w:bCs w:val="1"/>
                <w:color w:val="auto"/>
              </w:rPr>
              <w:t>PART II</w:t>
            </w:r>
          </w:p>
        </w:tc>
        <w:tc>
          <w:tcPr>
            <w:tcW w:w="32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900" w:type="dxa"/>
            <w:vAlign w:val="bottom"/>
          </w:tcPr>
          <w:p>
            <w:pPr>
              <w:ind w:left="120"/>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Market for Registrant’s Common Equity, Related Stockholder Matters and Issuer Purchases of Equity Securities</w:t>
              </w:r>
              <w:r>
                <w:rPr>
                  <w:rFonts w:ascii="Arial" w:cs="Arial" w:eastAsia="Arial" w:hAnsi="Arial"/>
                  <w:sz w:val="18"/>
                  <w:szCs w:val="18"/>
                  <w:color w:val="0000EE"/>
                </w:rPr>
                <w: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Selected Consolidated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9900" w:type="dxa"/>
            <w:vAlign w:val="bottom"/>
          </w:tcPr>
          <w:p>
            <w:pPr>
              <w:ind w:left="1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7A.</w:t>
            </w:r>
          </w:p>
        </w:tc>
        <w:tc>
          <w:tcPr>
            <w:tcW w:w="9900" w:type="dxa"/>
            <w:vAlign w:val="bottom"/>
          </w:tcPr>
          <w:p>
            <w:pPr>
              <w:ind w:left="1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Quantitative and Qualitative Disclosure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990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Financial Statements and Supplementary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9.</w:t>
            </w:r>
          </w:p>
        </w:tc>
        <w:tc>
          <w:tcPr>
            <w:tcW w:w="9900" w:type="dxa"/>
            <w:vAlign w:val="bottom"/>
          </w:tcPr>
          <w:p>
            <w:pPr>
              <w:ind w:left="1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9900" w:type="dxa"/>
            <w:vAlign w:val="bottom"/>
          </w:tcPr>
          <w:p>
            <w:pPr>
              <w:ind w:left="120"/>
              <w:spacing w:after="0"/>
              <w:rPr>
                <w:rFonts w:ascii="Arial" w:cs="Arial" w:eastAsia="Arial" w:hAnsi="Arial"/>
                <w:sz w:val="18"/>
                <w:szCs w:val="18"/>
                <w:color w:val="0000EE"/>
              </w:rPr>
            </w:pPr>
            <w:hyperlink w:anchor="page128">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9B.</w:t>
            </w:r>
          </w:p>
        </w:tc>
        <w:tc>
          <w:tcPr>
            <w:tcW w:w="9900" w:type="dxa"/>
            <w:vAlign w:val="bottom"/>
          </w:tcPr>
          <w:p>
            <w:pPr>
              <w:ind w:left="1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122</w:t>
            </w:r>
          </w:p>
        </w:tc>
      </w:tr>
      <w:tr>
        <w:trPr>
          <w:trHeight w:val="324"/>
        </w:trPr>
        <w:tc>
          <w:tcPr>
            <w:tcW w:w="740" w:type="dxa"/>
            <w:vAlign w:val="bottom"/>
          </w:tcPr>
          <w:p>
            <w:pPr>
              <w:spacing w:after="0"/>
              <w:rPr>
                <w:sz w:val="24"/>
                <w:szCs w:val="24"/>
                <w:color w:val="auto"/>
              </w:rPr>
            </w:pPr>
          </w:p>
        </w:tc>
        <w:tc>
          <w:tcPr>
            <w:tcW w:w="9900" w:type="dxa"/>
            <w:vAlign w:val="bottom"/>
          </w:tcPr>
          <w:p>
            <w:pPr>
              <w:jc w:val="center"/>
              <w:ind w:right="330"/>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9900" w:type="dxa"/>
            <w:vAlign w:val="bottom"/>
          </w:tcPr>
          <w:p>
            <w:pPr>
              <w:ind w:left="1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11.</w:t>
            </w:r>
          </w:p>
        </w:tc>
        <w:tc>
          <w:tcPr>
            <w:tcW w:w="9900" w:type="dxa"/>
            <w:vAlign w:val="bottom"/>
          </w:tcPr>
          <w:p>
            <w:pPr>
              <w:ind w:left="1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990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13.</w:t>
            </w:r>
          </w:p>
        </w:tc>
        <w:tc>
          <w:tcPr>
            <w:tcW w:w="9900" w:type="dxa"/>
            <w:vAlign w:val="bottom"/>
          </w:tcPr>
          <w:p>
            <w:pPr>
              <w:ind w:left="1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Certain Relationships and Related Transactions, and Director Independence.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990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r>
      <w:tr>
        <w:trPr>
          <w:trHeight w:val="324"/>
        </w:trPr>
        <w:tc>
          <w:tcPr>
            <w:tcW w:w="740" w:type="dxa"/>
            <w:vAlign w:val="bottom"/>
          </w:tcPr>
          <w:p>
            <w:pPr>
              <w:spacing w:after="0"/>
              <w:rPr>
                <w:sz w:val="24"/>
                <w:szCs w:val="24"/>
                <w:color w:val="auto"/>
              </w:rPr>
            </w:pPr>
          </w:p>
        </w:tc>
        <w:tc>
          <w:tcPr>
            <w:tcW w:w="9900" w:type="dxa"/>
            <w:vAlign w:val="bottom"/>
          </w:tcPr>
          <w:p>
            <w:pPr>
              <w:jc w:val="center"/>
              <w:ind w:right="33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15.</w:t>
            </w:r>
          </w:p>
        </w:tc>
        <w:tc>
          <w:tcPr>
            <w:tcW w:w="9900" w:type="dxa"/>
            <w:vAlign w:val="bottom"/>
          </w:tcPr>
          <w:p>
            <w:pPr>
              <w:ind w:left="1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134</w:t>
            </w:r>
          </w:p>
        </w:tc>
      </w:tr>
      <w:tr>
        <w:trPr>
          <w:trHeight w:val="324"/>
        </w:trPr>
        <w:tc>
          <w:tcPr>
            <w:tcW w:w="740" w:type="dxa"/>
            <w:vAlign w:val="bottom"/>
          </w:tcPr>
          <w:p>
            <w:pPr>
              <w:spacing w:after="0"/>
              <w:rPr>
                <w:sz w:val="24"/>
                <w:szCs w:val="24"/>
                <w:color w:val="auto"/>
              </w:rPr>
            </w:pPr>
          </w:p>
        </w:tc>
        <w:tc>
          <w:tcPr>
            <w:tcW w:w="9900" w:type="dxa"/>
            <w:vAlign w:val="bottom"/>
          </w:tcPr>
          <w:p>
            <w:pPr>
              <w:ind w:left="1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98"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coronavirus (“COVID-19”) pandemic thereon;</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and the impact of the COVID-19 pandemic thereon;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suitable investments for us and to monitor and administer our investments and the impacts of the COVID-19 pandemic thereon;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BDC, a SBIC and a RIC;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9" w:lineRule="exact"/>
        <w:rPr>
          <w:sz w:val="20"/>
          <w:szCs w:val="20"/>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value in some or all of our investments in such portfolio companies;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portfolio companies with foreign operations;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Item 1A. – Risk Factors contained in this Annual Report on Form 10-K for the year ended December 31, 2020 and in our other filings with the SEC.</w:t>
      </w:r>
    </w:p>
    <w:p>
      <w:pPr>
        <w:spacing w:after="0" w:line="170"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later prove to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1 and elsewhere in this Annual Report. You should not place undue reliance on these forward-looking statements as a prediction of actual results, which apply only as of the date of this Annual Report. We expressly disclaim any responsibility to update forward-looking statements, whether as a result of new information, future events or otherwise, except as required by law.</w:t>
      </w:r>
    </w:p>
    <w:p>
      <w:pPr>
        <w:sectPr>
          <w:pgSz w:w="11900" w:h="16838" w:orient="portrait"/>
          <w:cols w:equalWidth="0" w:num="1">
            <w:col w:w="11080"/>
          </w:cols>
          <w:pgMar w:left="320" w:top="459" w:right="499" w:bottom="1068"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80"/>
          </w:cols>
          <w:pgMar w:left="320" w:top="459" w:right="499" w:bottom="106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Fidus Investment Corporation, a Maryland Corporation, operates as an externally managed business development company (“BDC”) under the Investment Company Act of 1940 (“1940 Act”). FIC completed its initial public offering, or IPO, in June 2011. In addition, FIC has elected to be treated as a regulated investment company (“RIC”) under Subchapter M of the Internal Revenue Code of 1986, as amended (the “Code”). As of December 31, 2020, our shares were listed on the NASDAQ Global Select Market under the symbol “FDUS.”</w:t>
      </w:r>
    </w:p>
    <w:p>
      <w:pPr>
        <w:spacing w:after="0" w:line="17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The Funds are licensed by the U.S. Small Business Administration (the “SBA”) as small business investment companies (“SBICs”). The Funds utilize the proceeds of the issuance of SBA-guaranteed debentures to enhance returns to our stockholders. As of September 9, 2019, Fidus Mezzanine Capital, L.P. (“Fund I”) completed a wind-down plan, relinquished its SBIC license, and can no longer issue additional SBA debentures. 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two or more SBICs under common control, the maximum amount of outstanding SBA debentures cannot exceed $350.0 million.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our Business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of December 31, 2020, we had debt and equity investments in 69 portfolio companies with an aggregate fair value of $742.9 million. The weighted average yield on our debt investments as of December 31, 2020 was 12.2%.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2020, including accretion of original issue discount (“OID”) and loan origination fees, but excluding investments on non-accrual status, if any. There can be no assurance that the weighted average yield will remain at its current level. For the year ended December 31, 2020, our total return based on net asset value (“NAV”) per share was 7.6% and our total return based on market value was 1.0%. For the year ended December 31, 2019, our total return based on NAV was 12.0% and our total return based on market value was 37.6%. 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 xml:space="preserve">Our headquarters are in Evanston, Illinois, and our internet address is </w:t>
      </w:r>
      <w:r>
        <w:rPr>
          <w:rFonts w:ascii="Arial" w:cs="Arial" w:eastAsia="Arial" w:hAnsi="Arial"/>
          <w:sz w:val="16"/>
          <w:szCs w:val="16"/>
          <w:i w:val="1"/>
          <w:iCs w:val="1"/>
          <w:color w:val="auto"/>
        </w:rPr>
        <w:t>www.fdus.com</w:t>
      </w:r>
      <w:r>
        <w:rPr>
          <w:rFonts w:ascii="Arial" w:cs="Arial" w:eastAsia="Arial" w:hAnsi="Arial"/>
          <w:sz w:val="16"/>
          <w:szCs w:val="16"/>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Advisor</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8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intend to accomplish our goal of becoming one of the premier providers of capital to and value-added partner of lower middle-market companies by:</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Leveraging the Experience of Our Investment Advisor</w:t>
      </w:r>
      <w:r>
        <w:rPr>
          <w:rFonts w:ascii="Arial" w:cs="Arial" w:eastAsia="Arial" w:hAnsi="Arial"/>
          <w:sz w:val="16"/>
          <w:szCs w:val="16"/>
          <w:color w:val="auto"/>
        </w:rPr>
        <w:t>. Our investment advisor’s investment professionals have significant experience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ectPr>
          <w:pgSz w:w="11900" w:h="16838" w:orient="portrait"/>
          <w:cols w:equalWidth="0" w:num="1">
            <w:col w:w="11120"/>
          </w:cols>
          <w:pgMar w:left="320" w:top="459" w:right="459" w:bottom="1440" w:gutter="0" w:footer="0" w:header="0"/>
        </w:sectPr>
      </w:pP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i w:val="1"/>
          <w:iCs w:val="1"/>
          <w:color w:val="auto"/>
        </w:rPr>
        <w:t>Capitalizing on Our Strong Transaction Sourcing Network</w:t>
      </w:r>
      <w:r>
        <w:rPr>
          <w:rFonts w:ascii="Arial" w:cs="Arial" w:eastAsia="Arial" w:hAnsi="Arial"/>
          <w:sz w:val="16"/>
          <w:szCs w:val="16"/>
          <w:color w:val="auto"/>
        </w:rPr>
        <w:t>. Our investment advisor’s investment professionals possess an extensive network of</w:t>
      </w:r>
      <w:r>
        <w:rPr>
          <w:rFonts w:ascii="Arial" w:cs="Arial" w:eastAsia="Arial" w:hAnsi="Arial"/>
          <w:sz w:val="16"/>
          <w:szCs w:val="16"/>
          <w:i w:val="1"/>
          <w:iCs w:val="1"/>
          <w:color w:val="auto"/>
        </w:rPr>
        <w:t xml:space="preserve"> </w:t>
      </w:r>
      <w:r>
        <w:rPr>
          <w:rFonts w:ascii="Arial" w:cs="Arial" w:eastAsia="Arial" w:hAnsi="Arial"/>
          <w:sz w:val="16"/>
          <w:szCs w:val="16"/>
          <w:color w:val="auto"/>
        </w:rPr>
        <w:t>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Serving as a Value-Added Partner with Customized Financing Solutions</w:t>
      </w:r>
      <w:r>
        <w:rPr>
          <w:rFonts w:ascii="Arial" w:cs="Arial" w:eastAsia="Arial" w:hAnsi="Arial"/>
          <w:sz w:val="17"/>
          <w:szCs w:val="17"/>
          <w:color w:val="auto"/>
        </w:rPr>
        <w:t>. We follow a partnership-oriented investment approach and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first lien senior secured or unitranche loans, second lien and subordinated debt securities, typically coupled with an equity interest.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8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i w:val="1"/>
          <w:iCs w:val="1"/>
          <w:color w:val="auto"/>
        </w:rPr>
        <w:t>Employing Rigorous Due Diligence and Underwriting Processes Focused on Capital Preservation</w:t>
      </w:r>
      <w:r>
        <w:rPr>
          <w:rFonts w:ascii="Arial" w:cs="Arial" w:eastAsia="Arial" w:hAnsi="Arial"/>
          <w:sz w:val="16"/>
          <w:szCs w:val="16"/>
          <w:color w:val="auto"/>
        </w:rPr>
        <w:t>. Our investment advisor follows a disciplined</w:t>
      </w:r>
      <w:r>
        <w:rPr>
          <w:rFonts w:ascii="Arial" w:cs="Arial" w:eastAsia="Arial" w:hAnsi="Arial"/>
          <w:sz w:val="16"/>
          <w:szCs w:val="16"/>
          <w:i w:val="1"/>
          <w:iCs w:val="1"/>
          <w:color w:val="auto"/>
        </w:rPr>
        <w:t xml:space="preserve"> </w:t>
      </w:r>
      <w:r>
        <w:rPr>
          <w:rFonts w:ascii="Arial" w:cs="Arial" w:eastAsia="Arial" w:hAnsi="Arial"/>
          <w:sz w:val="16"/>
          <w:szCs w:val="16"/>
          <w:color w:val="auto"/>
        </w:rPr>
        <w:t>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166"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Actively Managing our Portfolio</w:t>
      </w:r>
      <w:r>
        <w:rPr>
          <w:rFonts w:ascii="Arial" w:cs="Arial" w:eastAsia="Arial" w:hAnsi="Arial"/>
          <w:sz w:val="18"/>
          <w:szCs w:val="18"/>
          <w:color w:val="auto"/>
        </w:rPr>
        <w:t>. We believe that our investment advisor’s initial and ongoing portfolio review process allows us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Maintaining Portfolio Diversification</w:t>
      </w:r>
      <w:r>
        <w:rPr>
          <w:rFonts w:ascii="Arial" w:cs="Arial" w:eastAsia="Arial" w:hAnsi="Arial"/>
          <w:sz w:val="16"/>
          <w:szCs w:val="16"/>
          <w:color w:val="auto"/>
        </w:rPr>
        <w:t>. We seek to maintain a portfolio of investments that is appropriately diversified among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defense and aerospace, transportation and logistics, information technology services and niche manufacturing. We believe that investing across various industries helps mitigate the potential effects of negative economic events for particular companies, regions and industries.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Benefiting from Lower Cost of Capital</w:t>
      </w:r>
      <w:r>
        <w:rPr>
          <w:rFonts w:ascii="Arial" w:cs="Arial" w:eastAsia="Arial" w:hAnsi="Arial"/>
          <w:sz w:val="18"/>
          <w:szCs w:val="18"/>
          <w:color w:val="auto"/>
        </w:rPr>
        <w:t>. The Funds’ SBIC licenses allow us to issue SBA-guaranteed debentures. These SBA debentures carry</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fixed rates that are generally lower than rates on comparable bank and public debt. Because lower-cost SBA leverage is a significant part of our funding strategy, our relative cost of debt capital should be lower than many of our competitors. For two or more SBICs under common control, the maximum amount of outstanding SBA debentures cannot exceed $350.0 million.</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seek to create a diversified investment portfolio that primarily includes loans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loan. The majority of our debt investments provide for a fixed interest rate.</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Consolidated Portfolio</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aerospace &amp; defense;</w:t>
            </w:r>
          </w:p>
        </w:tc>
        <w:tc>
          <w:tcPr>
            <w:tcW w:w="1540" w:type="dxa"/>
            <w:vAlign w:val="bottom"/>
          </w:tcPr>
          <w:p>
            <w:pPr>
              <w:ind w:left="1380"/>
              <w:spacing w:after="0"/>
              <w:rPr>
                <w:sz w:val="20"/>
                <w:szCs w:val="20"/>
                <w:color w:val="auto"/>
              </w:rPr>
            </w:pPr>
            <w:r>
              <w:rPr>
                <w:rFonts w:ascii="Arial" w:cs="Arial" w:eastAsia="Arial" w:hAnsi="Arial"/>
                <w:sz w:val="18"/>
                <w:szCs w:val="18"/>
                <w:color w:val="auto"/>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infrastructure;</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business services;</w:t>
            </w:r>
          </w:p>
        </w:tc>
        <w:tc>
          <w:tcPr>
            <w:tcW w:w="1540" w:type="dxa"/>
            <w:vAlign w:val="bottom"/>
          </w:tcPr>
          <w:p>
            <w:pPr>
              <w:ind w:left="1380"/>
              <w:spacing w:after="0"/>
              <w:rPr>
                <w:sz w:val="20"/>
                <w:szCs w:val="20"/>
                <w:color w:val="auto"/>
              </w:rPr>
            </w:pPr>
            <w:r>
              <w:rPr>
                <w:rFonts w:ascii="Arial" w:cs="Arial" w:eastAsia="Arial" w:hAnsi="Arial"/>
                <w:sz w:val="18"/>
                <w:szCs w:val="18"/>
                <w:color w:val="auto"/>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logistics &amp; transportation;</w:t>
            </w: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color w:val="auto"/>
              </w:rPr>
              <w:t>•  consumer products / multi-unit;</w:t>
            </w:r>
          </w:p>
        </w:tc>
        <w:tc>
          <w:tcPr>
            <w:tcW w:w="1540" w:type="dxa"/>
            <w:vAlign w:val="bottom"/>
          </w:tcPr>
          <w:p>
            <w:pPr>
              <w:ind w:left="1380"/>
              <w:spacing w:after="0"/>
              <w:rPr>
                <w:sz w:val="20"/>
                <w:szCs w:val="20"/>
                <w:color w:val="auto"/>
              </w:rPr>
            </w:pPr>
            <w:r>
              <w:rPr>
                <w:rFonts w:ascii="Arial" w:cs="Arial" w:eastAsia="Arial" w:hAnsi="Arial"/>
                <w:sz w:val="18"/>
                <w:szCs w:val="18"/>
                <w:color w:val="auto"/>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niche manufacturing;</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energy services;</w:t>
            </w:r>
          </w:p>
        </w:tc>
        <w:tc>
          <w:tcPr>
            <w:tcW w:w="4380" w:type="dxa"/>
            <w:vAlign w:val="bottom"/>
            <w:gridSpan w:val="2"/>
          </w:tcPr>
          <w:p>
            <w:pPr>
              <w:ind w:left="1380"/>
              <w:spacing w:after="0"/>
              <w:rPr>
                <w:sz w:val="20"/>
                <w:szCs w:val="20"/>
                <w:color w:val="auto"/>
              </w:rPr>
            </w:pPr>
            <w:r>
              <w:rPr>
                <w:rFonts w:ascii="Arial" w:cs="Arial" w:eastAsia="Arial" w:hAnsi="Arial"/>
                <w:sz w:val="18"/>
                <w:szCs w:val="18"/>
                <w:color w:val="auto"/>
                <w:w w:val="92"/>
              </w:rPr>
              <w:t>•  software &amp; tech-enabled services; and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healthcare products;</w:t>
            </w:r>
          </w:p>
        </w:tc>
        <w:tc>
          <w:tcPr>
            <w:tcW w:w="1540" w:type="dxa"/>
            <w:vAlign w:val="bottom"/>
          </w:tcPr>
          <w:p>
            <w:pPr>
              <w:ind w:left="1380"/>
              <w:spacing w:after="0"/>
              <w:rPr>
                <w:sz w:val="20"/>
                <w:szCs w:val="20"/>
                <w:color w:val="auto"/>
              </w:rPr>
            </w:pPr>
            <w:r>
              <w:rPr>
                <w:rFonts w:ascii="Arial" w:cs="Arial" w:eastAsia="Arial" w:hAnsi="Arial"/>
                <w:sz w:val="18"/>
                <w:szCs w:val="18"/>
                <w:color w:val="auto"/>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value-added distribution.</w:t>
            </w:r>
          </w:p>
        </w:tc>
      </w:tr>
    </w:tbl>
    <w:p>
      <w:pPr>
        <w:spacing w:after="0" w:line="94" w:lineRule="exact"/>
        <w:rPr>
          <w:sz w:val="20"/>
          <w:szCs w:val="20"/>
          <w:color w:val="auto"/>
        </w:rPr>
      </w:pPr>
    </w:p>
    <w:p>
      <w:pPr>
        <w:ind w:left="1020" w:hanging="247"/>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of December 31, 2020, we had investments in 69 portfolio companies with an aggregate fair value of $742.9 million. As of December 31, 2019, we had investments in 64 portfolio companies with an aggregate fair value of $766.9 million.</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$225.7</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$208.2</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$189.6</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Southeast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153.3</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18.9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138.1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West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166.4</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detailed industry segment composition of our portfolio at fair value and cost as a percentage of total investments.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60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4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5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15.8%</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12.8</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11.8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12.3</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Healthcare Products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9.0</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7.4</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Healthcare Services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5.4</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5.2</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Consumer Products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5.1</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3.6</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Promotional Products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3.3</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3.2</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2.8</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Utilities: Services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2.4</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Packaging</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1.5</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15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0.9</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1520" w:type="dxa"/>
            <w:vAlign w:val="bottom"/>
            <w:gridSpan w:val="2"/>
          </w:tcPr>
          <w:p>
            <w:pPr>
              <w:jc w:val="right"/>
              <w:ind w:right="608"/>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5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Specialty Chemicals</w:t>
            </w: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Percentage is less than 0.1% of respective total.</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i w:val="1"/>
          <w:iCs w:val="1"/>
          <w:color w:val="auto"/>
        </w:rPr>
        <w:t xml:space="preserve">Value Orientation / Positive Cash Flow. </w:t>
      </w:r>
      <w:r>
        <w:rPr>
          <w:rFonts w:ascii="Arial" w:cs="Arial" w:eastAsia="Arial" w:hAnsi="Arial"/>
          <w:sz w:val="16"/>
          <w:szCs w:val="16"/>
          <w:color w:val="auto"/>
        </w:rPr>
        <w:t>Our investment advisor places a premium on analysis of business fundamentals from an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5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4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Niche Market Leaders with Defensible Market Positions</w:t>
      </w:r>
      <w:r>
        <w:rPr>
          <w:rFonts w:ascii="Arial" w:cs="Arial" w:eastAsia="Arial" w:hAnsi="Arial"/>
          <w:sz w:val="17"/>
          <w:szCs w:val="17"/>
          <w:color w:val="auto"/>
        </w:rPr>
        <w:t>. We seek to invest in portfolio companies that have developed defensible and/or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i w:val="1"/>
          <w:iCs w:val="1"/>
          <w:color w:val="auto"/>
        </w:rPr>
        <w:t xml:space="preserve">Diversified Customer and Supplier Base. </w:t>
      </w:r>
      <w:r>
        <w:rPr>
          <w:rFonts w:ascii="Arial" w:cs="Arial" w:eastAsia="Arial" w:hAnsi="Arial"/>
          <w:sz w:val="18"/>
          <w:szCs w:val="18"/>
          <w:color w:val="auto"/>
        </w:rPr>
        <w:t>We prefer to invest in portfolio companies that have a diversified customer and supplier base.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a diversified customer and supplier base are generally better able to endure economic downturns, industry consolidation and shifting customer preferences.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Viable Exit Strategy. </w:t>
      </w:r>
      <w:r>
        <w:rPr>
          <w:rFonts w:ascii="Arial" w:cs="Arial" w:eastAsia="Arial" w:hAnsi="Arial"/>
          <w:sz w:val="18"/>
          <w:szCs w:val="18"/>
          <w:color w:val="auto"/>
        </w:rPr>
        <w:t>We invest in portfolio companies that we believe will provide steady cash flows to service our debt, ultimately repay our</w:t>
      </w:r>
      <w:r>
        <w:rPr>
          <w:rFonts w:ascii="Arial" w:cs="Arial" w:eastAsia="Arial" w:hAnsi="Arial"/>
          <w:sz w:val="18"/>
          <w:szCs w:val="18"/>
          <w:i w:val="1"/>
          <w:iCs w:val="1"/>
          <w:color w:val="auto"/>
        </w:rPr>
        <w:t xml:space="preserve"> </w:t>
      </w:r>
      <w:r>
        <w:rPr>
          <w:rFonts w:ascii="Arial" w:cs="Arial" w:eastAsia="Arial" w:hAnsi="Arial"/>
          <w:sz w:val="18"/>
          <w:szCs w:val="18"/>
          <w:color w:val="auto"/>
        </w:rPr>
        <w:t>loans 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Committee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members of the investment committee that evaluate and approve all of our investments are Edward H. Ross, Thomas C. Lauer, John H. Grigg, Robert G. Lesley, Jr., John J. Ross, II, Thomas J. Steiglehner, and W. Andrew Worth.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Generation/Origination;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Evaluation;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Diligence and Underwriting;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Documentation and Closing;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Portfolio Management.</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phases is described in more detail below.</w:t>
      </w:r>
    </w:p>
    <w:p>
      <w:pPr>
        <w:spacing w:after="0" w:line="22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Investment Generation/Origination. </w:t>
      </w:r>
      <w:r>
        <w:rPr>
          <w:rFonts w:ascii="Arial" w:cs="Arial" w:eastAsia="Arial" w:hAnsi="Arial"/>
          <w:sz w:val="17"/>
          <w:szCs w:val="17"/>
          <w:color w:val="auto"/>
        </w:rPr>
        <w:t>Our investment origination efforts are focused on leveraging our investment advisor’s extensive network of</w:t>
      </w:r>
      <w:r>
        <w:rPr>
          <w:rFonts w:ascii="Arial" w:cs="Arial" w:eastAsia="Arial" w:hAnsi="Arial"/>
          <w:sz w:val="17"/>
          <w:szCs w:val="17"/>
          <w:i w:val="1"/>
          <w:iCs w:val="1"/>
          <w:color w:val="auto"/>
        </w:rPr>
        <w:t xml:space="preserve"> </w:t>
      </w:r>
      <w:r>
        <w:rPr>
          <w:rFonts w:ascii="Arial" w:cs="Arial" w:eastAsia="Arial" w:hAnsi="Arial"/>
          <w:sz w:val="17"/>
          <w:szCs w:val="17"/>
          <w:color w:val="auto"/>
        </w:rPr>
        <w:t>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pacing w:after="0" w:line="176"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Initial Evaluation. </w:t>
      </w:r>
      <w:r>
        <w:rPr>
          <w:rFonts w:ascii="Arial" w:cs="Arial" w:eastAsia="Arial" w:hAnsi="Arial"/>
          <w:sz w:val="17"/>
          <w:szCs w:val="17"/>
          <w:color w:val="auto"/>
        </w:rPr>
        <w:t>After a potential transaction is received by our investment advisor, it will conduct an initial review of the transaction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whether it meets our investment criteria and complies with SBA and other regulatory compliance requirements.</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76" w:lineRule="exact"/>
        <w:rPr>
          <w:sz w:val="20"/>
          <w:szCs w:val="20"/>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comprehensive financial model based on quantitative analysis of historical financial performance, projections and pro forma adjustments to determine a range of estimated internal rates of return.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initial call or meeting with the portfolio company management team, owner, private equity sponsor or other deal partner.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brief industry and market analysis, leveraging direct industry expertise from other investment professionals of our investment advisor.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Preliminary qualitative analysis of the portfolio company management team’s competencies and backgrounds.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investment structures and pricing terms.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16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i w:val="1"/>
          <w:iCs w:val="1"/>
          <w:color w:val="auto"/>
        </w:rPr>
        <w:t xml:space="preserve">Due Diligence and Underwriting. </w:t>
      </w:r>
      <w:r>
        <w:rPr>
          <w:rFonts w:ascii="Arial" w:cs="Arial" w:eastAsia="Arial" w:hAnsi="Arial"/>
          <w:sz w:val="18"/>
          <w:szCs w:val="18"/>
          <w:color w:val="auto"/>
        </w:rPr>
        <w:t>Our investment advisor has developed a rigorous and disciplined due diligence process that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or additional site visits and facility tours with management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the business history, operations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depth review of industry and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Analysis of key customers and suppliers, including review of any concentrations and key contracts.</w:t>
      </w:r>
    </w:p>
    <w:p>
      <w:pPr>
        <w:spacing w:after="0" w:line="130"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Detailed review of historical and projected financial statements, including a review of at least three years of performance (annual and monthly), key financial ratios, revenue, expense and profitability drivers and sensitivities to management’s financial projections.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Detailed evaluation of company management, including background checks.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party reviews of accounting, environmental, legal, insurance, material contracts, competition, industry and market studies and interviews with customers and suppliers, (each as appropriate).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sponsor diligence, if applicable, including portfolio company and other reference checks.</w:t>
      </w:r>
    </w:p>
    <w:p>
      <w:pPr>
        <w:spacing w:after="0" w:line="225"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Documentation and Closing. </w:t>
      </w:r>
      <w:r>
        <w:rPr>
          <w:rFonts w:ascii="Arial" w:cs="Arial" w:eastAsia="Arial" w:hAnsi="Arial"/>
          <w:sz w:val="18"/>
          <w:szCs w:val="18"/>
          <w:color w:val="auto"/>
        </w:rPr>
        <w:t>Our investment advisor works with the management of a potential portfolio company and its other capital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Targeting an optimal total return on our investments (including a combination of current and deferred interest, prepayment penalties and equity participation) that compensates us for credit risk.</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92" w:lineRule="exact"/>
        <w:rPr>
          <w:rFonts w:ascii="Arial" w:cs="Arial" w:eastAsia="Arial" w:hAnsi="Arial"/>
          <w:sz w:val="18"/>
          <w:szCs w:val="18"/>
          <w:color w:val="auto"/>
        </w:rPr>
      </w:pPr>
    </w:p>
    <w:p>
      <w:pPr>
        <w:ind w:left="1080" w:right="60" w:hanging="424"/>
        <w:spacing w:after="0" w:line="293"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6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46"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Active Portfolio Management</w:t>
      </w:r>
      <w:r>
        <w:rPr>
          <w:rFonts w:ascii="Arial" w:cs="Arial" w:eastAsia="Arial" w:hAnsi="Arial"/>
          <w:sz w:val="17"/>
          <w:szCs w:val="17"/>
          <w:color w:val="auto"/>
        </w:rPr>
        <w:t>. Active portfolio monitoring is a vital part of our investment process and we continuously monitor the status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part of the monitoring process, the deal team conducts a comprehensive review of the financial and operating results of each portfolio company that includes a review of the monthly/quarterly financials relative to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Rating System</w:t>
      </w:r>
    </w:p>
    <w:p>
      <w:pPr>
        <w:spacing w:after="0" w:line="121"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9" w:lineRule="exact"/>
        <w:rPr>
          <w:sz w:val="20"/>
          <w:szCs w:val="20"/>
          <w:color w:val="auto"/>
        </w:rPr>
      </w:pPr>
    </w:p>
    <w:p>
      <w:pPr>
        <w:ind w:left="1080" w:right="3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9" w:lineRule="exact"/>
        <w:rPr>
          <w:rFonts w:ascii="Arial" w:cs="Arial" w:eastAsia="Arial" w:hAnsi="Arial"/>
          <w:sz w:val="18"/>
          <w:szCs w:val="18"/>
          <w:color w:val="auto"/>
        </w:rPr>
      </w:pPr>
    </w:p>
    <w:p>
      <w:pPr>
        <w:ind w:left="1080" w:right="44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2020 and 2019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Investment Rating</w:t>
            </w:r>
          </w:p>
        </w:tc>
        <w:tc>
          <w:tcPr>
            <w:tcW w:w="426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3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0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40" w:type="dxa"/>
            <w:vAlign w:val="bottom"/>
            <w:tcBorders>
              <w:bottom w:val="single" w:sz="8" w:color="auto"/>
            </w:tcBorders>
            <w:vMerge w:val="continue"/>
          </w:tcPr>
          <w:p>
            <w:pPr>
              <w:spacing w:after="0"/>
              <w:rPr>
                <w:sz w:val="13"/>
                <w:szCs w:val="13"/>
                <w:color w:val="auto"/>
              </w:rPr>
            </w:pPr>
          </w:p>
        </w:tc>
        <w:tc>
          <w:tcPr>
            <w:tcW w:w="492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vMerge w:val="restart"/>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$109.3</w:t>
            </w:r>
          </w:p>
        </w:tc>
        <w:tc>
          <w:tcPr>
            <w:tcW w:w="14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7"/>
              </w:rPr>
              <w:t>$100.1</w:t>
            </w:r>
          </w:p>
        </w:tc>
        <w:tc>
          <w:tcPr>
            <w:tcW w:w="78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38.7</w:t>
            </w:r>
          </w:p>
        </w:tc>
        <w:tc>
          <w:tcPr>
            <w:tcW w:w="760" w:type="dxa"/>
            <w:vAlign w:val="bottom"/>
            <w:tcBorders>
              <w:left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29.0</w:t>
            </w: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544.4</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73.3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580.5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537.6</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570.1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4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687.0</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2020 and 2019 was 2.0 and 2.0, respectively, on a fair value basis and 2.2 and 2.1, respectively, on a cost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Net Asset Value and Valuation Process</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status.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OTHER AGREEMENTS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investment advisor is located at 1603 Orrington Avenue, Suite 1005, Evanston, Illinois 60201. Our investment advisor also maintains additional office space at 227 West Trade Street Suite 1910, Charlotte, North Carolina 28202, and 1140 Avenue of the Americas, 21</w:t>
      </w:r>
      <w:r>
        <w:rPr>
          <w:rFonts w:ascii="Arial" w:cs="Arial" w:eastAsia="Arial" w:hAnsi="Arial"/>
          <w:sz w:val="14"/>
          <w:szCs w:val="14"/>
          <w:color w:val="auto"/>
        </w:rPr>
        <w:t>st</w:t>
      </w:r>
      <w:r>
        <w:rPr>
          <w:rFonts w:ascii="Arial" w:cs="Arial" w:eastAsia="Arial" w:hAnsi="Arial"/>
          <w:sz w:val="17"/>
          <w:szCs w:val="17"/>
          <w:color w:val="auto"/>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82"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assists us in determining what securities we purchase, retain or sell;</w:t>
      </w:r>
    </w:p>
    <w:p>
      <w:pPr>
        <w:spacing w:after="0" w:line="130"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executes, closes, services and monitors the investments we make.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Management Fee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 Fee</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pay our investment advisor an incentive fee with respect to our pre-incentive fee net investment income earned in each calendar quarter as follows:</w:t>
      </w:r>
    </w:p>
    <w:p>
      <w:pPr>
        <w:spacing w:after="0" w:line="76" w:lineRule="exact"/>
        <w:rPr>
          <w:sz w:val="20"/>
          <w:szCs w:val="20"/>
          <w:color w:val="auto"/>
        </w:rPr>
      </w:pPr>
    </w:p>
    <w:p>
      <w:pPr>
        <w:ind w:left="1540" w:right="400" w:hanging="331"/>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w:t>
      </w:r>
    </w:p>
    <w:p>
      <w:pPr>
        <w:spacing w:after="0" w:line="75" w:lineRule="exact"/>
        <w:rPr>
          <w:rFonts w:ascii="Arial" w:cs="Arial" w:eastAsia="Arial" w:hAnsi="Arial"/>
          <w:sz w:val="18"/>
          <w:szCs w:val="18"/>
          <w:color w:val="auto"/>
        </w:rPr>
      </w:pPr>
    </w:p>
    <w:p>
      <w:pPr>
        <w:jc w:val="both"/>
        <w:ind w:left="1540" w:right="80" w:hanging="331"/>
        <w:spacing w:after="0" w:line="25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93" w:lineRule="exact"/>
        <w:rPr>
          <w:rFonts w:ascii="Arial" w:cs="Arial" w:eastAsia="Arial" w:hAnsi="Arial"/>
          <w:sz w:val="18"/>
          <w:szCs w:val="18"/>
          <w:color w:val="auto"/>
        </w:rPr>
      </w:pPr>
    </w:p>
    <w:p>
      <w:pPr>
        <w:ind w:left="1540" w:hanging="331"/>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2.5% in any calendar quarter.</w:t>
      </w:r>
    </w:p>
    <w:p>
      <w:pPr>
        <w:sectPr>
          <w:pgSz w:w="11900" w:h="16838" w:orient="portrait"/>
          <w:cols w:equalWidth="0" w:num="1">
            <w:col w:w="11120"/>
          </w:cols>
          <w:pgMar w:left="320" w:top="459" w:right="459" w:bottom="1155"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9" w:right="459" w:bottom="1155"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These calculations are appropriately prorated for any period of less than three months and adjusted for any share issuances or repurchases during the current quarter.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graphical representation of the calculation of the quarterly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Quarterly Incentive Fee Based on Pre-Incentive Fee Net Investment Income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160020</wp:posOffset>
            </wp:positionV>
            <wp:extent cx="2922905"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29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Pre-incentive fee net investment income</w:t>
      </w:r>
    </w:p>
    <w:p>
      <w:pPr>
        <w:spacing w:after="0" w:line="23" w:lineRule="exact"/>
        <w:rPr>
          <w:sz w:val="20"/>
          <w:szCs w:val="20"/>
          <w:color w:val="auto"/>
        </w:rPr>
      </w:pPr>
    </w:p>
    <w:p>
      <w:pPr>
        <w:ind w:left="560" w:right="1940"/>
        <w:spacing w:after="0" w:line="386" w:lineRule="auto"/>
        <w:rPr>
          <w:sz w:val="20"/>
          <w:szCs w:val="20"/>
          <w:color w:val="auto"/>
        </w:rPr>
      </w:pPr>
      <w:r>
        <w:rPr>
          <w:rFonts w:ascii="Arial" w:cs="Arial" w:eastAsia="Arial" w:hAnsi="Arial"/>
          <w:sz w:val="18"/>
          <w:szCs w:val="18"/>
          <w:color w:val="auto"/>
        </w:rPr>
        <w:t>(investment income – (management fee + other expenses)) = 0.6125% Pre-incentive fee net investment income does not exceed hurdle rate, therefore there is no income-related incentive fee.</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 (management fee + other expenses)) = 2.2625%</w:t>
      </w:r>
    </w:p>
    <w:p>
      <w:pPr>
        <w:sectPr>
          <w:pgSz w:w="11900" w:h="16838" w:orient="portrait"/>
          <w:cols w:equalWidth="0" w:num="1">
            <w:col w:w="11080"/>
          </w:cols>
          <w:pgMar w:left="320" w:top="459" w:right="49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459"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xml:space="preserve">= 100.0% × pre-incentive fee net investment income (subject to “catch-up”) </w:t>
      </w:r>
      <w:r>
        <w:rPr>
          <w:rFonts w:ascii="Arial" w:cs="Arial" w:eastAsia="Arial" w:hAnsi="Arial"/>
          <w:sz w:val="13"/>
          <w:szCs w:val="13"/>
          <w:color w:val="auto"/>
        </w:rPr>
        <w:t>(4)</w:t>
      </w:r>
    </w:p>
    <w:p>
      <w:pPr>
        <w:spacing w:after="0" w:line="23" w:lineRule="exact"/>
        <w:rPr>
          <w:sz w:val="20"/>
          <w:szCs w:val="20"/>
          <w:color w:val="auto"/>
        </w:rPr>
      </w:pPr>
    </w:p>
    <w:p>
      <w:pPr>
        <w:ind w:left="1580" w:hanging="141"/>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 × (2.2625% – 2.0%)</w:t>
      </w:r>
    </w:p>
    <w:p>
      <w:pPr>
        <w:spacing w:after="0" w:line="9" w:lineRule="exact"/>
        <w:rPr>
          <w:rFonts w:ascii="Arial" w:cs="Arial" w:eastAsia="Arial" w:hAnsi="Arial"/>
          <w:sz w:val="18"/>
          <w:szCs w:val="18"/>
          <w:color w:val="auto"/>
        </w:rPr>
      </w:pPr>
    </w:p>
    <w:p>
      <w:pPr>
        <w:ind w:left="1580" w:hanging="141"/>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0.2625%</w:t>
      </w:r>
    </w:p>
    <w:p>
      <w:pPr>
        <w:spacing w:after="0" w:line="2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0.2625%.</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Pre-incentive fee net investment income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 income – (management fee + other expenses)) = 2.8625%</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Incentive fee = 100.0% × pre-incentive fee net investment income (subject to “catch-up”) </w:t>
      </w:r>
      <w:r>
        <w:rPr>
          <w:rFonts w:ascii="Arial" w:cs="Arial" w:eastAsia="Arial" w:hAnsi="Arial"/>
          <w:sz w:val="15"/>
          <w:szCs w:val="15"/>
          <w:color w:val="auto"/>
        </w:rPr>
        <w:t>(4)</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Incentive fee = 100.0% × “catch-up” + (20.0% × (pre-incentive fee net investment income – 2.5%))</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“Catch-up”</w:t>
            </w:r>
          </w:p>
        </w:tc>
        <w:tc>
          <w:tcPr>
            <w:tcW w:w="740" w:type="dxa"/>
            <w:vAlign w:val="bottom"/>
          </w:tcPr>
          <w:p>
            <w:pPr>
              <w:ind w:left="200"/>
              <w:spacing w:after="0"/>
              <w:rPr>
                <w:sz w:val="20"/>
                <w:szCs w:val="20"/>
                <w:color w:val="auto"/>
              </w:rPr>
            </w:pPr>
            <w:r>
              <w:rPr>
                <w:rFonts w:ascii="Arial" w:cs="Arial" w:eastAsia="Arial" w:hAnsi="Arial"/>
                <w:sz w:val="18"/>
                <w:szCs w:val="18"/>
                <w:color w:val="auto"/>
                <w:w w:val="91"/>
              </w:rPr>
              <w:t>= 2.5%</w:t>
            </w:r>
          </w:p>
        </w:tc>
        <w:tc>
          <w:tcPr>
            <w:tcW w:w="31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112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1"/>
              </w:rPr>
              <w:t>= 0.5%</w:t>
            </w:r>
          </w:p>
        </w:tc>
        <w:tc>
          <w:tcPr>
            <w:tcW w:w="3140" w:type="dxa"/>
            <w:vAlign w:val="bottom"/>
          </w:tcPr>
          <w:p>
            <w:pPr>
              <w:spacing w:after="0"/>
              <w:rPr>
                <w:sz w:val="20"/>
                <w:szCs w:val="20"/>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3880" w:type="dxa"/>
            <w:vAlign w:val="bottom"/>
            <w:gridSpan w:val="2"/>
          </w:tcPr>
          <w:p>
            <w:pPr>
              <w:ind w:left="200"/>
              <w:spacing w:after="0"/>
              <w:rPr>
                <w:sz w:val="20"/>
                <w:szCs w:val="20"/>
                <w:color w:val="auto"/>
              </w:rPr>
            </w:pPr>
            <w:r>
              <w:rPr>
                <w:rFonts w:ascii="Arial" w:cs="Arial" w:eastAsia="Arial" w:hAnsi="Arial"/>
                <w:sz w:val="18"/>
                <w:szCs w:val="18"/>
                <w:color w:val="auto"/>
                <w:w w:val="91"/>
              </w:rPr>
              <w:t>= (100.0% × 0.5%) + (20.0% × (2.8625% – 2.5%))</w:t>
            </w:r>
          </w:p>
        </w:tc>
      </w:tr>
      <w:tr>
        <w:trPr>
          <w:trHeight w:val="216"/>
        </w:trPr>
        <w:tc>
          <w:tcPr>
            <w:tcW w:w="11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1"/>
              </w:rPr>
              <w:t>= 0.5%</w:t>
            </w:r>
          </w:p>
        </w:tc>
        <w:tc>
          <w:tcPr>
            <w:tcW w:w="3140" w:type="dxa"/>
            <w:vAlign w:val="bottom"/>
          </w:tcPr>
          <w:p>
            <w:pPr>
              <w:ind w:left="20"/>
              <w:spacing w:after="0"/>
              <w:rPr>
                <w:sz w:val="20"/>
                <w:szCs w:val="20"/>
                <w:color w:val="auto"/>
              </w:rPr>
            </w:pPr>
            <w:r>
              <w:rPr>
                <w:rFonts w:ascii="Arial" w:cs="Arial" w:eastAsia="Arial" w:hAnsi="Arial"/>
                <w:sz w:val="18"/>
                <w:szCs w:val="18"/>
                <w:color w:val="auto"/>
              </w:rPr>
              <w:t>+ (20.0% × 0.3625%)</w:t>
            </w:r>
          </w:p>
        </w:tc>
      </w:tr>
      <w:tr>
        <w:trPr>
          <w:trHeight w:val="230"/>
        </w:trPr>
        <w:tc>
          <w:tcPr>
            <w:tcW w:w="112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1"/>
              </w:rPr>
              <w:t>= 0.5%</w:t>
            </w:r>
          </w:p>
        </w:tc>
        <w:tc>
          <w:tcPr>
            <w:tcW w:w="3140" w:type="dxa"/>
            <w:vAlign w:val="bottom"/>
          </w:tcPr>
          <w:p>
            <w:pPr>
              <w:ind w:left="20"/>
              <w:spacing w:after="0"/>
              <w:rPr>
                <w:sz w:val="20"/>
                <w:szCs w:val="20"/>
                <w:color w:val="auto"/>
              </w:rPr>
            </w:pPr>
            <w:r>
              <w:rPr>
                <w:rFonts w:ascii="Arial" w:cs="Arial" w:eastAsia="Arial" w:hAnsi="Arial"/>
                <w:sz w:val="18"/>
                <w:szCs w:val="18"/>
                <w:color w:val="auto"/>
              </w:rPr>
              <w:t>+ 0.0725%</w:t>
            </w:r>
          </w:p>
        </w:tc>
      </w:tr>
    </w:tbl>
    <w:p>
      <w:pPr>
        <w:ind w:left="1440"/>
        <w:spacing w:after="0"/>
        <w:rPr>
          <w:sz w:val="20"/>
          <w:szCs w:val="20"/>
          <w:color w:val="auto"/>
        </w:rPr>
      </w:pPr>
      <w:r>
        <w:rPr>
          <w:rFonts w:ascii="Arial" w:cs="Arial" w:eastAsia="Arial" w:hAnsi="Arial"/>
          <w:sz w:val="18"/>
          <w:szCs w:val="18"/>
          <w:color w:val="auto"/>
        </w:rPr>
        <w:t>= 0.5725%</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1.75% annualized base management fee.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540" w:right="32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Example 2: Capital Gains Portion of Incentive Fee </w:t>
      </w:r>
      <w:r>
        <w:rPr>
          <w:rFonts w:ascii="Arial" w:cs="Arial" w:eastAsia="Arial" w:hAnsi="Arial"/>
          <w:sz w:val="15"/>
          <w:szCs w:val="15"/>
          <w:b w:val="1"/>
          <w:bCs w:val="1"/>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Year 1 </w:t>
      </w:r>
      <w:r>
        <w:rPr>
          <w:rFonts w:ascii="Arial" w:cs="Arial" w:eastAsia="Arial" w:hAnsi="Arial"/>
          <w:sz w:val="16"/>
          <w:szCs w:val="16"/>
          <w:color w:val="auto"/>
        </w:rPr>
        <w:t>: $5.0 million investment made in Company A (“Investment A”), and $7.5 million investment made in Company B (“Investment B”)</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and fair market value (“FMV”) of Investment B determined to be $8.0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$6.25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Investment B sold for $7.75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Capital gains incentive fee of $1.5 million — ($7.5 million realized capital gains on sale of Investment A multiplied by 20.0%)</w:t>
      </w:r>
    </w:p>
    <w:p>
      <w:pPr>
        <w:spacing w:after="0" w:line="129" w:lineRule="exact"/>
        <w:rPr>
          <w:sz w:val="20"/>
          <w:szCs w:val="20"/>
          <w:color w:val="auto"/>
        </w:rPr>
      </w:pPr>
    </w:p>
    <w:p>
      <w:pPr>
        <w:ind w:left="560" w:right="800" w:firstLine="423"/>
        <w:spacing w:after="0" w:line="277" w:lineRule="auto"/>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None — $1.25 million (20.0% multiplied by ($7.5 million cumulative capital gains less $1.25 million cumulative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less $1.5 million (previous capital gains fee paid in Year 2)</w:t>
      </w:r>
    </w:p>
    <w:p>
      <w:pPr>
        <w:spacing w:after="0" w:line="62"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Capital gains incentive fee of $50,000 — $1.55 million ($7.75 million cumulative realized capital gains multiplied by 20.0%) less</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(capital gains incentive fee taken in Year 2)</w:t>
      </w:r>
    </w:p>
    <w:p>
      <w:pPr>
        <w:sectPr>
          <w:pgSz w:w="11900" w:h="16838" w:orient="portrait"/>
          <w:cols w:equalWidth="0" w:num="1">
            <w:col w:w="11060"/>
          </w:cols>
          <w:pgMar w:left="320" w:top="459" w:right="51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60"/>
          </w:cols>
          <w:pgMar w:left="320" w:top="459" w:right="5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60" w:right="60" w:firstLine="423"/>
        <w:spacing w:after="0" w:line="277" w:lineRule="auto"/>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$4.0 million investment made in Company A (“Investment A”), $7.5 million investment made in Company B (“Investment B”) and</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 investment made in Company C (“Investment C”)</w:t>
      </w:r>
    </w:p>
    <w:p>
      <w:pPr>
        <w:spacing w:after="0" w:line="62"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FMV of Investment B determined to be $6.25 million and FMV of Investment C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$6.25 million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$6.75 million and Investment C sold for $7.5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FMV of Investment B determined to be $8.75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Investment B sold for $5.0 million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$1.45 million capital gains incentive fee — 20.0% multiplied by $7.25 million ($8.5 million realized capital gains on Investment A</w:t>
      </w:r>
      <w:r>
        <w:rPr>
          <w:rFonts w:ascii="Arial" w:cs="Arial" w:eastAsia="Arial" w:hAnsi="Arial"/>
          <w:sz w:val="18"/>
          <w:szCs w:val="18"/>
          <w:i w:val="1"/>
          <w:iCs w:val="1"/>
          <w:color w:val="auto"/>
        </w:rPr>
        <w:t xml:space="preserve"> </w:t>
      </w:r>
      <w:r>
        <w:rPr>
          <w:rFonts w:ascii="Arial" w:cs="Arial" w:eastAsia="Arial" w:hAnsi="Arial"/>
          <w:sz w:val="18"/>
          <w:szCs w:val="18"/>
          <w:color w:val="auto"/>
        </w:rPr>
        <w:t>less $1.25 million unrealized capital depreciation on Investment B)</w:t>
      </w:r>
    </w:p>
    <w:p>
      <w:pPr>
        <w:spacing w:after="0" w:line="62" w:lineRule="exact"/>
        <w:rPr>
          <w:sz w:val="20"/>
          <w:szCs w:val="20"/>
          <w:color w:val="auto"/>
        </w:rPr>
      </w:pPr>
    </w:p>
    <w:p>
      <w:pPr>
        <w:ind w:left="560" w:right="240" w:firstLine="423"/>
        <w:spacing w:after="0" w:line="308" w:lineRule="auto"/>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$0.35 million capital gains incentive fee</w:t>
      </w:r>
      <w:r>
        <w:rPr>
          <w:rFonts w:ascii="Arial" w:cs="Arial" w:eastAsia="Arial" w:hAnsi="Arial"/>
          <w:sz w:val="17"/>
          <w:szCs w:val="17"/>
          <w:i w:val="1"/>
          <w:iCs w:val="1"/>
          <w:color w:val="auto"/>
        </w:rPr>
        <w:t xml:space="preserve"> </w:t>
      </w:r>
      <w:r>
        <w:rPr>
          <w:rFonts w:ascii="Arial" w:cs="Arial" w:eastAsia="Arial" w:hAnsi="Arial"/>
          <w:sz w:val="14"/>
          <w:szCs w:val="14"/>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 $1.8 million (20.0% multiplied by $9.0 million ($9.75 million cumulative 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gains less $0.75 million unrealized capital depreciation)) less $1.45 million capital gains incentive fee received in Year 2</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None</w:t>
      </w:r>
    </w:p>
    <w:p>
      <w:pPr>
        <w:spacing w:after="0" w:line="117"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None — $1.45 million (20.0% multiplied by $7.25 million (cumulative realized capital gains of $9.75 million less realized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of $2.5 million)) is less than $1.8 million cumulative capital gains incentive fee paid in Year 2 and Year 3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540" w:right="220" w:hanging="424"/>
        <w:spacing w:after="0" w:line="25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p>
      <w:pPr>
        <w:spacing w:after="0" w:line="2" w:lineRule="exact"/>
        <w:rPr>
          <w:sz w:val="20"/>
          <w:szCs w:val="20"/>
          <w:color w:val="auto"/>
        </w:rPr>
      </w:pPr>
    </w:p>
    <w:p>
      <w:pPr>
        <w:ind w:left="540" w:right="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spacing w:after="0" w:line="1" w:lineRule="exact"/>
        <w:rPr>
          <w:rFonts w:ascii="Arial" w:cs="Arial" w:eastAsia="Arial" w:hAnsi="Arial"/>
          <w:sz w:val="18"/>
          <w:szCs w:val="18"/>
          <w:color w:val="auto"/>
        </w:rPr>
      </w:pPr>
    </w:p>
    <w:p>
      <w:pPr>
        <w:ind w:left="540" w:right="400" w:hanging="424"/>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a meeting of our board of directors on June 4, 2020, our board of directors, including a majority of the Independent Directors, unanimously voted to approve the continuation of the Investment Advisory Agreement to June 20, 2021.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88"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89" w:lineRule="exact"/>
        <w:rPr>
          <w:sz w:val="20"/>
          <w:szCs w:val="20"/>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extent and quality of the advisory and other services (including administrative services provided under the Administrative Agreement as discussed below) provided to us by our investment advisor;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fee structure of comparative externally managed BDCs with similar investment objectives;</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1080" w:right="10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investment advisor’s pro forma profitability with respect to managing us and providing administrative services under the Administrative Agreement;</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limited potential for our investment advisor and its affiliates to derive additional “fall-out” benefits as a result of our relationship with our investment advisor;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various other matters.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88"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At a meeting of our board of directors on June 4, 2020, our board of directors, including a majority of the Independent Directors, unanimously voted to approve the continuation of the Administration Agreement to June 20, 2021.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ectPr>
          <w:pgSz w:w="11900" w:h="16838" w:orient="portrait"/>
          <w:cols w:equalWidth="0" w:num="1">
            <w:col w:w="11120"/>
          </w:cols>
          <w:pgMar w:left="320" w:top="459"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and Fund I have elected to be treated as BDCs under the 1940 Act and we have elected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3.0% of the total outstanding voting stock of any investment company, invest more than 5.0% of the value of our total assets in securities issued by one investment company or invest more than 10.0% of the value of our total assets in securities issued by more than one investment company.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89" w:lineRule="exact"/>
        <w:rPr>
          <w:sz w:val="20"/>
          <w:szCs w:val="20"/>
          <w:color w:val="auto"/>
        </w:rPr>
      </w:pPr>
    </w:p>
    <w:p>
      <w:pPr>
        <w:ind w:left="1080" w:right="1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U.S.;</w:t>
      </w:r>
    </w:p>
    <w:p>
      <w:pPr>
        <w:spacing w:after="0" w:line="130"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BDC) or a company that would be an investment company but for certain exclusions under the 1940 Act;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30" w:lineRule="exact"/>
        <w:rPr>
          <w:rFonts w:ascii="Arial" w:cs="Arial" w:eastAsia="Arial" w:hAnsi="Arial"/>
          <w:sz w:val="18"/>
          <w:szCs w:val="18"/>
          <w:color w:val="auto"/>
        </w:rPr>
      </w:pPr>
    </w:p>
    <w:p>
      <w:pPr>
        <w:ind w:left="1540" w:right="620" w:hanging="331"/>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has any class of securities listed on a national securities exchange subject to a $250.0 million market capitalization maximum; or</w:t>
      </w:r>
    </w:p>
    <w:p>
      <w:pPr>
        <w:spacing w:after="0" w:line="75" w:lineRule="exact"/>
        <w:rPr>
          <w:rFonts w:ascii="Arial" w:cs="Arial" w:eastAsia="Arial" w:hAnsi="Arial"/>
          <w:sz w:val="18"/>
          <w:szCs w:val="18"/>
          <w:color w:val="auto"/>
        </w:rPr>
      </w:pPr>
    </w:p>
    <w:p>
      <w:pPr>
        <w:ind w:left="1540" w:right="140" w:hanging="331"/>
        <w:spacing w:after="0" w:line="263"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8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60.0% of the outstanding equity of the eligible portfolio company.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that mature in one year or less from the date of investment.</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 BDC must be organized and have its principal place of business in the U.S. and must be operated for the purpose of making investments in the types of securities described in (a), (b) or (c) above. However, in order to count portfolio securities as qualifying assets for the purpose of the 70.0% test,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acting as our administrator, has agreed to provide such managerial assistance on our behalf to portfolio companies that request this assistance. We may receive fees for these services and will reimburse our investment advisor, acting as our administrator, for its allocated costs in providing such assistance.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tax treatment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150.0%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which may have a negative effect on our growth.”</w:t>
      </w:r>
    </w:p>
    <w:p>
      <w:pPr>
        <w:sectPr>
          <w:pgSz w:w="11900" w:h="16838" w:orient="portrait"/>
          <w:cols w:equalWidth="0" w:num="1">
            <w:col w:w="11120"/>
          </w:cols>
          <w:pgMar w:left="320" w:top="459" w:right="459" w:bottom="1440"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 has proposed a new rule under the 1940 Act that would govern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one of which would have the effect of treating such financial commitment transactions as senior securities. There are no assurances as to when the SEC will adopt a final version of the proposed rules or as to the form that the final rules will take.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Codes of Ethics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Public Reference Room in Washington, D.C. You may obtain information on the operation of the Public Reference Room by calling the SEC at (800) SEC-0300. You may also obtain copies of the joint code of ethics,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100 F Street, N.E., Washington, D.C. 20549. The joint code of ethics is also available on our website at </w:t>
      </w:r>
      <w:r>
        <w:rPr>
          <w:rFonts w:ascii="Arial" w:cs="Arial" w:eastAsia="Arial" w:hAnsi="Arial"/>
          <w:sz w:val="16"/>
          <w:szCs w:val="16"/>
          <w:i w:val="1"/>
          <w:iCs w:val="1"/>
          <w:u w:val="single" w:color="auto"/>
          <w:color w:val="auto"/>
        </w:rPr>
        <w:t>www.fdus.com</w:t>
      </w:r>
      <w:r>
        <w:rPr>
          <w:rFonts w:ascii="Arial" w:cs="Arial" w:eastAsia="Arial" w:hAnsi="Arial"/>
          <w:sz w:val="16"/>
          <w:szCs w:val="16"/>
          <w:color w:val="auto"/>
        </w:rPr>
        <w:t>. We have also adopted a code of business conduct that is applicable to all officers, directors and employees of Fidus and our investment advisor that is available on our website</w:t>
      </w:r>
      <w:r>
        <w:rPr>
          <w:rFonts w:ascii="Arial" w:cs="Arial" w:eastAsia="Arial" w:hAnsi="Arial"/>
          <w:sz w:val="16"/>
          <w:szCs w:val="16"/>
          <w:i w:val="1"/>
          <w:iCs w:val="1"/>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investment advisor’s policies and procedures for voting proxies for its investment advisory clients are intended to comply with Section 206 of, and Rule 206(4)-6 under, the Advisers Act.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76"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w:t>
      </w:r>
    </w:p>
    <w:p>
      <w:pPr>
        <w:ind w:left="120" w:right="140" w:hanging="4"/>
        <w:spacing w:after="0" w:line="253"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Fund I and our investment advisor have each adopted and implemented written policies and procedures reasonably designed to prevent violation of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June 30, 2014, our exemptive relief was amended to include Fund II and any future direct or indirect wholly owned subsidiary. Therefore, any SBA debentures issued by Fund II and Fund III are not subject to the 150.0% asset coverage requirement.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Funds are licensed by the SBA to operate as SBICs under Section 301(c) of the Small Business Investment Act of 1958. Fund II and Fund III received their SBIC licenses on May 28, 2013, and March 21, 2019, respectively. We may issue SBA debentures to fund additional investments through the Funds.</w:t>
      </w:r>
    </w:p>
    <w:p>
      <w:pPr>
        <w:spacing w:after="0" w:line="184" w:lineRule="exact"/>
        <w:rPr>
          <w:sz w:val="20"/>
          <w:szCs w:val="20"/>
          <w:color w:val="auto"/>
        </w:rPr>
      </w:pPr>
    </w:p>
    <w:p>
      <w:pPr>
        <w:ind w:left="120" w:right="520" w:firstLine="440"/>
        <w:spacing w:after="0" w:line="311"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14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current SBA regulations, eligible small businesses generally include businesses that (together with their affiliates) have a tangible net worth not exceeding $19.5 million and have average annual net income after U.S. federal income taxes not exceeding $6.5 million (average net income to be computed without benefit of any carryover loss) for the two most recent fiscal years. In addition, an SBIC must devote between 20.0% and 25.0% (depending upon when it was licensed, when it obtained leverage commitments, the amount of leverage drawn and when financings occur) of its investment activity to “smaller” concerns as defined by the SBA. A smaller concern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concern,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SBA prohibits an SBIC from providing funds to small businesses for certain purposes, such as relending and investment outside the U.S., to businesses engaged in a few prohibited industries, and to certain “passive” (non-operating) companies. In addition, under SBA regulations, without prior SBA approval, an SBIC may not invest more than 30.0% of its regulatory capital in any one portfolio company (assuming the SBIC intends to draw leverage equal to twice its regulatory capital).</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SBICs are periodically examined and audited by the SBA’s staff to determine their compliance with SBA regulations and are periodically required to file certain forms with the SBA.</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Neither the SBA nor the U.S. government or any of its agencies or officers has approved any ownership interest to be issued by us or any obligation that we or any of our subsidiaries may incur.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76" w:lineRule="exact"/>
        <w:rPr>
          <w:sz w:val="20"/>
          <w:szCs w:val="20"/>
          <w:color w:val="auto"/>
        </w:rPr>
      </w:pPr>
    </w:p>
    <w:p>
      <w:pPr>
        <w:ind w:left="1080" w:right="10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Item 307 under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 over financial reporting; and</w:t>
      </w:r>
    </w:p>
    <w:p>
      <w:pPr>
        <w:spacing w:after="0" w:line="75"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NASDAQ Global Select Market Corporate Governance Regulations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NASDAQ Global Select Market has adopted corporate governance regulations with which listed companies must comply. We are in compliance with such corporate governance listing standards applicable to BDCs.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elected to be treated as a RIC under Subchapter M of the Code. As a RIC, we generally will not be subject to corporate-level U.S. federal income taxes on any income that we distribute to our stockholders. To maintain our tax status as a RIC, we must, among other things, meet certain source-of-income and asset diversification requirements (as described below). In addition, in order to maintain our status as a RIC, we must timely distribute to our stockholders, for each taxable year, at least 90.0%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4.0% nondeductible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 U.S. federal excise, state, local and foreign taxes.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be subject to a 4.0% nondeductible U.S. federal excise tax on certain undistributed income unless we distribute in a timely manner an amount at least equal to the sum of (1) 98.0% of our investment company taxable income for each calendar year, (2) 98.2% of our capital gain net income for the one-year period ending October 31 in that calendar year (or, if we so elect, for that calendar year) and (3) any income and capital gain net income that we recognized in preceding years, but were not distributed during such years, and on which we paid no U.S. federal income tax.</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maintain our status as a RIC for U.S. federal income tax purposes, we must, among other things:</w:t>
      </w:r>
    </w:p>
    <w:p>
      <w:pPr>
        <w:spacing w:after="0" w:line="131" w:lineRule="exact"/>
        <w:rPr>
          <w:sz w:val="20"/>
          <w:szCs w:val="20"/>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qualify as a BDC or be registered as a management investment company under the 1940 Act at all times during each taxable year;</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derive in each taxable year at least 90.0%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30" w:lineRule="exact"/>
        <w:rPr>
          <w:rFonts w:ascii="Arial" w:cs="Arial" w:eastAsia="Arial" w:hAnsi="Arial"/>
          <w:sz w:val="18"/>
          <w:szCs w:val="18"/>
          <w:color w:val="auto"/>
        </w:rPr>
      </w:pPr>
    </w:p>
    <w:p>
      <w:pPr>
        <w:ind w:left="1540" w:right="40" w:hanging="331"/>
        <w:spacing w:after="0" w:line="259"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least 50.0% of the value of our assets consists of cash, cash equivalents, U.S. Government securities, securities of other RICs, and other securities if such other securities of any one issuer do not represent more than 5.0% of the value of our assets or more than 10.0% of the outstanding voting securities of the issuer (which for these purposes includes the equity securities of a “qualified publicly traded partnership”); and</w:t>
      </w:r>
    </w:p>
    <w:p>
      <w:pPr>
        <w:spacing w:after="0" w:line="92" w:lineRule="exact"/>
        <w:rPr>
          <w:rFonts w:ascii="Arial" w:cs="Arial" w:eastAsia="Arial" w:hAnsi="Arial"/>
          <w:sz w:val="18"/>
          <w:szCs w:val="18"/>
          <w:color w:val="auto"/>
        </w:rPr>
      </w:pPr>
    </w:p>
    <w:p>
      <w:pPr>
        <w:ind w:left="1540" w:right="140" w:hanging="331"/>
        <w:spacing w:after="0" w:line="259"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more than 25.0% of the value of our assets is invested in the securities, other than U.S. Government securities or securities of other RICs, (i) of one issuer (ii) of two or more issuers that are controlled, as determined under applicable tax rules, by us and that are engaged in the same or similar or related trades or businesses or (iii) of one or more “qualified publicly traded partnerships,” or the Diversification Tests.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18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ectPr>
          <w:pgSz w:w="11900" w:h="16838" w:orient="portrait"/>
          <w:cols w:equalWidth="0" w:num="1">
            <w:col w:w="11100"/>
          </w:cols>
          <w:pgMar w:left="320" w:top="459" w:right="479" w:bottom="1440" w:gutter="0" w:footer="0" w:header="0"/>
        </w:sectPr>
      </w:pP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59" w:right="4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spacing w:after="0" w:line="19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88"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46"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the Annual Distribution Requirement and to avoid corporate-level U.S. federal income tax and the 4.0%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4.0%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4.0% U.S. federal excise tax, we may make such dispositions at times that, from an investment standpoint, are not advantageous.</w:t>
      </w:r>
    </w:p>
    <w:p>
      <w:pPr>
        <w:spacing w:after="0" w:line="17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we fail to satisfy the Annual Distribution Requirement or otherwise fail to qualify as a RIC in any taxable year, unless certain cure provisions apply, we will be subject to tax in that year on all of our taxable income, regardless of whether we make any distributions to our stockholders. In that case, all of such income will be subject to corporate-level U.S. federal income tax, reducing the amount available to be distributed to our stockholders. See “Failure To Qualify as a RIC” below.</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ind w:left="120" w:right="40" w:hanging="4"/>
        <w:spacing w:after="0" w:line="252"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9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to prevent our disqualification as a RIC.</w:t>
      </w:r>
    </w:p>
    <w:p>
      <w:pPr>
        <w:sectPr>
          <w:pgSz w:w="11900" w:h="16838" w:orient="portrait"/>
          <w:cols w:equalWidth="0" w:num="1">
            <w:col w:w="11120"/>
          </w:cols>
          <w:pgMar w:left="320" w:top="459" w:right="459" w:bottom="1440" w:gutter="0" w:footer="0" w:header="0"/>
        </w:sectPr>
      </w:pP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w:t>
      </w:r>
    </w:p>
    <w:p>
      <w:pPr>
        <w:spacing w:after="0" w:line="171"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Obtain RIC Tax Treatment</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cure provisions are applicable (which may, among other things, require us to pay certain corporate-level U.S. federal taxes or to dispose of certain assets).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we were unable to maintain our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U.S. federal income tax rate applicable to qualified dividend income of 20.0%). Subject to certain limitations under Subchapter M of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fail to qualify as a RIC for two or more taxable years, to qualify as a RIC in a subsequent year we may be subject to regular corporate-level U.S. federal income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is a summary of the principal risks that you should carefully consider before investing in our securities. These and other risk factors are described more fully in this “Item 1A. Risk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35"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 which could reduce returns and result in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potential conflicts of interest related to obligations that our investment advisor may have to other clients.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conflicts related to other arrangements with our investment advisor.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Funds are licensed by the SBA, and, therefore, are subject to SBA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SBA regulations limit the amount of SBA-guaranteed debt that may be borrowed by an SBIC.</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relating to the LIBOR calculation process may adversely affect the value of our portfolio of LIBOR-indexed, floating-rate debt securities.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economic, political and market conditions may adversely affect our business, results of operations and financial condition, including our revenue growth and profitability.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outside of our control, including public health crises such as the ongoing COVID-19 pandemic, may negatively affect our results of operations and financial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currently operating in a period of capital markets disruption and economic uncertainty.</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choose to pay dividends in our own stock, in which case you may be required to pay tax in excess of the cash you receive.</w:t>
      </w:r>
    </w:p>
    <w:p>
      <w:pPr>
        <w:spacing w:after="0" w:line="142" w:lineRule="exact"/>
        <w:rPr>
          <w:rFonts w:ascii="Arial" w:cs="Arial" w:eastAsia="Arial" w:hAnsi="Arial"/>
          <w:sz w:val="17"/>
          <w:szCs w:val="17"/>
          <w:color w:val="auto"/>
        </w:rPr>
      </w:pPr>
    </w:p>
    <w:p>
      <w:pPr>
        <w:ind w:left="1080" w:right="34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and external cyber threats, as well as other disasters, could impair our ability to conduct business effectively.</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threats may affect the market for the 2023 Notes, the February 2024 Notes and the November 2024 Notes, impact the businesses in which we invest and affect our business, operating results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Investments</w:t>
      </w:r>
    </w:p>
    <w:p>
      <w:pPr>
        <w:spacing w:after="0" w:line="135"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investments in portfolio companies may be risky, and we could lose all or part of our investment.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not have the funds to make additional investments in our portfolio companies which could impair the value of our portfolio.</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a non-diversified investment company within the meaning of the 1940 Act; therefore we are not limited with respect to the proportion of our assets that may be invested in securities of a single issuer.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35" w:lineRule="exact"/>
        <w:rPr>
          <w:sz w:val="20"/>
          <w:szCs w:val="20"/>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of closed-end investment companies, including business development companies, frequently trade at a discount to their net asset value.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in the future, we sell common stock at a discount to our net asset value per share, stockholders who do not participate in such sale will experience immediate dilution in an amount that may be material.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net asset value may have changed significantly since our last valuation.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price of our securities may fluctuate significantly.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our common stock may have an adverse effect on the market price of our common stock.</w:t>
      </w:r>
    </w:p>
    <w:p>
      <w:pPr>
        <w:sectPr>
          <w:pgSz w:w="11900" w:h="16838" w:orient="portrait"/>
          <w:cols w:equalWidth="0" w:num="1">
            <w:col w:w="11080"/>
          </w:cols>
          <w:pgMar w:left="320" w:top="459" w:right="499" w:bottom="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80"/>
          </w:cols>
          <w:pgMar w:left="320" w:top="459" w:right="499" w:bottom="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2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depend upon the investment professionals of our investment advisor to maintain their relationships with financial institutions, sponsors and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depends on our ability to manage our business effectively.</w:t>
      </w:r>
    </w:p>
    <w:p>
      <w:pPr>
        <w:spacing w:after="0" w:line="11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access to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Any failure to manage our business and our future growth effectively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suffer credit losses and our investments could be rated below investment grade.</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Private debt in the form of second lien, subordinated, and first lien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recession.</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investments in our portfolio are typically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2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ectPr>
          <w:pgSz w:w="11900" w:h="16838" w:orient="portrait"/>
          <w:cols w:equalWidth="0" w:num="1">
            <w:col w:w="11120"/>
          </w:cols>
          <w:pgMar w:left="320" w:top="459"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70"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a BDC, we are generally required to meet a coverage ratio at least equal to 150.0% of total assets to total borrowings and other senior securities, which include all of our borrowings (other than the Funds’ SBA leverage under the terms of SEC exemptive relief) and any preferred stock we may issue in the future. If this ratio declines below 150.0%, we may not be able to incur additional debt and may need to sell a portion of our investments to repay some debt when it is disadvantageous to do so, and we may not be able to make distributions to our stockholders.</w:t>
      </w:r>
    </w:p>
    <w:p>
      <w:pPr>
        <w:spacing w:after="0" w:line="17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0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3"/>
              </w:rPr>
              <w:t>Assumed Return on Our Portfolio</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8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1"/>
              </w:rPr>
              <w:t>(Net of Expenses)</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(5.</w:t>
            </w:r>
            <w:r>
              <w:rPr>
                <w:rFonts w:ascii="Arial" w:cs="Arial" w:eastAsia="Arial" w:hAnsi="Arial"/>
                <w:sz w:val="14"/>
                <w:szCs w:val="14"/>
                <w:b w:val="1"/>
                <w:bCs w:val="1"/>
                <w:u w:val="single" w:color="auto"/>
                <w:color w:val="auto"/>
                <w:w w:val="96"/>
              </w:rPr>
              <w:t>0)%</w:t>
            </w:r>
          </w:p>
        </w:tc>
        <w:tc>
          <w:tcPr>
            <w:tcW w:w="4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w:t>
            </w:r>
          </w:p>
        </w:tc>
        <w:tc>
          <w:tcPr>
            <w:tcW w:w="4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r>
              <w:rPr>
                <w:rFonts w:ascii="Arial" w:cs="Arial" w:eastAsia="Arial" w:hAnsi="Arial"/>
                <w:sz w:val="14"/>
                <w:szCs w:val="14"/>
                <w:b w:val="1"/>
                <w:bCs w:val="1"/>
                <w:u w:val="single" w:color="auto"/>
                <w:color w:val="auto"/>
              </w:rPr>
              <w:t>0%</w:t>
            </w:r>
          </w:p>
        </w:tc>
        <w:tc>
          <w:tcPr>
            <w:tcW w:w="38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10.</w:t>
            </w:r>
            <w:r>
              <w:rPr>
                <w:rFonts w:ascii="Arial" w:cs="Arial" w:eastAsia="Arial" w:hAnsi="Arial"/>
                <w:sz w:val="14"/>
                <w:szCs w:val="14"/>
                <w:b w:val="1"/>
                <w:bCs w:val="1"/>
                <w:u w:val="single" w:color="auto"/>
                <w:color w:val="auto"/>
                <w:w w:val="95"/>
              </w:rPr>
              <w:t>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(10.</w:t>
            </w:r>
            <w:r>
              <w:rPr>
                <w:rFonts w:ascii="Arial" w:cs="Arial" w:eastAsia="Arial" w:hAnsi="Arial"/>
                <w:sz w:val="14"/>
                <w:szCs w:val="14"/>
                <w:b w:val="1"/>
                <w:bCs w:val="1"/>
                <w:u w:val="single" w:color="auto"/>
                <w:color w:val="auto"/>
                <w:w w:val="97"/>
              </w:rPr>
              <w:t>0)%</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Corresponding return to common stockholder </w:t>
            </w:r>
            <w:r>
              <w:rPr>
                <w:rFonts w:ascii="Arial" w:cs="Arial" w:eastAsia="Arial" w:hAnsi="Arial"/>
                <w:sz w:val="15"/>
                <w:szCs w:val="15"/>
                <w:color w:val="auto"/>
              </w:rPr>
              <w:t>(1)</w:t>
            </w:r>
          </w:p>
        </w:tc>
        <w:tc>
          <w:tcPr>
            <w:tcW w:w="3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300" w:hanging="424"/>
        <w:spacing w:after="0" w:line="26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$875.7 million in total assets, $147.0 million in outstanding SBA debentures, $0.0 million in borrowings under the Credit Facility (as defined below), $307.3 million oustanding of our Notes, $410.8 million in net assets as of December 31, 2020, and an average cost of funds of 4.680%.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Legislation that took effect in 2018 would allow us to incur additional leverage.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are met. Under the SBCA,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 allows the “required majority” of our independent directors, as defined in Section 57(o) of the 1940 Act, to approve an increase in our leverage capacity, and such approval would become effective after the one-year anniversary of such proposal.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85"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w:t>
      </w:r>
    </w:p>
    <w:p>
      <w:pPr>
        <w:spacing w:after="0" w:line="12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5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comparable publicly-traded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enterprise value of a portfolio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portfolio company’s ability to make payments and its earnings and discounted cash flow;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interest rate environment and the credit markets generally that may affect the price at which similar investments may be made in the future and other relevant factors.</w:t>
      </w:r>
    </w:p>
    <w:p>
      <w:pPr>
        <w:spacing w:after="0" w:line="170"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9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12 and 13 of our portfolio company investments representing 25.8% and 30.9% of the total portfolio investments at fair value (exclusive of new portfolio company investments made during the three months ended December 31, 2020 and 2019, respectively) as of December 31, 2020 and 2019, respectively.</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 which could reduce returns and result in losses.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 number of entities compete with us to make the types of investments that we make. We compete with public and private funds, other BDCs,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BDC or the source of income, asset diversification and distribution requirements we must satisfy to maintain our RIC status.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ectPr>
          <w:pgSz w:w="11900" w:h="16838" w:orient="portrait"/>
          <w:cols w:equalWidth="0" w:num="1">
            <w:col w:w="11100"/>
          </w:cols>
          <w:pgMar w:left="320" w:top="459" w:right="479" w:bottom="1440" w:gutter="0" w:footer="0" w:header="0"/>
        </w:sectPr>
      </w:pP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8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9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300"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potential conflicts of interest related to obligations that our investment advisor may have to other clients.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Currently, the Company, the Funds, Fidus Credit Opportunities, L.P., Fidus Equity Opportunities Fund, L.P., and Fidus Equity Fund I,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Fidus Equity Opportunities Fund, L.P., and Fidus Equity Fund I,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68"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To the extent our investment advisor forms affiliates, including Fidus Credit Opportunities, L.P., Fidus Equity Opportunities Fund, L.P., and Fidus Equity Fund I,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relief sought in an exemptive application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w:t>
      </w:r>
    </w:p>
    <w:p>
      <w:pPr>
        <w:spacing w:after="0" w:line="5" w:lineRule="exact"/>
        <w:rPr>
          <w:sz w:val="20"/>
          <w:szCs w:val="20"/>
          <w:color w:val="auto"/>
        </w:rPr>
      </w:pPr>
    </w:p>
    <w:p>
      <w:pPr>
        <w:ind w:left="120" w:right="600" w:hanging="4"/>
        <w:spacing w:after="0" w:line="260"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objective and strategies. We intend to co-invest, subject to the conditions included in the Order.</w:t>
      </w:r>
    </w:p>
    <w:p>
      <w:pPr>
        <w:spacing w:after="0" w:line="29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investment advisor or its investment committee may, from time to time, possess material non-public information, limiting our investment discretion.</w:t>
      </w:r>
    </w:p>
    <w:p>
      <w:pPr>
        <w:spacing w:after="0" w:line="62"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conflicts related to other arrangements with our investment advisor.</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Funds are licensed by the SBA, and, therefore, are subject to SBA regulations.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Funds are licensed to operate as SBICs and are regulated by the SBA. Under current SBA regulations, a licensed SBIC can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ectPr>
          <w:pgSz w:w="11900" w:h="16838" w:orient="portrait"/>
          <w:cols w:equalWidth="0" w:num="1">
            <w:col w:w="11120"/>
          </w:cols>
          <w:pgMar w:left="320" w:top="459" w:right="459" w:bottom="1440" w:gutter="0" w:footer="0" w:header="0"/>
        </w:sectPr>
      </w:pP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SBA regulations limit the amount of SBA-guaranteed debt that may be borrowed by an SBIC.</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debentures issued by the Funds and guaranteed by the SBA have a maturity of ten years and bear interest semi-annually at fixed rates. Certain of the Funds’ SBA debentures begin to mature in 2025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order to maintain our tax treatment as a RIC, we are required to timely distribute to our stockholders on an annual basis 90.0%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corporate-level U.S. federal income tax if we are unable to maintain our tax treatment as a RIC under Subchapter M of the Code.”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interest rates will affect our cost of capital and net investment income.</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Most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As a result, a significant increase in market interest rates could both reduce the value of our portfolio investments and increase our cost of capital, which would reduce our net investment income.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Changes relating to the LIBOR calculation process may adversely affect the value of our portfolio of LIBOR-indexed, floating-rate debt securities.</w:t>
      </w:r>
    </w:p>
    <w:p>
      <w:pPr>
        <w:spacing w:after="0" w:line="15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the recent past, concerns have been publicized that some of the member banks surveyed by the British Bankers’ Association (“BBA”) in connection with the calculation of The London Inter-bank Offered Rate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92"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July 27, 2017, the U.K. Financial Conduct Authority, which regulates LIBOR, announced that it intends to stop persuading or compelling banks to submit LIBOR rates after 2021. We have exposure to LIBOR, including in financial instruments that mature after 2021. Our exposure arises from the value of our portfolio of LIBOR-indexed, floating-rate debt securities. The Company intends to monitor the developments with respect to the scheduled phasing out of LIBOR after 2021 and work with its portfolio companies and lenders to ensure such transition away from LIBOR will have minimal impact on its financial condition, but can provide no assurances regarding the impact of the discontinuation of LIBOR.</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In addition, on March 25, 2020, the U.K. Financial Conduct Authority stated that, although the central assumption that firms cannot rely on LIBOR being published after the end of 2021 has not changed, the outbreak of COVID-19 has impacted the timing of many firms’ transition planning, and the U.K. Financial Conduct Authority will continue to assess the impact of the COVID-19 outbreak on transition timelines and update the marketplace as soon as possible. Furthermore, on November 30, 2020, the Intercontinental Exchange, Inc. (“ICE”) announced that the ICE Benchmark Administration Limited, a wholly owned subsidiary of ICE and the administrator of LIBOR, announced its plan to extend the date that most U.S. LIBOR values would cease being computed from December 31, 2021 to June 30, 2023. Despite this extension of the U.S. LIBOR transition deadline for certain LIBOR values, U.S. regulators continue to urge financial institutions to stop entering into new LIBOR transactions by the end of 2021.</w:t>
      </w:r>
    </w:p>
    <w:p>
      <w:pPr>
        <w:spacing w:after="0" w:line="18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or, whether the COVID-19 outbreak will have further effect on LIBOR transition plans. 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enter into transactions involving derivatives and financial commitment transactions may be limited.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Through comprehensive new global regulatory regimes impacting derivatives (</w:t>
      </w:r>
      <w:r>
        <w:rPr>
          <w:rFonts w:ascii="Arial" w:cs="Arial" w:eastAsia="Arial" w:hAnsi="Arial"/>
          <w:sz w:val="17"/>
          <w:szCs w:val="17"/>
          <w:i w:val="1"/>
          <w:iCs w:val="1"/>
          <w:color w:val="auto"/>
        </w:rPr>
        <w:t>e.g.</w:t>
      </w:r>
      <w:r>
        <w:rPr>
          <w:rFonts w:ascii="Arial" w:cs="Arial" w:eastAsia="Arial" w:hAnsi="Arial"/>
          <w:sz w:val="17"/>
          <w:szCs w:val="17"/>
          <w:color w:val="auto"/>
        </w:rPr>
        <w:t>, the Wall Street Reform and Consumer Protection Act of 2010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 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7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November 2020, the SEC adopted new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the SEC’s adopted rules.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 18 of the 1940 Act when engaging in reverse repurchase agreements or (ii) choose to treat such agreements as derivative transactions under the adopted rule. Under the adopted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requirements may limit our ability to use derivatives and/or enter into certain other financial contracts.</w:t>
      </w:r>
    </w:p>
    <w:p>
      <w:pPr>
        <w:spacing w:after="0" w:line="2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6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15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8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May 24, 2018, the President of the United States signed into law the Economic Growth, Regulatory Relief, and Consumer Protection Act,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66"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Although we cannot predict the impact, if any, of these changes to our business, they could adversely affect our business, financial condition, operating results and cash flows. Until we know what policy changes are made and how those changes impact business and the business of our competitors over the long term, we will not know if, overall, it will benefit from them or be negatively affected by them.</w:t>
      </w:r>
    </w:p>
    <w:p>
      <w:pPr>
        <w:sectPr>
          <w:pgSz w:w="11900" w:h="16838" w:orient="portrait"/>
          <w:cols w:equalWidth="0" w:num="1">
            <w:col w:w="11100"/>
          </w:cols>
          <w:pgMar w:left="320" w:top="459" w:right="479" w:bottom="144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00"/>
          </w:cols>
          <w:pgMar w:left="320" w:top="459" w:right="4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On January 31, 2020, the United Kingdom (the “UK”) ended its membership in the European Union (“Brexit”). Under the terms of the withdrawal agreement negotiated and agreed between the UK and the European Union, the UK’s departure from the European Union was followed by a transition period (the “Transition Period”), which ran until December 31, 2020 and during which the UK continued to apply European Union law and was treated for all material purposes as if it were still a member of the European Union. On December 24, 2020, the European Union and UK governments signed a trade deal that became provisionally effective on January 1, 2021 and that now governs the relationship between the UK and European Union (the “Trade Agreement”). The Trade Agreement implements significant regulation around trade, transport of goods and travel restrictions between the UK and the European Union. Notwithstanding the foregoing, the longer-term economic, legal, political and social implications of Brexit are unclear at this stage and are likely to continue to lead to ongoing political and economic uncertainty and periods of increased volatility in both the UK and in wider European markets for some time. In particular, Brexit could lead to calls for similar referendums in other European jurisdictions, which could cause increased economic volatility in the European and global markets. This mid- to long-term uncertainty could have adverse effects on the economy generally and on our ability to earn attractive returns. In particular, currency volatility could mean that our returns are adversely affected by market movements and could make it more difficult, or more expensive, for us to execute prudent currency hedging policies. Potential decline in the value of the British Pound and/or the Euro against other currencies, along with the potential further downgrading of the UK’s sovereign credit rating, could also have an impact on the performance of certain investments made in the UK or Europe.</w:t>
      </w:r>
    </w:p>
    <w:p>
      <w:pPr>
        <w:spacing w:after="0" w:line="27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Events outside of our control, including public health crises such as the ongoing COVID-19 pandemic, may negatively affect our results of operations and financial performance.</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the COVID-19 pandemic has delivered a shock to the global economy. This outbreak has led and for an unknown period of time will continue to lead to disruptions in local, regional, national and global markets and economies affected thereby, including a recession and a steep increase in unemployment in the United States.</w:t>
      </w:r>
    </w:p>
    <w:p>
      <w:pPr>
        <w:spacing w:after="0" w:line="188"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With respect to the U.S. credit markets (in particular for middle market loans), this outbreak has resulted in, and until fully resolved is likely to continue to result in, the following among other things: (i) government imposition of various forms of shelter-in-place orders and the closing</w:t>
      </w:r>
    </w:p>
    <w:p>
      <w:pPr>
        <w:ind w:left="120" w:right="240"/>
        <w:spacing w:after="0" w:line="268" w:lineRule="auto"/>
        <w:rPr>
          <w:sz w:val="20"/>
          <w:szCs w:val="20"/>
          <w:color w:val="auto"/>
        </w:rPr>
      </w:pPr>
      <w:r>
        <w:rPr>
          <w:rFonts w:ascii="Arial" w:cs="Arial" w:eastAsia="Arial" w:hAnsi="Arial"/>
          <w:sz w:val="17"/>
          <w:szCs w:val="17"/>
          <w:color w:val="auto"/>
        </w:rPr>
        <w:t>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pacing w:after="0" w:line="18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While several countries, as well as certain states, counties and cities in the United States, have relaxed initial public health restrictions with the view to partially or fully reopening their economies, many cities have since experienced a surge in the reported number of cases, hospitalizations and deaths related to the COVID-19 pandemic. These surges have led to the re-introduction of such restrictions and business shutdowns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Additionally, as of late December 2020, travelers from the United States are not allowed to visit Canada, Australia or the majority of countries in Europe, Asia, Africa and South America. These continued travel restrictions may prolong the global economic downturn. In addition, although the Federal Food and Drug Administration authorized vaccines produced by Pfizer-BioNTech and Moderna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annual report on Form 10-K, it is impossible to determine the scope of this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w:t>
      </w:r>
    </w:p>
    <w:p>
      <w:pPr>
        <w:spacing w:after="0" w:line="2" w:lineRule="exact"/>
        <w:rPr>
          <w:sz w:val="20"/>
          <w:szCs w:val="20"/>
          <w:color w:val="auto"/>
        </w:rPr>
      </w:pPr>
    </w:p>
    <w:p>
      <w:pPr>
        <w:ind w:left="120" w:right="520"/>
        <w:spacing w:after="0" w:line="290" w:lineRule="auto"/>
        <w:rPr>
          <w:sz w:val="20"/>
          <w:szCs w:val="20"/>
          <w:color w:val="auto"/>
        </w:rPr>
      </w:pPr>
      <w:r>
        <w:rPr>
          <w:rFonts w:ascii="Arial" w:cs="Arial" w:eastAsia="Arial" w:hAnsi="Arial"/>
          <w:sz w:val="17"/>
          <w:szCs w:val="17"/>
          <w:color w:val="auto"/>
        </w:rPr>
        <w:t>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16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 Additionally, oil prices collapsed to an 18-year low on supply glut concerns, as shutdowns across the global economy sharply reduced oil demand while Saudi Arabia and Russia engaged in a price war. Central banks and governments have responded with liquidity injections to ease the strain on financial systems and stimulus measures to buffer the shock to businesses and consumers. These measures have helped stabilize certain portions of the financial markets over the short term, but volatility will likely remain elevated until the health crisis itself is under control (via fewer new cases, lower infection rates and/or verified treatments). There are still many unknowns and new information is incoming daily, compounding the difficulty of modeling outcomes for epidemiologists and economists alike.</w:t>
      </w:r>
    </w:p>
    <w:p>
      <w:pPr>
        <w:spacing w:after="0" w:line="16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cannot be certain as to the duration or magnitude of the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portfolio companies may suffer declines in earnings and could experience financial distress, which could cause them to default on their financial obligations to us and their other lenders.</w:t>
      </w:r>
    </w:p>
    <w:p>
      <w:pPr>
        <w:spacing w:after="0" w:line="178"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4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our and our portfolio companies’ operating results.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In addition, due to the outbreak in the United States, certain personnel of our investment advisor are currently working remotely, which may introduce additional operational risk to us. Staff members of certain of our other service providers may also work remotely during the COVID-19 outbreak. An extended period of remote working could lead to service limitations or failures that could impact us or our performance.</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Further, current market conditions resulting from the COVID-19 pandemic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fluctuations in our quarterly operating results.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tax treatment as a RIC under Subchapter M of the Code.</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have elected to be treated as a RIC under Subchapter M of the Code; however, no assurance can be given that we will be able to maintain our RIC tax treatment. To maintain our tax treatment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quickly in order to prevent the loss of RIC tax treatment. Because most of our investments will be in private or thinly traded public companies, any such dispositions could be made at disadvantageous prices and may result in substantial losses. The annual distribution requirement applicable to RICs will be satisfied if we timely distribute at least 90.0% of our net ordinary income and net short-term capital gains in excess of net long-term capital losses, if any, to our stockholders on an annual basis. In addition, we will be subject to a 4.0%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tax treatment as a RIC. If we are unable to obtain cash from other sources, we may fail to maintain our tax treatment as a RIC and, thus, may be subject to U.S. federal corporate income tax on our entire taxable income without regard to any distributions made by us. If we fail to maintain our tax treatment as a RIC for any reason and become subject to U.S. corporate income tax,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27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3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ectPr>
          <w:pgSz w:w="11900" w:h="16838" w:orient="portrait"/>
          <w:cols w:equalWidth="0" w:num="1">
            <w:col w:w="11100"/>
          </w:cols>
          <w:pgMar w:left="320" w:top="459" w:right="479" w:bottom="1440" w:gutter="0" w:footer="0" w:header="0"/>
        </w:sectPr>
      </w:pP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00"/>
          </w:cols>
          <w:pgMar w:left="320" w:top="459"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gets his or her own invested capital returned to him or her, but reduced by the amount of the Company’s expenses and any sales load he or she may have paid. In addition, investors will be required to reduce their basis in our stock for U.S. federal income tax purposes.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choose to pay dividends in our own stock, in which case you may be required to pay tax in excess of the cash you receive.</w:t>
      </w:r>
    </w:p>
    <w:p>
      <w:pPr>
        <w:spacing w:after="0" w:line="12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7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Since in certain cases we may be required to recognize income before or without receiving cash representing such income, we may have difficulty meeting the requirement to distribute on an annual basis at least 90.0% of our net ordinary income and net 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corporate-level U.S. federal income tax. See “We will be subject to corporate-level U.S. federal income tax if we are unable to maintain our tax treatment as a RIC under Subchapter M of the Code.”</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89" w:lineRule="exact"/>
        <w:rPr>
          <w:sz w:val="20"/>
          <w:szCs w:val="20"/>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payments deferred on a PIK loan are subject to the risk that the borrower may default when the deferred payments are due in cash at the maturity of the loan;</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rates on PIK loans are higher to reflect the time-value of money on deferred interest payments and the higher credit risk of borrowers who may need to defer interest payments;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PIK instruments may have unreliable valuations because the accruals require judgments about ultimate collectability of the deferred payments and the value of the associated collateral;</w:t>
      </w:r>
    </w:p>
    <w:p>
      <w:pPr>
        <w:spacing w:after="0" w:line="75" w:lineRule="exact"/>
        <w:rPr>
          <w:rFonts w:ascii="Arial" w:cs="Arial" w:eastAsia="Arial" w:hAnsi="Arial"/>
          <w:sz w:val="18"/>
          <w:szCs w:val="18"/>
          <w:color w:val="auto"/>
        </w:rPr>
      </w:pPr>
    </w:p>
    <w:p>
      <w:pPr>
        <w:ind w:left="1080" w:right="420" w:hanging="424"/>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w:t>
      </w:r>
    </w:p>
    <w:p>
      <w:pPr>
        <w:spacing w:after="0" w:line="70"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prices of OID instruments are more volatile because they are affected to a greater extent by interest rate changes than instruments that pay interest periodically in cash;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deferral of interest on a PIK loan increases its loan-to-value ratio, which is a measure of the riskiness of a loan;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OID creates the risk of non-refundable cash payments to the investment advisor based on non-cash accruals that may never be realized;</w:t>
      </w:r>
    </w:p>
    <w:p>
      <w:pPr>
        <w:spacing w:after="0" w:line="153" w:lineRule="exact"/>
        <w:rPr>
          <w:rFonts w:ascii="Arial" w:cs="Arial" w:eastAsia="Arial" w:hAnsi="Arial"/>
          <w:sz w:val="16"/>
          <w:szCs w:val="16"/>
          <w:color w:val="auto"/>
        </w:rPr>
      </w:pPr>
    </w:p>
    <w:p>
      <w:pPr>
        <w:jc w:val="both"/>
        <w:ind w:left="1080" w:right="4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recognition of OID, including PIK, interest for U.S. federal income tax purposes may have a negative impact on liquidity, because it represents a non-cash component of the our taxable income that must, nevertheless, be distributed in cash to investors to avoid it being subject to corporate level taxation.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You may have a current tax liability on distributions you elect to reinvest in our common stock but would not receive cash to pay such tax liability.</w:t>
      </w:r>
    </w:p>
    <w:p>
      <w:pPr>
        <w:spacing w:after="0" w:line="15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295"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elected to be taxed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corporate-level U.S. federal income tax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150.0%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Annual Stockholders Meeting on June 4, 2020, our stockholders voted to allow us to issue common stock at a price below net asset value per share for a period of one year ending on the earlier of June 20, 2021 or the date of our 2021 Annual Meeting of Stockholders. We expect to present to our stockholders a similar proposal at our 2021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293"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30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and the way in which we raise, additional capital which may have a negative effect on our growth.</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 will require capital to operate and grow. We may acquire such additional capital from the following sources: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Senior Securities. </w:t>
      </w:r>
      <w:r>
        <w:rPr>
          <w:rFonts w:ascii="Arial" w:cs="Arial" w:eastAsia="Arial" w:hAnsi="Arial"/>
          <w:sz w:val="18"/>
          <w:szCs w:val="18"/>
          <w:color w:val="auto"/>
        </w:rPr>
        <w:t>Currently we, through the Funds, issue debt securities guaranteed by the SBA and have access to funds under 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55"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the provisions of the 1940 Act, we are permitted, as a BDC, to issue senior securities only in amounts such that our asset coverage, as defined in the 1940 Act, equals at least 200.0% after each issuance of senior securities (or 150.0%, if certain requirements are met). If the value of our assets declines, we may be unable to satisfy this test.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97"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amounts that we use to service our debt or make payments on preferred stock will not be available for distributions to our common stockholders.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 and other indebtedness.</w:t>
      </w:r>
    </w:p>
    <w:p>
      <w:pPr>
        <w:spacing w:after="0" w:line="130"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Under the provisions of the 1940 Act, we are not generally able to issue and sell our common stock at a price below</w:t>
      </w:r>
      <w:r>
        <w:rPr>
          <w:rFonts w:ascii="Arial" w:cs="Arial" w:eastAsia="Arial" w:hAnsi="Arial"/>
          <w:sz w:val="16"/>
          <w:szCs w:val="16"/>
          <w:i w:val="1"/>
          <w:iCs w:val="1"/>
          <w:color w:val="auto"/>
        </w:rPr>
        <w:t xml:space="preserve"> </w:t>
      </w:r>
      <w:r>
        <w:rPr>
          <w:rFonts w:ascii="Arial" w:cs="Arial" w:eastAsia="Arial" w:hAnsi="Arial"/>
          <w:sz w:val="16"/>
          <w:szCs w:val="16"/>
          <w:color w:val="auto"/>
        </w:rPr>
        <w:t>net 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Annual Stockholders Meeting on June 4, 2020, our stockholders voted to allow us to issue common stock at a price below net asset value per share for a period of one year ending on the earlier of June 20, 2021 or the date of our 2021 Annual Meeting of Stockholders. We expect to present to our stockholders a similar proposal at our 2021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Uncertainty about U.S. Presidential Administration initiatives could negatively impact our business, financial condition and results of operations.</w:t>
      </w:r>
    </w:p>
    <w:p>
      <w:pPr>
        <w:spacing w:after="0" w:line="15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U.S. government has recently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8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Legislative or other actions relating to taxes could have a negative effect on the Company.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Legislative or other actions relating to taxes could have a negative effect on the Company and its investors. The rules dealing with U.S. federal income taxation are constantly under review by persons involved in the legislative process and by the IRS and the U.S. Treasury Department. We cannot predict with certainty how any changes in the tax laws might affect the Company, its investments or its investors. New legislation and any U.S. Treasury regulations, administrative interpretations or court decisions interpreting such legislation could significantly and negatively affect the Company’s ability to qualify for tax treatment as a RIC or the U.S. federal income tax consequences to the Company and its investors of such qualification, or could have other adverse consequences. You are urged to consult with your tax advisor with respect to the impact of the status of any legislative, regulatory or administrative developments and proposals and their potential effect on your investment in our securities.</w:t>
      </w:r>
    </w:p>
    <w:p>
      <w:pPr>
        <w:spacing w:after="0" w:line="27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6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As a result of the November 2020 elections in the United States, the Democratic Party gained control of both the Presidency and the Senate from the Republican Party. Therefore, 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may adversely affect our business or cause us to alter our business strategy.</w:t>
      </w:r>
    </w:p>
    <w:p>
      <w:pPr>
        <w:spacing w:after="0" w:line="129" w:lineRule="exact"/>
        <w:rPr>
          <w:sz w:val="20"/>
          <w:szCs w:val="20"/>
          <w:color w:val="auto"/>
        </w:rPr>
      </w:pPr>
    </w:p>
    <w:p>
      <w:pPr>
        <w:jc w:val="both"/>
        <w:ind w:left="120" w:right="420" w:firstLine="440"/>
        <w:spacing w:after="0" w:line="259" w:lineRule="auto"/>
        <w:rPr>
          <w:sz w:val="20"/>
          <w:szCs w:val="20"/>
          <w:color w:val="auto"/>
        </w:rPr>
      </w:pPr>
      <w:r>
        <w:rPr>
          <w:rFonts w:ascii="Arial" w:cs="Arial" w:eastAsia="Arial" w:hAnsi="Arial"/>
          <w:sz w:val="18"/>
          <w:szCs w:val="18"/>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to U.S. tariff and import/export regulations may have a negative effect on our portfolio companies and, in turn, harm us.</w:t>
      </w:r>
    </w:p>
    <w:p>
      <w:pPr>
        <w:spacing w:after="0" w:line="1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enter into and exit investment transactions with our affiliates will be restricted.</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ectPr>
          <w:pgSz w:w="11900" w:h="16838" w:orient="portrait"/>
          <w:cols w:equalWidth="0" w:num="1">
            <w:col w:w="11120"/>
          </w:cols>
          <w:pgMar w:left="320" w:top="459" w:right="459" w:bottom="1440"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59" w:right="4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289"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and external cyber threats, as well as other disasters, could impair our ability to conduct business effectively.</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malware and computer virus attacks, or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5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57"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4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and our service providers are currently impacted by quarantines and similar measures being enacted by governments in response to the global COVID-19 pandemic, which are obstructing the regular functioning of business workforces (including requiring employees to work from external locations and their homes).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current conditions.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Public health threats may affect the market for the 2023 Notes, the February 2024 Notes and the November 2024 Notes, impact the businesses in which we invest and affect our business, operating results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Public health threats, such as COVID-19 or any other illness, have and may continue to disrupt the operations of the businesses in which we invest. Such threats can create economic and political uncertainties and can contribute to global economic instability. A public health threat poses the risk that our portfolio companies may have significantly reduced or be prevented from conducting business activities for an unknown period of time, including shutdowns that may be requested or mandated by governmental authorities. We cannot estimate the impact that a public health threat could have on our portfolio companies, but it could disrupt their businesses and their ability to make interest or dividend payments and decrease the overall value of our investments which adversely impact our business, financial condition or results of operations. Additionally, as a result of the volatile market conditions that may result from public health threats, such as COVID-19 or any other illness, we cannot provide any assurance that the 2023 Notes, the February 2024 Notes and the November 2024 Notes will trade at a favorable price.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Investments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Many of our portfolio companies are susceptible to economic slowdowns or recessions (including industry specific downturns) and may be unable to repay our debt investments during these periods. The recent global outbreak of COVID-19 has disrupted economic markets, and the prolonged economic impact is uncertain. Many manufacturers of goods in China and other countries in Asia have seen a downturn in production due to the suspension of business and temporary closure of factories in an attempt to curb the spread of the illness. As the impact of COVID-19 spreads to other parts of the world, similar impacts may occur with respect to affected countries.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the negotiation of trade deals between Britain and the European Union following the United Kingdom’s exit from the European Union and uncertainty between the United States and other countries, including China, with respect to trade policies, treaties, and tariffs, among other factors, have caused disruption in the global markets. There can be no assurance that market conditions will not worsen in the future.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an economic downturn, we may have non-performing assets or non-performing assets may increase, and the value of our portfolio is likely to decrease during these periods. Adverse economic conditions may also decrease the value of any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Portfolio investments may be affected by force majeure events </w:t>
      </w:r>
      <w:r>
        <w:rPr>
          <w:rFonts w:ascii="Arial" w:cs="Arial" w:eastAsia="Arial" w:hAnsi="Arial"/>
          <w:sz w:val="17"/>
          <w:szCs w:val="17"/>
          <w:i w:val="1"/>
          <w:iCs w:val="1"/>
          <w:color w:val="auto"/>
        </w:rPr>
        <w:t>(i.e.,</w:t>
      </w:r>
      <w:r>
        <w:rPr>
          <w:rFonts w:ascii="Arial" w:cs="Arial" w:eastAsia="Arial" w:hAnsi="Arial"/>
          <w:sz w:val="17"/>
          <w:szCs w:val="17"/>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28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continue to be volatile.</w:t>
      </w:r>
    </w:p>
    <w:p>
      <w:pPr>
        <w:spacing w:after="0" w:line="2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in healthcare laws and other regulations applicable to some of our portfolio companies’ businesses may constrain their ability to offer their products and services.</w:t>
      </w:r>
    </w:p>
    <w:p>
      <w:pPr>
        <w:spacing w:after="0" w:line="6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265"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4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investments in portfolio companies may be risky, and we could lose all or part of our investment.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Investing in lower middle-market companies involves a number of significant risks. Among other things, these companies:</w:t>
      </w:r>
    </w:p>
    <w:p>
      <w:pPr>
        <w:spacing w:after="0" w:line="131" w:lineRule="exact"/>
        <w:rPr>
          <w:sz w:val="20"/>
          <w:szCs w:val="20"/>
          <w:color w:val="auto"/>
        </w:rPr>
      </w:pPr>
    </w:p>
    <w:p>
      <w:pPr>
        <w:ind w:left="1080" w:right="60" w:hanging="424"/>
        <w:spacing w:after="0" w:line="286"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70" w:lineRule="exact"/>
        <w:rPr>
          <w:rFonts w:ascii="Arial" w:cs="Arial" w:eastAsia="Arial" w:hAnsi="Arial"/>
          <w:sz w:val="17"/>
          <w:szCs w:val="17"/>
          <w:color w:val="auto"/>
        </w:rPr>
      </w:pPr>
    </w:p>
    <w:p>
      <w:pPr>
        <w:ind w:left="1080" w:right="3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51" w:lineRule="exact"/>
        <w:rPr>
          <w:rFonts w:ascii="Arial" w:cs="Arial" w:eastAsia="Arial" w:hAnsi="Arial"/>
          <w:sz w:val="17"/>
          <w:szCs w:val="17"/>
          <w:color w:val="auto"/>
        </w:rPr>
      </w:pPr>
    </w:p>
    <w:p>
      <w:pPr>
        <w:ind w:left="1080" w:right="6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jc w:val="both"/>
        <w:ind w:left="1080" w:right="5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have the funds to make additional investments in our portfolio companies which could impair the value of our portfolio.</w:t>
      </w:r>
    </w:p>
    <w:p>
      <w:pPr>
        <w:spacing w:after="0" w:line="1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Portfolio companies may incur debt that ranks equally with, or senior to, our investments in such companies.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will invest primarily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28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could be subject to lender liability claims.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269"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8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198"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cause the commencement of enforcement proceedings against the collateral;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control the conduct of such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of amendments to collateral documents;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releases of liens on the collateral;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waivers of past defaults under collateral documents.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not have the ability to control or direct such actions, even if our rights are adversely affected.</w:t>
      </w:r>
    </w:p>
    <w:p>
      <w:pPr>
        <w:sectPr>
          <w:pgSz w:w="11900" w:h="16838" w:orient="portrait"/>
          <w:cols w:equalWidth="0" w:num="1">
            <w:col w:w="11100"/>
          </w:cols>
          <w:pgMar w:left="320" w:top="459"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We may hold the debt securities of leveraged companies that may, due to the significant volatility of such companies, enter into bankruptcy proceedings.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27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investment portfolio may be an indication of future realized losses, which could reduce our income available for distribution.</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296"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investments may include original-issue-discount instruments and contractual PIK-interest arrangements. To the extent OID</w:t>
      </w:r>
    </w:p>
    <w:p>
      <w:pPr>
        <w:spacing w:after="0" w:line="2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or PIK-interest constitutes a portion of our income, we are exposed to typical risks associated with such income being required to be included in taxable and accounting income prior to receipt of cash, including the following:</w:t>
      </w:r>
    </w:p>
    <w:p>
      <w:pPr>
        <w:spacing w:after="0" w:line="91" w:lineRule="exact"/>
        <w:rPr>
          <w:sz w:val="20"/>
          <w:szCs w:val="20"/>
          <w:color w:val="auto"/>
        </w:rPr>
      </w:pPr>
    </w:p>
    <w:p>
      <w:pPr>
        <w:ind w:left="1080" w:right="20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expect to control many of our portfolio companies.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2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Prepayments of our debt investments by our portfolio companies could adversely impact our results of operations and reduce our return on equity.</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2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our primary investments are deemed not to be qualifying assets, we could be precluded from investing in our desired manner or deemed to be in violation of the 1940 Act.</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order to maintain our status as a BDC, we may not acquire any assets other than “qualifying assets” unless, at the time of and after giving effect to such acquisition, at least 70.0%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ectPr>
          <w:pgSz w:w="11900" w:h="16838" w:orient="portrait"/>
          <w:cols w:equalWidth="0" w:num="1">
            <w:col w:w="11120"/>
          </w:cols>
          <w:pgMar w:left="320" w:top="459"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30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6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285"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Shares of closed-end investment companies, including business development companies, frequently trade at a discount to their net asset value.</w:t>
      </w:r>
    </w:p>
    <w:p>
      <w:pPr>
        <w:spacing w:after="0" w:line="14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4, 2020 our stockholders voted to allow us to sell or otherwise issue common stock at a price below net asset value per share for a period of one year ending on the earlier of June 20, 2021 or the date of our 2021 Annual Meeting of Stockholders. We expect to present to our stockholders a similar proposal at our 2021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conditions may increase the risks associated with our business and an investment in us.</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current worldwide financial market situation may contribute to increased market volatility, may have long-term effects on the U.S. and worldwide financial markets and may cause economic uncertainties or deterioration in the U.S.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On June 4, 2020,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20, 2021 or the date of our 2021 Annual Meeting of Stockholders. Our stockholders will be asked to vote on a similar proposal at our 2021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net asset value may have changed significantly since our last valuation.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2020 is less than the fair value was at the time of an offering during 2020,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2020 is greater than the fair value at the time of an offering during 2020,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2020, the market price of our common stock may fluctuate materially, and may be substantially less than the price per share you pay for our common stock in an offering.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securities may fluctuate significantly.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80" w:right="8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status as an SBIC for the Funds, or any other SBIC subsidiary we may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departure of our investment advisor’s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in our securities may involve an above average degree of risk.</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substantial amounts of our common stock may have an adverse effect on the market price of our common stock.</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February 23, 2021, we had 24,437,400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issue preferred stock and/or debt securities, the net asset value and market value of our common stock may become more volatile.</w:t>
      </w:r>
    </w:p>
    <w:p>
      <w:pPr>
        <w:spacing w:after="0" w:line="14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8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our charter and bylaws could deter takeover attempts and have an adverse effect on the price of our common stock.</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w:t>
      </w:r>
    </w:p>
    <w:p>
      <w:pPr>
        <w:sectPr>
          <w:pgSz w:w="11900" w:h="16838" w:orient="portrait"/>
          <w:cols w:equalWidth="0" w:num="1">
            <w:col w:w="11120"/>
          </w:cols>
          <w:pgMar w:left="320" w:top="459" w:right="459" w:bottom="534"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534"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See “Description of Our Capital Stock - Business Combinations.” Maryland law may discourage third parties from trying to acquire control of us and increase the difficulty of consummating such an offer.</w:t>
      </w:r>
    </w:p>
    <w:p>
      <w:pPr>
        <w:spacing w:after="0" w:line="18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26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3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227 West Trade Street, Suite 1910, Charlotte, North Carolina 28202, and 1140 Avenue of the Americas, 21</w:t>
      </w:r>
      <w:r>
        <w:rPr>
          <w:rFonts w:ascii="Arial" w:cs="Arial" w:eastAsia="Arial" w:hAnsi="Arial"/>
          <w:sz w:val="13"/>
          <w:szCs w:val="13"/>
          <w:color w:val="auto"/>
        </w:rPr>
        <w:t>st</w:t>
      </w:r>
      <w:r>
        <w:rPr>
          <w:rFonts w:ascii="Arial" w:cs="Arial" w:eastAsia="Arial" w:hAnsi="Arial"/>
          <w:sz w:val="16"/>
          <w:szCs w:val="16"/>
          <w:color w:val="auto"/>
        </w:rPr>
        <w:t xml:space="preserve"> Floor, New York, New York 10036. We believe that our office facilities are suitable and adequate to our business as we contemplate conducting it.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common stock began trading on June 21, 2011 on the NASDAQ Global Market under the symbol “FDUS.” Effective January 3, 2012, our common stock was included in the NASDAQ Global Select Market. The last reported price for our common stock on February 23, 2021 was $14.40 per share. As of February 23, 2021, we had 20 stockholders of record.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intend to continue to pay quarterly distributions to our stockholders. Our distributions may include returns of paid-in capital, as well as declared dividends from earnings and profits. Our quarterly distributions, if any, are determined by our board of directors. We have elected to be taxed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February 9, 2021, our board of directors declared a regular quarterly dividend of $0.31 per share and a supplemental dividend of $0.07 per share payable on March 26, 2021 to holders of record as of March 12, 2021.</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spacing w:after="0" w:line="14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95"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To maintain our tax treatment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 (3) any net ordinary income and capital gain net income that we recognized for preceding years, but were not distributed during such years,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“Material U.S. Federal Income Tax Considerations”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“Regulation” and “Material U.S. Federal Income Tax Considerations.”</w:t>
      </w:r>
    </w:p>
    <w:p>
      <w:pPr>
        <w:spacing w:after="0" w:line="18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the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ectPr>
          <w:pgSz w:w="11900" w:h="16838" w:orient="portrait"/>
          <w:cols w:equalWidth="0" w:num="1">
            <w:col w:w="11140"/>
          </w:cols>
          <w:pgMar w:left="320" w:top="459" w:right="439" w:bottom="1440" w:gutter="0" w:footer="0" w:header="0"/>
        </w:sectPr>
      </w:pP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40"/>
          </w:cols>
          <w:pgMar w:left="32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Distributions in excess of our current and accumulated profits and earnings would be treated first as a return of capital to the extent of the stockholder’s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tax character of distributions declared and paid in 2020 is described in Note 12 to our consolidated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graph compares the stockholder return on our common stock from December 31, 2015 to December 31, 2020 with that of the Russell 2000 Financial Services Index and the Standard &amp; Poor’s 500 Total Return Stock Index. This graph assumes that on December 31, 2015,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130810</wp:posOffset>
            </wp:positionV>
            <wp:extent cx="5812155" cy="3094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12155"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our outstanding classes of securities as of December 31,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(c) Amount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d) Amount</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(b) Amount</w:t>
            </w: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Held by us</w:t>
            </w:r>
          </w:p>
        </w:tc>
        <w:tc>
          <w:tcPr>
            <w:tcW w:w="196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5"/>
              </w:rPr>
              <w:t>Outstanding Exclusive</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2"/>
              </w:rPr>
              <w:t>(a) Title of Class</w:t>
            </w:r>
          </w:p>
        </w:tc>
        <w:tc>
          <w:tcPr>
            <w:tcW w:w="200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or for Our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 Amounts Shown</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5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240" w:type="dxa"/>
            <w:vAlign w:val="bottom"/>
          </w:tcPr>
          <w:p>
            <w:pPr>
              <w:spacing w:after="0"/>
              <w:rPr>
                <w:sz w:val="15"/>
                <w:szCs w:val="15"/>
                <w:color w:val="auto"/>
              </w:rPr>
            </w:pPr>
          </w:p>
        </w:tc>
        <w:tc>
          <w:tcPr>
            <w:tcW w:w="700" w:type="dxa"/>
            <w:vAlign w:val="bottom"/>
          </w:tcPr>
          <w:p>
            <w:pPr>
              <w:jc w:val="right"/>
              <w:ind w:right="18"/>
              <w:spacing w:after="0" w:line="158" w:lineRule="exact"/>
              <w:rPr>
                <w:sz w:val="20"/>
                <w:szCs w:val="20"/>
                <w:color w:val="auto"/>
              </w:rPr>
            </w:pPr>
            <w:r>
              <w:rPr>
                <w:rFonts w:ascii="Arial" w:cs="Arial" w:eastAsia="Arial" w:hAnsi="Arial"/>
                <w:sz w:val="14"/>
                <w:szCs w:val="14"/>
                <w:b w:val="1"/>
                <w:bCs w:val="1"/>
                <w:color w:val="auto"/>
              </w:rPr>
              <w:t>Account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Under (c)</w:t>
            </w: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8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100,000,000</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24,437,400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3340" w:type="dxa"/>
            <w:vAlign w:val="bottom"/>
            <w:gridSpan w:val="3"/>
          </w:tcPr>
          <w:p>
            <w:pPr>
              <w:ind w:left="1820"/>
              <w:spacing w:after="0"/>
              <w:rPr>
                <w:sz w:val="20"/>
                <w:szCs w:val="20"/>
                <w:color w:val="auto"/>
              </w:rPr>
            </w:pPr>
            <w:r>
              <w:rPr>
                <w:rFonts w:ascii="Arial" w:cs="Arial" w:eastAsia="Arial" w:hAnsi="Arial"/>
                <w:sz w:val="18"/>
                <w:szCs w:val="18"/>
                <w:color w:val="auto"/>
              </w:rPr>
              <w:t xml:space="preserve">$325.0 million </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147.0 million</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3340" w:type="dxa"/>
            <w:vAlign w:val="bottom"/>
            <w:gridSpan w:val="3"/>
            <w:shd w:val="clear" w:color="auto" w:fill="CCEEFF"/>
          </w:tcPr>
          <w:p>
            <w:pPr>
              <w:jc w:val="center"/>
              <w:ind w:left="1270"/>
              <w:spacing w:after="0"/>
              <w:rPr>
                <w:sz w:val="20"/>
                <w:szCs w:val="20"/>
                <w:color w:val="auto"/>
              </w:rPr>
            </w:pPr>
            <w:r>
              <w:rPr>
                <w:rFonts w:ascii="Arial" w:cs="Arial" w:eastAsia="Arial" w:hAnsi="Arial"/>
                <w:sz w:val="18"/>
                <w:szCs w:val="18"/>
                <w:color w:val="auto"/>
                <w:w w:val="95"/>
              </w:rPr>
              <w:t>$100.0 million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Notes</w:t>
            </w:r>
          </w:p>
        </w:tc>
        <w:tc>
          <w:tcPr>
            <w:tcW w:w="334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$307.3 million</w:t>
            </w:r>
          </w:p>
        </w:tc>
        <w:tc>
          <w:tcPr>
            <w:tcW w:w="24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307.3 million</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3"/>
          <w:szCs w:val="13"/>
          <w:color w:val="auto"/>
        </w:rPr>
      </w:pPr>
      <w:r>
        <w:rPr>
          <w:rFonts w:ascii="Arial" w:cs="Arial" w:eastAsia="Arial" w:hAnsi="Arial"/>
          <w:sz w:val="16"/>
          <w:szCs w:val="16"/>
          <w:color w:val="auto"/>
        </w:rPr>
        <w:t>For more information regarding our limitations as to SBA debenture issuances, see “Regulation — Small Business Administration Regulations.”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 transaction expenses:</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Sales load (as a percentage of offering price)</w:t>
            </w:r>
          </w:p>
        </w:tc>
        <w:tc>
          <w:tcPr>
            <w:tcW w:w="5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Expenses born by us (as a percentage of offering price)</w:t>
            </w: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Dividend reinvestment plan expenses</w:t>
            </w:r>
          </w:p>
        </w:tc>
        <w:tc>
          <w:tcPr>
            <w:tcW w:w="5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 transaction expenses paid by us (as a percentage of offering price)</w:t>
            </w: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Annual expenses (as a percentage of net assets attributable to common stock) </w:t>
            </w:r>
            <w:r>
              <w:rPr>
                <w:rFonts w:ascii="Arial" w:cs="Arial" w:eastAsia="Arial" w:hAnsi="Arial"/>
                <w:sz w:val="12"/>
                <w:szCs w:val="12"/>
                <w:b w:val="1"/>
                <w:bCs w:val="1"/>
                <w:color w:val="auto"/>
              </w:rPr>
              <w:t>(5)</w:t>
            </w:r>
            <w:r>
              <w:rPr>
                <w:rFonts w:ascii="Arial" w:cs="Arial" w:eastAsia="Arial" w:hAnsi="Arial"/>
                <w:sz w:val="14"/>
                <w:szCs w:val="14"/>
                <w:b w:val="1"/>
                <w:bCs w:val="1"/>
                <w:color w:val="auto"/>
              </w:rPr>
              <w:t xml:space="preserve"> :</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Incentive fees, net of income incentive fee waiver, payable under Investment Advisory Agreement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annual expenses</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12.53%</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3"/>
          <w:szCs w:val="13"/>
          <w:color w:val="auto"/>
        </w:rPr>
      </w:pPr>
      <w:r>
        <w:rPr>
          <w:rFonts w:ascii="Arial" w:cs="Arial" w:eastAsia="Arial" w:hAnsi="Arial"/>
          <w:sz w:val="16"/>
          <w:szCs w:val="16"/>
          <w:color w:val="auto"/>
        </w:rPr>
        <w:t>In the event that securities are sold to or through underwriters, a corresponding prospectus supplement will disclose the applicable sales load.</w:t>
      </w:r>
    </w:p>
    <w:p>
      <w:pPr>
        <w:spacing w:after="0" w:line="46" w:lineRule="exact"/>
        <w:rPr>
          <w:rFonts w:ascii="Arial" w:cs="Arial" w:eastAsia="Arial" w:hAnsi="Arial"/>
          <w:sz w:val="13"/>
          <w:szCs w:val="13"/>
          <w:color w:val="auto"/>
        </w:rPr>
      </w:pPr>
    </w:p>
    <w:p>
      <w:pPr>
        <w:ind w:left="540" w:right="480" w:hanging="424"/>
        <w:spacing w:after="0" w:line="25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In the event that we conduct an offering of any of our securities, a corresponding prospectus supplement will disclose the estimated offering expenses because they will be ultimately borne by the Company (and indirectly by our stockholders).</w:t>
      </w:r>
    </w:p>
    <w:p>
      <w:pPr>
        <w:ind w:left="540" w:hanging="424"/>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 expenses of administering our dividend reinvestment plan are included in other expenses.</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Total stockholder transaction expenses may include a sales load and will be disclosed in a future prospectus supplement, if any.</w:t>
      </w:r>
    </w:p>
    <w:p>
      <w:pPr>
        <w:spacing w:after="0" w:line="9"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Net assets attributable to common stock equals average net assets, which is calculated as the average of the net assets balances as of each quarter end during the year ended December 31, 2020 and the prior year end.</w:t>
      </w:r>
    </w:p>
    <w:p>
      <w:pPr>
        <w:ind w:left="540" w:right="20" w:hanging="424"/>
        <w:spacing w:after="0" w:line="265"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7"/>
          <w:szCs w:val="17"/>
          <w:color w:val="auto"/>
        </w:rPr>
        <w:t>Our base management fee is 1.75% of the average value of our total assets (other than cash and cash equivalents but including assets purchased with borrowed amounts). This item represents actual base management fees incurred for the year ended December 31, 2020. We may from time to time decide it is appropriate to change the terms of the Investment Advisory Agreement. Under the 1940 Act, any material change to our Investment Advisory Agreement must be submitted to stockholders for approval. The 3.29% reflected in the table is calculated on our net assets (rather than our total assets). See “Management and Other Agreements—Investment Advisory Agreement.”</w:t>
      </w:r>
    </w:p>
    <w:p>
      <w:pPr>
        <w:ind w:left="540" w:hanging="424"/>
        <w:spacing w:after="0"/>
        <w:tabs>
          <w:tab w:leader="none" w:pos="540" w:val="left"/>
        </w:tabs>
        <w:numPr>
          <w:ilvl w:val="0"/>
          <w:numId w:val="41"/>
        </w:numPr>
        <w:rPr>
          <w:rFonts w:ascii="Arial" w:cs="Arial" w:eastAsia="Arial" w:hAnsi="Arial"/>
          <w:sz w:val="13"/>
          <w:szCs w:val="13"/>
          <w:color w:val="auto"/>
        </w:rPr>
      </w:pPr>
      <w:r>
        <w:rPr>
          <w:rFonts w:ascii="Arial" w:cs="Arial" w:eastAsia="Arial" w:hAnsi="Arial"/>
          <w:sz w:val="16"/>
          <w:szCs w:val="16"/>
          <w:color w:val="auto"/>
        </w:rPr>
        <w:t>This item represents actual fees incurred on pre-incentive fee net investment income (income incentive fee) for the year ended December 31,</w:t>
      </w:r>
    </w:p>
    <w:p>
      <w:pPr>
        <w:spacing w:after="0" w:line="32" w:lineRule="exact"/>
        <w:rPr>
          <w:rFonts w:ascii="Arial" w:cs="Arial" w:eastAsia="Arial" w:hAnsi="Arial"/>
          <w:sz w:val="13"/>
          <w:szCs w:val="13"/>
          <w:color w:val="auto"/>
        </w:rPr>
      </w:pPr>
    </w:p>
    <w:p>
      <w:pPr>
        <w:ind w:left="540"/>
        <w:spacing w:after="0" w:line="292" w:lineRule="auto"/>
        <w:rPr>
          <w:rFonts w:ascii="Arial" w:cs="Arial" w:eastAsia="Arial" w:hAnsi="Arial"/>
          <w:sz w:val="13"/>
          <w:szCs w:val="13"/>
          <w:color w:val="auto"/>
        </w:rPr>
      </w:pPr>
      <w:r>
        <w:rPr>
          <w:rFonts w:ascii="Arial" w:cs="Arial" w:eastAsia="Arial" w:hAnsi="Arial"/>
          <w:sz w:val="16"/>
          <w:szCs w:val="16"/>
          <w:color w:val="auto"/>
        </w:rPr>
        <w:t>2020. As of December 31, 2020, there was no capital gains incentive fee payable (in cash), and accordingly no capital gains incentive fee amount has been included in the estimated expenses figure reflected in the table above. For the year ended December 31, 2020, we accrued capital gains incentive fees (reversal) of ($1.7) million in accordance with U.S. GAAP, which equals (0.43)% of net assets attributable to common stock; such amount has not been included in the estimated expenses figure reflected in the table above. For the year ended December 31, 2020, the Investment Advisor, in consultation with the Board, agreed to voluntarily waive $0.4 million of the income incentive fee.</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incentive fee consists of two parts:</w:t>
      </w:r>
    </w:p>
    <w:p>
      <w:pPr>
        <w:spacing w:after="0" w:line="117" w:lineRule="exact"/>
        <w:rPr>
          <w:sz w:val="20"/>
          <w:szCs w:val="20"/>
          <w:color w:val="auto"/>
        </w:rPr>
      </w:pPr>
    </w:p>
    <w:p>
      <w:pPr>
        <w:ind w:left="560" w:right="220"/>
        <w:spacing w:after="0" w:line="291" w:lineRule="auto"/>
        <w:rPr>
          <w:sz w:val="20"/>
          <w:szCs w:val="20"/>
          <w:color w:val="auto"/>
        </w:rPr>
      </w:pPr>
      <w:r>
        <w:rPr>
          <w:rFonts w:ascii="Arial" w:cs="Arial" w:eastAsia="Arial" w:hAnsi="Arial"/>
          <w:sz w:val="16"/>
          <w:szCs w:val="16"/>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58" w:lineRule="exact"/>
        <w:rPr>
          <w:sz w:val="20"/>
          <w:szCs w:val="20"/>
          <w:color w:val="auto"/>
        </w:rPr>
      </w:pPr>
    </w:p>
    <w:p>
      <w:pPr>
        <w:ind w:left="560" w:right="200"/>
        <w:spacing w:after="0" w:line="293" w:lineRule="auto"/>
        <w:rPr>
          <w:sz w:val="20"/>
          <w:szCs w:val="20"/>
          <w:color w:val="auto"/>
        </w:rPr>
      </w:pPr>
      <w:r>
        <w:rPr>
          <w:rFonts w:ascii="Arial" w:cs="Arial" w:eastAsia="Arial" w:hAnsi="Arial"/>
          <w:sz w:val="16"/>
          <w:szCs w:val="16"/>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 and Other Agreements—Investment Advisory Agreement.”</w:t>
      </w:r>
    </w:p>
    <w:p>
      <w:pPr>
        <w:spacing w:after="0" w:line="131" w:lineRule="exact"/>
        <w:rPr>
          <w:sz w:val="20"/>
          <w:szCs w:val="20"/>
          <w:color w:val="auto"/>
        </w:rPr>
      </w:pPr>
    </w:p>
    <w:p>
      <w:pPr>
        <w:ind w:left="540" w:right="40" w:hanging="424"/>
        <w:spacing w:after="0" w:line="252"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As of December 31, 2020, we had outstanding SBA debentures of $147.0 million; we had $307.3 million outstanding of our Notes; we had no outstanding borrowings under our senior secured revolving credit agreement with certain lenders party thereto and ING Capital, LLC, as administrative agent (the “Credit Facility”), which has total commitment of $100.0 million. Interest payments on borrowed funds is based on estimated annual interest and fee expenses on outstanding SBA debentures, Notes and borrowings under the Credit Facility as of December 31, 2020 with a weighted average stated interest rate of 4.680% as of that date. We also pay a commitment fee between 0.5% and 3.0%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3" w:lineRule="exact"/>
        <w:rPr>
          <w:rFonts w:ascii="Arial" w:cs="Arial" w:eastAsia="Arial" w:hAnsi="Arial"/>
          <w:sz w:val="15"/>
          <w:szCs w:val="15"/>
          <w:color w:val="auto"/>
        </w:rPr>
      </w:pPr>
    </w:p>
    <w:p>
      <w:pPr>
        <w:ind w:left="540" w:right="120" w:hanging="424"/>
        <w:spacing w:after="0" w:line="265"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7"/>
          <w:szCs w:val="17"/>
          <w:color w:val="auto"/>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“Management and Other Agreements—Administration Agreement.” Other expenses exclude interest payments on borrowed funds, and if we issue debt securities or preferred stock, interest payments on debt securities and distributions with respect to preferred stock. “Other expenses” are based on actual other expenses for the year ended December 31, 2020.</w:t>
      </w:r>
    </w:p>
    <w:p>
      <w:pPr>
        <w:ind w:left="540" w:right="120" w:hanging="424"/>
        <w:spacing w:after="0" w:line="292" w:lineRule="auto"/>
        <w:tabs>
          <w:tab w:leader="none" w:pos="540" w:val="left"/>
        </w:tabs>
        <w:numPr>
          <w:ilvl w:val="0"/>
          <w:numId w:val="42"/>
        </w:numPr>
        <w:rPr>
          <w:rFonts w:ascii="Arial" w:cs="Arial" w:eastAsia="Arial" w:hAnsi="Arial"/>
          <w:sz w:val="13"/>
          <w:szCs w:val="13"/>
          <w:color w:val="auto"/>
        </w:rPr>
      </w:pPr>
      <w:r>
        <w:rPr>
          <w:rFonts w:ascii="Arial" w:cs="Arial" w:eastAsia="Arial" w:hAnsi="Arial"/>
          <w:sz w:val="16"/>
          <w:szCs w:val="16"/>
          <w:color w:val="auto"/>
        </w:rPr>
        <w:t>“Total annual expenses” as a percentage of consolidated net assets attributable to common stock are higher than the total annual expenses percentage would be for a company that is not leveraged. We borrow money to leverage our net assets and increase our total assets. The SEC requires that the “total annual expenses” percentage be calculated as a percentage of net assets (defined as total assets less total liabilities), rather than the total assets, including assets that have been purchased with borrowed amounts. If the “total annual expenses” percentage were calculated instead as a percentage of average consolidated total assets, our “total annual expenses” would be 6.27% of average consolidated total assets.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3 years</w:t>
            </w:r>
          </w:p>
        </w:tc>
        <w:tc>
          <w:tcPr>
            <w:tcW w:w="1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42"/>
        </w:trPr>
        <w:tc>
          <w:tcPr>
            <w:tcW w:w="7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You would pay the following expenses on a $1,000 investment, assuming a 5.0% annual return</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914</w:t>
            </w:r>
          </w:p>
        </w:tc>
        <w:tc>
          <w:tcPr>
            <w:tcW w:w="40" w:type="dxa"/>
            <w:vAlign w:val="bottom"/>
            <w:tcBorders>
              <w:top w:val="single" w:sz="8" w:color="CCEEFF"/>
            </w:tcBorders>
            <w:shd w:val="clear" w:color="auto" w:fill="CCEEFF"/>
          </w:tcPr>
          <w:p>
            <w:pPr>
              <w:spacing w:after="0"/>
              <w:rPr>
                <w:sz w:val="12"/>
                <w:szCs w:val="12"/>
                <w:color w:val="auto"/>
              </w:rPr>
            </w:pPr>
          </w:p>
        </w:tc>
      </w:tr>
      <w:tr>
        <w:trPr>
          <w:trHeight w:val="130"/>
        </w:trPr>
        <w:tc>
          <w:tcPr>
            <w:tcW w:w="7820" w:type="dxa"/>
            <w:vAlign w:val="bottom"/>
          </w:tcPr>
          <w:p>
            <w:pPr>
              <w:spacing w:after="0" w:line="130" w:lineRule="exact"/>
              <w:rPr>
                <w:sz w:val="20"/>
                <w:szCs w:val="20"/>
                <w:color w:val="auto"/>
              </w:rPr>
            </w:pPr>
            <w:r>
              <w:rPr>
                <w:rFonts w:ascii="Arial" w:cs="Arial" w:eastAsia="Arial" w:hAnsi="Arial"/>
                <w:sz w:val="14"/>
                <w:szCs w:val="14"/>
                <w:color w:val="auto"/>
                <w:w w:val="97"/>
              </w:rPr>
              <w:t>You would pay the following expenses on a $1,000 investment, assuming a 5.0% annual return resulting entirely from net realized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2"/>
        </w:trPr>
        <w:tc>
          <w:tcPr>
            <w:tcW w:w="7820" w:type="dxa"/>
            <w:vAlign w:val="bottom"/>
          </w:tcPr>
          <w:p>
            <w:pPr>
              <w:ind w:left="140"/>
              <w:spacing w:after="0"/>
              <w:rPr>
                <w:sz w:val="20"/>
                <w:szCs w:val="20"/>
                <w:color w:val="auto"/>
              </w:rPr>
            </w:pPr>
            <w:r>
              <w:rPr>
                <w:rFonts w:ascii="Arial" w:cs="Arial" w:eastAsia="Arial" w:hAnsi="Arial"/>
                <w:sz w:val="14"/>
                <w:szCs w:val="14"/>
                <w:color w:val="auto"/>
              </w:rPr>
              <w:t>capital gains (all of which is subject to our incentive fee on capital gains)</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135</w:t>
            </w:r>
          </w:p>
        </w:tc>
        <w:tc>
          <w:tcPr>
            <w:tcW w:w="32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372</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571</w:t>
            </w:r>
          </w:p>
        </w:tc>
        <w:tc>
          <w:tcPr>
            <w:tcW w:w="3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936</w:t>
            </w:r>
          </w:p>
        </w:tc>
      </w:tr>
    </w:tbl>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19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engage in any sales of unregistered securities during the fiscal year ended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During the years ended December 31, 2020 and 2018, we repurchased 25,719 and 44,821 shares of common stock on the open market for $0.3 and $0.6 million, respectively. We did not make any repurchases of common stock during the year ended December 31, 2019. Refer to Note 9 to our consolidated financial statements for additional information concerning stock repurchases.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following selected consolidated financial data of FIC and its subsidiaries, including the Funds, as of and for the years ended December 31, 2020, 2019, 2018, 2017, and 2016, is derived from the consolidated financial statements that have been audited by RSM US LLP, an independent registered public accounting firm. This financial data should be read in conjunction with our consolidated financial statements and the notes thereto included elsewhere in this Annual Report and with Management’s Discussion and Analysis of Financial Condition and Results of Operations which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14"/>
          </w:tcPr>
          <w:p>
            <w:pPr>
              <w:jc w:val="right"/>
              <w:spacing w:after="0" w:line="142" w:lineRule="exact"/>
              <w:rPr>
                <w:sz w:val="20"/>
                <w:szCs w:val="20"/>
                <w:color w:val="auto"/>
              </w:rPr>
            </w:pPr>
            <w:r>
              <w:rPr>
                <w:rFonts w:ascii="Arial" w:cs="Arial" w:eastAsia="Arial" w:hAnsi="Arial"/>
                <w:sz w:val="14"/>
                <w:szCs w:val="14"/>
                <w:i w:val="1"/>
                <w:iCs w:val="1"/>
                <w:color w:val="auto"/>
              </w:rPr>
              <w:t>(Dollars in Thousands, Except Per Share Data)</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Total investment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85,123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77,106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76,425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68,615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60,229</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and financing expenses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19,678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17,072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12,659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10,594</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Base management fee</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12,932</w:t>
            </w: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12,399</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11,365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8,254</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Incentive fee - income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8,952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7,445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7,375</w:t>
            </w:r>
          </w:p>
        </w:tc>
      </w:tr>
      <w:tr>
        <w:trPr>
          <w:trHeight w:val="149"/>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Incentive fee - capital gains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(1,684)</w:t>
            </w: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3,299</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2,294</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All other expenses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5,158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4,422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3,986</w:t>
            </w:r>
          </w:p>
        </w:tc>
      </w:tr>
      <w:tr>
        <w:trPr>
          <w:trHeight w:val="155"/>
        </w:trPr>
        <w:tc>
          <w:tcPr>
            <w:tcW w:w="7200" w:type="dxa"/>
            <w:vAlign w:val="bottom"/>
          </w:tcPr>
          <w:p>
            <w:pPr>
              <w:ind w:left="280"/>
              <w:spacing w:after="0" w:line="155" w:lineRule="exact"/>
              <w:rPr>
                <w:sz w:val="20"/>
                <w:szCs w:val="20"/>
                <w:color w:val="auto"/>
              </w:rPr>
            </w:pPr>
            <w:r>
              <w:rPr>
                <w:rFonts w:ascii="Arial" w:cs="Arial" w:eastAsia="Arial" w:hAnsi="Arial"/>
                <w:sz w:val="14"/>
                <w:szCs w:val="14"/>
                <w:color w:val="auto"/>
              </w:rPr>
              <w:t>Total expenses before income incentive fee waiver</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45,036</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w w:val="83"/>
              </w:rPr>
              <w:t>44,637</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40,647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34,628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32,503</w:t>
            </w:r>
          </w:p>
        </w:tc>
        <w:tc>
          <w:tcPr>
            <w:tcW w:w="180" w:type="dxa"/>
            <w:vAlign w:val="bottom"/>
          </w:tcPr>
          <w:p>
            <w:pPr>
              <w:spacing w:after="0"/>
              <w:rPr>
                <w:sz w:val="13"/>
                <w:szCs w:val="13"/>
                <w:color w:val="auto"/>
              </w:rPr>
            </w:pPr>
          </w:p>
        </w:tc>
      </w:tr>
      <w:tr>
        <w:trPr>
          <w:trHeight w:val="149"/>
        </w:trPr>
        <w:tc>
          <w:tcPr>
            <w:tcW w:w="72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Incentive fee waiver - income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63"/>
        </w:trPr>
        <w:tc>
          <w:tcPr>
            <w:tcW w:w="7200" w:type="dxa"/>
            <w:vAlign w:val="bottom"/>
          </w:tcPr>
          <w:p>
            <w:pPr>
              <w:ind w:left="280"/>
              <w:spacing w:after="0" w:line="155" w:lineRule="exact"/>
              <w:rPr>
                <w:sz w:val="20"/>
                <w:szCs w:val="20"/>
                <w:color w:val="auto"/>
              </w:rPr>
            </w:pPr>
            <w:r>
              <w:rPr>
                <w:rFonts w:ascii="Arial" w:cs="Arial" w:eastAsia="Arial" w:hAnsi="Arial"/>
                <w:sz w:val="14"/>
                <w:szCs w:val="14"/>
                <w:color w:val="auto"/>
              </w:rPr>
              <w:t>Total expenses, net of income incentive fee waiver</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44,613</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3"/>
              </w:rPr>
              <w:t>44,637</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40,647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34,628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32,503</w:t>
            </w:r>
          </w:p>
        </w:tc>
        <w:tc>
          <w:tcPr>
            <w:tcW w:w="180" w:type="dxa"/>
            <w:vAlign w:val="bottom"/>
          </w:tcPr>
          <w:p>
            <w:pPr>
              <w:spacing w:after="0"/>
              <w:rPr>
                <w:sz w:val="14"/>
                <w:szCs w:val="14"/>
                <w:color w:val="auto"/>
              </w:rPr>
            </w:pP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investment income before income taxes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40,510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32,469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35,778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33,987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27,726</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r>
      <w:tr>
        <w:trPr>
          <w:trHeight w:val="27"/>
        </w:trPr>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49"/>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39,648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31,969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35,058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33,767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27,301</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Net realized gains (losses)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(968)</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(1,171)</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(10,269)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17,904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(13,835)</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(6,578)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18,188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25,718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(5,426)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29,009</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Income tax (provision) benefit from realized gains on investments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(577)</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(2,204)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56"/>
        </w:trPr>
        <w:tc>
          <w:tcPr>
            <w:tcW w:w="7200" w:type="dxa"/>
            <w:vAlign w:val="bottom"/>
          </w:tcPr>
          <w:p>
            <w:pPr>
              <w:ind w:left="280"/>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31,226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3"/>
              </w:rPr>
              <w:t>48,466</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49,452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43,951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42,270</w:t>
            </w:r>
          </w:p>
        </w:tc>
        <w:tc>
          <w:tcPr>
            <w:tcW w:w="18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(at end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16.81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15.76</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Net gain (loss) on investments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0.82</w:t>
            </w:r>
          </w:p>
        </w:tc>
      </w:tr>
      <w:tr>
        <w:trPr>
          <w:trHeight w:val="149"/>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9"/>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2.27</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r>
      <w:tr>
        <w:trPr>
          <w:trHeight w:val="148"/>
        </w:trPr>
        <w:tc>
          <w:tcPr>
            <w:tcW w:w="7200" w:type="dxa"/>
            <w:vAlign w:val="bottom"/>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Weighted average annual yield on debt investments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r>
      <w:tr>
        <w:trPr>
          <w:trHeight w:val="148"/>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Number of portfolio companies at year end</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Expense ratios (as percentage of average net assets </w:t>
            </w:r>
            <w:r>
              <w:rPr>
                <w:rFonts w:ascii="Arial" w:cs="Arial" w:eastAsia="Arial" w:hAnsi="Arial"/>
                <w:sz w:val="12"/>
                <w:szCs w:val="12"/>
                <w:color w:val="auto"/>
              </w:rPr>
              <w:t>(2)</w:t>
            </w: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7200" w:type="dxa"/>
            <w:vAlign w:val="bottom"/>
          </w:tcPr>
          <w:p>
            <w:pPr>
              <w:ind w:left="580"/>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w:t>
            </w:r>
          </w:p>
        </w:tc>
      </w:tr>
      <w:tr>
        <w:trPr>
          <w:trHeight w:val="148"/>
        </w:trPr>
        <w:tc>
          <w:tcPr>
            <w:tcW w:w="72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r>
      <w:tr>
        <w:trPr>
          <w:trHeight w:val="149"/>
        </w:trPr>
        <w:tc>
          <w:tcPr>
            <w:tcW w:w="720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Total return based on market value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w:t>
            </w:r>
          </w:p>
        </w:tc>
      </w:tr>
      <w:tr>
        <w:trPr>
          <w:trHeight w:val="148"/>
        </w:trPr>
        <w:tc>
          <w:tcPr>
            <w:tcW w:w="7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Total return based on net asset value </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r>
    </w:tbl>
    <w:p>
      <w:pPr>
        <w:spacing w:after="0" w:line="103" w:lineRule="exact"/>
        <w:rPr>
          <w:sz w:val="20"/>
          <w:szCs w:val="20"/>
          <w:color w:val="auto"/>
        </w:rPr>
      </w:pPr>
    </w:p>
    <w:p>
      <w:pPr>
        <w:ind w:left="540" w:right="240" w:hanging="424"/>
        <w:spacing w:after="0" w:line="244"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Weighted average yields are computed using the effective interest rates for debt investments at cost as of the period end date, including accretion of original issue discount and loan origination fees, but excluding investments on non-accrual status, if any. The weighted average yield of our debt investments is not the same as a return on investment for our stockholders but, rather, relates to a portion of our investment portfolio and is calculated before the payment of all of our and our subsidiaries’ fees and expenses.</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jc w:val="both"/>
        <w:ind w:left="540" w:right="2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540" w:right="40" w:hanging="424"/>
        <w:spacing w:after="0" w:line="232"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6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gridSpan w:val="3"/>
          </w:tcPr>
          <w:p>
            <w:pPr>
              <w:jc w:val="center"/>
              <w:spacing w:after="0" w:line="142" w:lineRule="exact"/>
              <w:rPr>
                <w:sz w:val="20"/>
                <w:szCs w:val="20"/>
                <w:color w:val="auto"/>
              </w:rPr>
            </w:pPr>
            <w:r>
              <w:rPr>
                <w:rFonts w:ascii="Arial" w:cs="Arial" w:eastAsia="Arial" w:hAnsi="Arial"/>
                <w:sz w:val="14"/>
                <w:szCs w:val="14"/>
                <w:i w:val="1"/>
                <w:iCs w:val="1"/>
                <w:color w:val="auto"/>
                <w:w w:val="95"/>
              </w:rPr>
              <w:t>(Dollars in Thousands)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w:t>
            </w: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7600" w:type="dxa"/>
            <w:vAlign w:val="bottom"/>
          </w:tcPr>
          <w:p>
            <w:pPr>
              <w:ind w:left="280"/>
              <w:spacing w:after="0" w:line="149" w:lineRule="exact"/>
              <w:rPr>
                <w:sz w:val="20"/>
                <w:szCs w:val="20"/>
                <w:color w:val="auto"/>
              </w:rPr>
            </w:pPr>
            <w:r>
              <w:rPr>
                <w:rFonts w:ascii="Arial" w:cs="Arial" w:eastAsia="Arial" w:hAnsi="Arial"/>
                <w:sz w:val="14"/>
                <w:szCs w:val="14"/>
                <w:color w:val="auto"/>
              </w:rPr>
              <w:t>Total investments, fair value</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2"/>
              </w:rPr>
              <w:t>$742,869</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$766,919</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$642,982</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$596,308</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$524,454</w:t>
            </w:r>
          </w:p>
        </w:tc>
      </w:tr>
      <w:tr>
        <w:trPr>
          <w:trHeight w:val="148"/>
        </w:trPr>
        <w:tc>
          <w:tcPr>
            <w:tcW w:w="7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assets</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875,740</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789,439</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693,876</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646,263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586,742</w:t>
            </w:r>
          </w:p>
        </w:tc>
      </w:tr>
      <w:tr>
        <w:trPr>
          <w:trHeight w:val="149"/>
        </w:trPr>
        <w:tc>
          <w:tcPr>
            <w:tcW w:w="760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(5)</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454,250</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364,750</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277,500</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242,800</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224,000</w:t>
            </w:r>
          </w:p>
        </w:tc>
      </w:tr>
      <w:tr>
        <w:trPr>
          <w:trHeight w:val="148"/>
        </w:trPr>
        <w:tc>
          <w:tcPr>
            <w:tcW w:w="7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net assets</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410,760</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412,310</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402,985</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393,273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353,785</w:t>
            </w:r>
          </w:p>
        </w:tc>
      </w:tr>
    </w:tbl>
    <w:p>
      <w:pPr>
        <w:spacing w:after="0" w:line="103"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principal balance outstanding.</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8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restricting travel and hospitality, and temporarily closing or limiting operations at many corporate offices, retail stores, restaurants, fitness clubs and manufacturing facilities and factories in affected jurisdictions.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company decisions to delay, defer and/or modify the character of dividends in order to preserve liquidity, increased costs of operations, changes in law and/or regulation, and uncertainty regarding government and regulatory policy.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evaluated subsequent events from January 2, 2021 to February 25, 2021. However, as the discussion in this Item 7. Management’s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Discussion and Analysis of Financial Condition and Results of Operations relates to the Company’s financial statements for the year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the analysis contained herein may not fully account for impacts relating to the COVID-19 pandemic. In that regard, for example,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December 31, 2020, the Company valued its portfolio investments in conformity with GAAP based on the facts and circumstances known by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at that time, or reasonably expected to be known at that time. Due to the overall volatility that the COVID-19 pandemic has caused during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months that followed our December 31, 2020 valuation, any valuations conducted now or in the future in conformity with GAAP could result in a lower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fair value of our portfolio. The potential impact to our results going forward will depend to a large extent on future developments and new information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may emerge regarding the duration and severity of COVID-19 and the actions taken by authorities and other entities to contain the coronavirus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treat its impact, all of which are beyond our control. Accordingly, the Company cannot predict the extent to which its financial condition and results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 will be affected at this time.</w:t>
      </w:r>
    </w:p>
    <w:p>
      <w:pPr>
        <w:spacing w:after="0" w:line="21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82"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ectPr>
          <w:pgSz w:w="11900" w:h="16838" w:orient="portrait"/>
          <w:cols w:equalWidth="0" w:num="1">
            <w:col w:w="11140"/>
          </w:cols>
          <w:pgMar w:left="320" w:top="459"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40"/>
          </w:cols>
          <w:pgMar w:left="32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years ended December 31, 2020 and 2019, we invested $190.0 million and $219.2 million in debt and equity investments, respectively, including 12 and 12 new portfolio companies, respectively. During the years ended December 31, 2020 and 2019, we received proceeds from sales or repayments, including principal, return of capital dividends and net realized gains (losses), of $210.8 million and $120.6 million, respectively, including exits of 7 and 11 portfolio companies, respectively. The following table summarizes investment purchases and sales and repayments of investments by type for the years ended December 31, 2020 and 2019 (dollars in millions).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87"/>
              </w:rPr>
              <w:t>Purchases of Investments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11"/>
          </w:tcPr>
          <w:p>
            <w:pPr>
              <w:jc w:val="right"/>
              <w:ind w:right="340"/>
              <w:spacing w:after="0"/>
              <w:rPr>
                <w:sz w:val="20"/>
                <w:szCs w:val="20"/>
                <w:color w:val="auto"/>
              </w:rPr>
            </w:pPr>
            <w:r>
              <w:rPr>
                <w:rFonts w:ascii="Arial" w:cs="Arial" w:eastAsia="Arial" w:hAnsi="Arial"/>
                <w:sz w:val="14"/>
                <w:szCs w:val="14"/>
                <w:b w:val="1"/>
                <w:bCs w:val="1"/>
                <w:color w:val="auto"/>
                <w:w w:val="90"/>
              </w:rPr>
              <w:t>Sales and Repayments of Investments</w:t>
            </w:r>
          </w:p>
        </w:tc>
      </w:tr>
      <w:tr>
        <w:trPr>
          <w:trHeight w:val="142"/>
        </w:trPr>
        <w:tc>
          <w:tcPr>
            <w:tcW w:w="5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Royalty Rights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219.2</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210.8</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120.6</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December 31, 2020, the fair value of our investment portfolio totaled $742.9 million and consisted of 66 active portfolio companies and three portfolio companies that have sold their underlying operations. As of December 31, 2020, 22 portfolio companies’ debt investments bore interest at a variable rate, which represented $230.9 million, or 36.8%, of our debt investment portfolio on a fair value basis, and the remainder of our debt investment portfolio was comprised of fixed rate investments. Overall, the portfolio had net unrealized appreciation of $55.8 million as of December 31, 2020. As of December 31, 2020, our average active portfolio company investment at amortized cost was $10.4 million, which excludes investments in the three portfolio companies that have sold their underlying operations.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December 31, 2019, the fair value of our investment portfolio totaled $766.9 million and consisted of 61 active portfolio companies and three portfolio companies that have sold their underlying operations. As of December 31, 2019, 17 portfolio companies’ debt investments bore interest at a variable rate, which represented $181.3 million, or 28.7%, of our debt investment portfolio on a fair value basis, and the remainder of our debt investment portfolio was comprised of fixed rate investments. Overall, the portfolio had net unrealized appreciation of $62.4 million as of December 31, 2019. As of December 31, 2019, our average active portfolio company investment at amortized cost was $11.5 million, which excludes investments in the three portfolio companies that have sold their underlying operations.</w:t>
      </w:r>
    </w:p>
    <w:p>
      <w:pPr>
        <w:spacing w:after="0" w:line="178"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weighted average yield on debt investments as of December 31, 2020 and 2019 was 12.2% and 12.0%,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2020 and 2019, including the accretion of OID and debt investment origination fees, but excluding investments on non-accrual status, if any. The following table shows the portfolio composition by investment type at fair value and cost and as a percentage of total investments (dollars in millions):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5400" w:type="dxa"/>
            <w:vAlign w:val="bottom"/>
          </w:tcPr>
          <w:p>
            <w:pPr>
              <w:spacing w:after="0"/>
              <w:rPr>
                <w:sz w:val="10"/>
                <w:szCs w:val="10"/>
                <w:color w:val="auto"/>
              </w:rPr>
            </w:pPr>
          </w:p>
        </w:tc>
        <w:tc>
          <w:tcPr>
            <w:tcW w:w="142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$383.1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$341.9</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49.7%</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$392.2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Subordinated Debt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107.9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140.8</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107.3</w:t>
            </w: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15.6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140.7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187.4</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26.9</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112.8</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7.3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58.1</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0.5</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Royalty Rights</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5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All investments made by us as of December 31, 2020 and 2019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$225.7</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$208.2</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$189.6</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Southeast</w:t>
            </w:r>
          </w:p>
        </w:tc>
        <w:tc>
          <w:tcPr>
            <w:tcW w:w="500" w:type="dxa"/>
            <w:vAlign w:val="bottom"/>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18.9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138.1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Borders>
              <w:left w:val="single" w:sz="8" w:color="CCEEFF"/>
            </w:tcBorders>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West</w:t>
            </w:r>
          </w:p>
        </w:tc>
        <w:tc>
          <w:tcPr>
            <w:tcW w:w="50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166.4</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following table shows the detailed industry composition of our portfolio at fair value and cost as a percentage of total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Cost</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5280" w:type="dxa"/>
            <w:vAlign w:val="bottom"/>
          </w:tcPr>
          <w:p>
            <w:pPr>
              <w:spacing w:after="0"/>
              <w:rPr>
                <w:sz w:val="10"/>
                <w:szCs w:val="10"/>
                <w:color w:val="auto"/>
              </w:rPr>
            </w:pPr>
          </w:p>
        </w:tc>
        <w:tc>
          <w:tcPr>
            <w:tcW w:w="8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540" w:type="dxa"/>
            <w:vAlign w:val="bottom"/>
            <w:gridSpan w:val="3"/>
            <w:shd w:val="clear" w:color="auto" w:fill="CCEEFF"/>
          </w:tcPr>
          <w:p>
            <w:pPr>
              <w:jc w:val="right"/>
              <w:ind w:right="465"/>
              <w:spacing w:after="0"/>
              <w:rPr>
                <w:sz w:val="20"/>
                <w:szCs w:val="20"/>
                <w:color w:val="auto"/>
              </w:rPr>
            </w:pPr>
            <w:r>
              <w:rPr>
                <w:rFonts w:ascii="Arial" w:cs="Arial" w:eastAsia="Arial" w:hAnsi="Arial"/>
                <w:sz w:val="18"/>
                <w:szCs w:val="18"/>
                <w:color w:val="auto"/>
              </w:rPr>
              <w:t>15.8%</w:t>
            </w:r>
          </w:p>
        </w:tc>
        <w:tc>
          <w:tcPr>
            <w:tcW w:w="154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16.9%</w:t>
            </w:r>
          </w:p>
        </w:tc>
        <w:tc>
          <w:tcPr>
            <w:tcW w:w="154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17.0%</w:t>
            </w:r>
          </w:p>
        </w:tc>
        <w:tc>
          <w:tcPr>
            <w:tcW w:w="112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18.3%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Healthcare Products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Healthcare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Consumer Products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Promotional Products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Utilities: Services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Packaging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97"/>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97"/>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Specialty Chemicals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405"/>
              <w:spacing w:after="0"/>
              <w:rPr>
                <w:sz w:val="20"/>
                <w:szCs w:val="20"/>
                <w:color w:val="auto"/>
              </w:rPr>
            </w:pPr>
            <w:r>
              <w:rPr>
                <w:rFonts w:ascii="Arial" w:cs="Arial" w:eastAsia="Arial" w:hAnsi="Arial"/>
                <w:sz w:val="15"/>
                <w:szCs w:val="15"/>
                <w:color w:val="auto"/>
                <w:w w:val="97"/>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404"/>
              <w:spacing w:after="0"/>
              <w:rPr>
                <w:sz w:val="20"/>
                <w:szCs w:val="20"/>
                <w:color w:val="auto"/>
              </w:rPr>
            </w:pPr>
            <w:r>
              <w:rPr>
                <w:rFonts w:ascii="Arial" w:cs="Arial" w:eastAsia="Arial" w:hAnsi="Arial"/>
                <w:sz w:val="15"/>
                <w:szCs w:val="15"/>
                <w:color w:val="auto"/>
                <w:w w:val="97"/>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406"/>
              <w:spacing w:after="0"/>
              <w:rPr>
                <w:sz w:val="20"/>
                <w:szCs w:val="20"/>
                <w:color w:val="auto"/>
              </w:rPr>
            </w:pPr>
            <w:r>
              <w:rPr>
                <w:rFonts w:ascii="Arial" w:cs="Arial" w:eastAsia="Arial" w:hAnsi="Arial"/>
                <w:sz w:val="15"/>
                <w:szCs w:val="15"/>
                <w:color w:val="auto"/>
                <w:w w:val="97"/>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(1)</w:t>
            </w:r>
          </w:p>
        </w:tc>
      </w:tr>
      <w:tr>
        <w:trPr>
          <w:trHeight w:val="27"/>
        </w:trPr>
        <w:tc>
          <w:tcPr>
            <w:tcW w:w="5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3"/>
            <w:shd w:val="clear" w:color="auto" w:fill="CCEEFF"/>
          </w:tcPr>
          <w:p>
            <w:pPr>
              <w:jc w:val="right"/>
              <w:ind w:right="465"/>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r>
      <w:tr>
        <w:trPr>
          <w:trHeight w:val="20"/>
        </w:trPr>
        <w:tc>
          <w:tcPr>
            <w:tcW w:w="5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9" w:lineRule="exact"/>
        <w:rPr>
          <w:sz w:val="20"/>
          <w:szCs w:val="20"/>
          <w:color w:val="auto"/>
        </w:rPr>
      </w:pPr>
    </w:p>
    <w:p>
      <w:pPr>
        <w:ind w:left="1080" w:right="3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9" w:lineRule="exact"/>
        <w:rPr>
          <w:rFonts w:ascii="Arial" w:cs="Arial" w:eastAsia="Arial" w:hAnsi="Arial"/>
          <w:sz w:val="18"/>
          <w:szCs w:val="18"/>
          <w:color w:val="auto"/>
        </w:rPr>
      </w:pPr>
    </w:p>
    <w:p>
      <w:pPr>
        <w:ind w:left="1080" w:right="760" w:hanging="424"/>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2020 and 2019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Investment Rating</w:t>
            </w:r>
          </w:p>
        </w:tc>
        <w:tc>
          <w:tcPr>
            <w:tcW w:w="426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3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0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40" w:type="dxa"/>
            <w:vAlign w:val="bottom"/>
            <w:tcBorders>
              <w:bottom w:val="single" w:sz="8" w:color="auto"/>
            </w:tcBorders>
            <w:vMerge w:val="continue"/>
          </w:tcPr>
          <w:p>
            <w:pPr>
              <w:spacing w:after="0"/>
              <w:rPr>
                <w:sz w:val="13"/>
                <w:szCs w:val="13"/>
                <w:color w:val="auto"/>
              </w:rPr>
            </w:pPr>
          </w:p>
        </w:tc>
        <w:tc>
          <w:tcPr>
            <w:tcW w:w="492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vMerge w:val="restart"/>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$109.3</w:t>
            </w:r>
          </w:p>
        </w:tc>
        <w:tc>
          <w:tcPr>
            <w:tcW w:w="14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7"/>
              </w:rPr>
              <w:t>$100.1</w:t>
            </w:r>
          </w:p>
        </w:tc>
        <w:tc>
          <w:tcPr>
            <w:tcW w:w="78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38.7</w:t>
            </w:r>
          </w:p>
        </w:tc>
        <w:tc>
          <w:tcPr>
            <w:tcW w:w="760" w:type="dxa"/>
            <w:vAlign w:val="bottom"/>
            <w:tcBorders>
              <w:left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29.0</w:t>
            </w: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544.4</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73.3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580.5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537.6</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570.1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78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4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687.0</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2020 and 2019 was 2.0 and 2.0, respectively, on a fair value basis and 2.2 and 2.1, respectively, on a cost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and December 31, 2019, we had debt investments in one portfolio company on non-accrual status (dollars in millions):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5140" w:type="dxa"/>
            <w:vAlign w:val="bottom"/>
            <w:vMerge w:val="restart"/>
          </w:tcPr>
          <w:p>
            <w:pPr>
              <w:spacing w:after="0"/>
              <w:rPr>
                <w:sz w:val="10"/>
                <w:szCs w:val="10"/>
                <w:color w:val="auto"/>
              </w:rPr>
            </w:pPr>
          </w:p>
        </w:tc>
        <w:tc>
          <w:tcPr>
            <w:tcW w:w="1600" w:type="dxa"/>
            <w:vAlign w:val="bottom"/>
          </w:tcPr>
          <w:p>
            <w:pPr>
              <w:spacing w:after="0"/>
              <w:rPr>
                <w:sz w:val="10"/>
                <w:szCs w:val="10"/>
                <w:color w:val="auto"/>
              </w:rPr>
            </w:pPr>
          </w:p>
        </w:tc>
        <w:tc>
          <w:tcPr>
            <w:tcW w:w="800" w:type="dxa"/>
            <w:vAlign w:val="bottom"/>
            <w:gridSpan w:val="2"/>
          </w:tcPr>
          <w:p>
            <w:pPr>
              <w:jc w:val="right"/>
              <w:ind w:right="404"/>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gridSpan w:val="2"/>
            <w:vMerge w:val="restart"/>
          </w:tcPr>
          <w:p>
            <w:pPr>
              <w:jc w:val="right"/>
              <w:ind w:right="264"/>
              <w:spacing w:after="0"/>
              <w:rPr>
                <w:sz w:val="20"/>
                <w:szCs w:val="20"/>
                <w:color w:val="auto"/>
              </w:rPr>
            </w:pPr>
            <w:r>
              <w:rPr>
                <w:rFonts w:ascii="Arial" w:cs="Arial" w:eastAsia="Arial" w:hAnsi="Arial"/>
                <w:sz w:val="14"/>
                <w:szCs w:val="14"/>
                <w:b w:val="1"/>
                <w:bCs w:val="1"/>
                <w:color w:val="auto"/>
                <w:w w:val="96"/>
              </w:rPr>
              <w:t>Cost</w:t>
            </w:r>
          </w:p>
        </w:tc>
        <w:tc>
          <w:tcPr>
            <w:tcW w:w="140" w:type="dxa"/>
            <w:vAlign w:val="bottom"/>
          </w:tcPr>
          <w:p>
            <w:pPr>
              <w:spacing w:after="0"/>
              <w:rPr>
                <w:sz w:val="10"/>
                <w:szCs w:val="10"/>
                <w:color w:val="auto"/>
              </w:rPr>
            </w:pPr>
          </w:p>
        </w:tc>
        <w:tc>
          <w:tcPr>
            <w:tcW w:w="8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Value</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6"/>
              </w:rPr>
              <w:t>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Frontline Food Services, LLC (f/k/a Accent Food Services, LLC)</w:t>
            </w:r>
          </w:p>
        </w:tc>
        <w:tc>
          <w:tcPr>
            <w:tcW w:w="1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(1)</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w:t>
            </w:r>
          </w:p>
        </w:tc>
        <w:tc>
          <w:tcPr>
            <w:tcW w:w="300" w:type="dxa"/>
            <w:vAlign w:val="bottom"/>
            <w:tcBorders>
              <w:top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87"/>
              </w:rPr>
              <w:t>(1)</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$33.1</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$35.3</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EBL, LLC (EbLens)</w:t>
            </w:r>
          </w:p>
        </w:tc>
        <w:tc>
          <w:tcPr>
            <w:tcW w:w="1600" w:type="dxa"/>
            <w:vAlign w:val="bottom"/>
          </w:tcPr>
          <w:p>
            <w:pPr>
              <w:spacing w:after="0"/>
              <w:rPr>
                <w:sz w:val="18"/>
                <w:szCs w:val="18"/>
                <w:color w:val="auto"/>
              </w:rPr>
            </w:pPr>
          </w:p>
        </w:tc>
        <w:tc>
          <w:tcPr>
            <w:tcW w:w="800" w:type="dxa"/>
            <w:vAlign w:val="bottom"/>
            <w:gridSpan w:val="2"/>
          </w:tcPr>
          <w:p>
            <w:pPr>
              <w:jc w:val="right"/>
              <w:ind w:right="184"/>
              <w:spacing w:after="0"/>
              <w:rPr>
                <w:sz w:val="20"/>
                <w:szCs w:val="20"/>
                <w:color w:val="auto"/>
              </w:rPr>
            </w:pPr>
            <w:r>
              <w:rPr>
                <w:rFonts w:ascii="Arial" w:cs="Arial" w:eastAsia="Arial" w:hAnsi="Arial"/>
                <w:sz w:val="18"/>
                <w:szCs w:val="18"/>
                <w:color w:val="auto"/>
              </w:rPr>
              <w:t>5.5</w:t>
            </w:r>
            <w:r>
              <w:rPr>
                <w:rFonts w:ascii="Arial" w:cs="Arial" w:eastAsia="Arial" w:hAnsi="Arial"/>
                <w:sz w:val="15"/>
                <w:szCs w:val="15"/>
                <w:color w:val="auto"/>
              </w:rPr>
              <w:t>(2)</w:t>
            </w: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9.2</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4"/>
              </w:rPr>
              <w:t>$ 5.5</w:t>
            </w:r>
          </w:p>
        </w:tc>
        <w:tc>
          <w:tcPr>
            <w:tcW w:w="66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w w:val="84"/>
              </w:rPr>
              <w:t>$ 9.2</w:t>
            </w:r>
          </w:p>
        </w:tc>
        <w:tc>
          <w:tcPr>
            <w:tcW w:w="9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33.1</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w:t>
      </w:r>
    </w:p>
    <w:p>
      <w:pPr>
        <w:spacing w:after="0" w:line="23"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fiscal years ended December 31, 2020, 2019, and 2018</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Below is a summary of the changes in total investment income for the years ended December 31, 2020, 2019, and 2018, as well as a comparison of those periods year-over-year (dollars in millions, percent change calculated based on underlying dollar amounts in thousands):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9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6"/>
              </w:rPr>
              <w:t>Years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2020 vs. 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xml:space="preserve">% Change </w:t>
            </w:r>
            <w:r>
              <w:rPr>
                <w:rFonts w:ascii="Arial" w:cs="Arial" w:eastAsia="Arial" w:hAnsi="Arial"/>
                <w:sz w:val="12"/>
                <w:szCs w:val="12"/>
                <w:b w:val="1"/>
                <w:bCs w:val="1"/>
                <w:color w:val="auto"/>
                <w:w w:val="92"/>
              </w:rPr>
              <w:t>(1)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$ 73.5</w:t>
            </w:r>
          </w:p>
        </w:tc>
        <w:tc>
          <w:tcPr>
            <w:tcW w:w="24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$ 62.2</w:t>
            </w: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Fee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$ 85.1</w:t>
            </w:r>
          </w:p>
        </w:tc>
        <w:tc>
          <w:tcPr>
            <w:tcW w:w="24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$ 77.1</w:t>
            </w: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vMerge w:val="continue"/>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NM = Not meaningful</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For the year ended December 31, 2020, total investment income was $85.1 million, an increase of $8.0 million or 10.4%, from the $77.1 million of total investment income for the year ended December 31, 2019. As reflected in the table above, the increase is primarily attributable to the following:</w:t>
      </w:r>
    </w:p>
    <w:p>
      <w:pPr>
        <w:spacing w:after="0" w:line="29" w:lineRule="exact"/>
        <w:rPr>
          <w:sz w:val="20"/>
          <w:szCs w:val="20"/>
          <w:color w:val="auto"/>
        </w:rPr>
      </w:pPr>
    </w:p>
    <w:p>
      <w:pPr>
        <w:ind w:left="1540" w:right="280" w:hanging="331"/>
        <w:spacing w:after="0" w:line="308" w:lineRule="auto"/>
        <w:tabs>
          <w:tab w:leader="none" w:pos="1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$6.9 million increase in total interest income (including payment-in-kind interest income) resulting from higher weighted average debt yield and higher average debt investment balances outstanding, during 2020 as compared to 2019.</w:t>
      </w:r>
    </w:p>
    <w:p>
      <w:pPr>
        <w:spacing w:after="0" w:line="51" w:lineRule="exact"/>
        <w:rPr>
          <w:rFonts w:ascii="Arial" w:cs="Arial" w:eastAsia="Arial" w:hAnsi="Arial"/>
          <w:sz w:val="17"/>
          <w:szCs w:val="17"/>
          <w:color w:val="auto"/>
        </w:rPr>
      </w:pPr>
    </w:p>
    <w:p>
      <w:pPr>
        <w:ind w:left="1540" w:right="240" w:hanging="331"/>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 million increase in dividend income, during 2020 as compared to 2019, due to increased levels of distributions received from equity investments.</w:t>
      </w:r>
    </w:p>
    <w:p>
      <w:pPr>
        <w:spacing w:after="0" w:line="75" w:lineRule="exact"/>
        <w:rPr>
          <w:rFonts w:ascii="Arial" w:cs="Arial" w:eastAsia="Arial" w:hAnsi="Arial"/>
          <w:sz w:val="18"/>
          <w:szCs w:val="18"/>
          <w:color w:val="auto"/>
        </w:rPr>
      </w:pPr>
    </w:p>
    <w:p>
      <w:pPr>
        <w:ind w:left="1540" w:right="600" w:hanging="331"/>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$0.2 million increase in fee income resulting from an increase in debt amendment fee income partially offset by a decrease in origination and prepayment fees income during 2020 as compared to 2019.</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For the year ended December 31, 2019, total investment income was $77.1 million, an increase of $0.7 million or 0.9%, from the $76.4 million of total investment income for the year ended December 31, 2018. As reflected in the table above, the increase is primarily attributable to the following:</w:t>
      </w:r>
    </w:p>
    <w:p>
      <w:pPr>
        <w:spacing w:after="0" w:line="29" w:lineRule="exact"/>
        <w:rPr>
          <w:sz w:val="20"/>
          <w:szCs w:val="20"/>
          <w:color w:val="auto"/>
        </w:rPr>
      </w:pPr>
    </w:p>
    <w:p>
      <w:pPr>
        <w:ind w:left="1540" w:right="320" w:hanging="331"/>
        <w:spacing w:after="0" w:line="342" w:lineRule="auto"/>
        <w:tabs>
          <w:tab w:leader="none" w:pos="1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$3.8 million increase in total interest income (including payment-in-kind interest income) resulting from higher average debt investment balances outstanding, partially offset by a decrease in weighted average debt yield, during 2019 as compared to 2018.</w:t>
      </w:r>
    </w:p>
    <w:p>
      <w:pPr>
        <w:spacing w:after="0" w:line="29" w:lineRule="exact"/>
        <w:rPr>
          <w:rFonts w:ascii="Arial" w:cs="Arial" w:eastAsia="Arial" w:hAnsi="Arial"/>
          <w:sz w:val="16"/>
          <w:szCs w:val="16"/>
          <w:color w:val="auto"/>
        </w:rPr>
      </w:pPr>
    </w:p>
    <w:p>
      <w:pPr>
        <w:ind w:left="1540" w:right="180" w:hanging="331"/>
        <w:spacing w:after="0" w:line="277" w:lineRule="auto"/>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$2.6 million decrease in dividend income, during 2019 as compared to 2018, due to decreased levels of distributions received from equity investments.</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$0.5 million decrease in fee income resulting from a decrease in prepayment fee income, and partially offset by an increase in debt amendment fee income and origination fees, during 2019 as compared to 2018.</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Below is a summary of the changes in total expenses, including income tax provision, for the years ended December 31, 2020, 2019, and 2018, as well as a comparison of those periods year-over-year (dollars in millions, percent change calculated based on underlying dollar amounts in thousands):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2020 vs. 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xml:space="preserve">% Change </w:t>
            </w:r>
            <w:r>
              <w:rPr>
                <w:rFonts w:ascii="Arial" w:cs="Arial" w:eastAsia="Arial" w:hAnsi="Arial"/>
                <w:sz w:val="12"/>
                <w:szCs w:val="12"/>
                <w:b w:val="1"/>
                <w:bCs w:val="1"/>
                <w:color w:val="auto"/>
                <w:w w:val="92"/>
              </w:rPr>
              <w:t>(1)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$ 19.7</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$ 17.1</w:t>
            </w: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$ 12.7</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Base management fee</w:t>
            </w: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12.4</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 expenses, before incentive fee waiver</w:t>
            </w: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vMerge w:val="continue"/>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waiver - income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w w:val="97"/>
              </w:rPr>
              <w:t>Total expenses, net of incentive fee waiver before income tax</w:t>
            </w: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44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44.6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$ 45.5</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$ 45.1</w:t>
            </w:r>
          </w:p>
        </w:tc>
        <w:tc>
          <w:tcPr>
            <w:tcW w:w="24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$ 41.4</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w:t>
            </w:r>
          </w:p>
        </w:tc>
        <w:tc>
          <w:tcPr>
            <w:tcW w:w="280" w:type="dxa"/>
            <w:vAlign w:val="bottom"/>
            <w:vMerge w:val="continue"/>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NM = Not meaningful</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the year ended December 31, 2020, total expenses, including income tax provision, were $45.5 million, an increase of $0.4 million or 0.7%, from the $45.1 million of total expenses, including income tax provision, for the year ended December 31, 2019. As reflected in the table above, the increase is primarily attributable to the following:</w:t>
      </w:r>
    </w:p>
    <w:p>
      <w:pPr>
        <w:spacing w:after="0" w:line="89" w:lineRule="exact"/>
        <w:rPr>
          <w:sz w:val="20"/>
          <w:szCs w:val="20"/>
          <w:color w:val="auto"/>
        </w:rPr>
      </w:pPr>
    </w:p>
    <w:p>
      <w:pPr>
        <w:ind w:left="1540" w:right="400" w:hanging="331"/>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$2.6 million increase in interest and financing expenses due to an increase in average borrowings outstanding and an increase in weighted average interest rate on borrowings during 2020 as compared to 2019.</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$1.2 million net increase in the income incentive fee comprised of a $1.6 million increase in the income incentive fee due to a</w:t>
      </w:r>
    </w:p>
    <w:p>
      <w:pPr>
        <w:spacing w:after="0" w:line="34" w:lineRule="exact"/>
        <w:rPr>
          <w:rFonts w:ascii="Arial" w:cs="Arial" w:eastAsia="Arial" w:hAnsi="Arial"/>
          <w:sz w:val="17"/>
          <w:szCs w:val="17"/>
          <w:color w:val="auto"/>
        </w:rPr>
      </w:pPr>
    </w:p>
    <w:p>
      <w:pPr>
        <w:ind w:left="1540" w:right="100"/>
        <w:spacing w:after="0" w:line="260" w:lineRule="auto"/>
        <w:rPr>
          <w:rFonts w:ascii="Arial" w:cs="Arial" w:eastAsia="Arial" w:hAnsi="Arial"/>
          <w:sz w:val="17"/>
          <w:szCs w:val="17"/>
          <w:color w:val="auto"/>
        </w:rPr>
      </w:pPr>
      <w:r>
        <w:rPr>
          <w:rFonts w:ascii="Arial" w:cs="Arial" w:eastAsia="Arial" w:hAnsi="Arial"/>
          <w:sz w:val="18"/>
          <w:szCs w:val="18"/>
          <w:color w:val="auto"/>
        </w:rPr>
        <w:t>$3.8 million increase in pre-incentive fee net investment income during 2020 offset by a one-time $0.4 million income incentive fee waiver, as compared to the same period in 2019.</w:t>
      </w:r>
    </w:p>
    <w:p>
      <w:pPr>
        <w:spacing w:after="0" w:line="90" w:lineRule="exact"/>
        <w:rPr>
          <w:rFonts w:ascii="Arial" w:cs="Arial" w:eastAsia="Arial" w:hAnsi="Arial"/>
          <w:sz w:val="17"/>
          <w:szCs w:val="17"/>
          <w:color w:val="auto"/>
        </w:rPr>
      </w:pPr>
    </w:p>
    <w:p>
      <w:pPr>
        <w:ind w:left="1540" w:hanging="331"/>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$0.6 million increase in professional fees during 2020 as compared to 2019.</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$0.5 million increase in base management fee due to higher average total assets during 2020 as compared to 2019.</w:t>
      </w:r>
    </w:p>
    <w:p>
      <w:pPr>
        <w:spacing w:after="0" w:line="130" w:lineRule="exact"/>
        <w:rPr>
          <w:rFonts w:ascii="Arial" w:cs="Arial" w:eastAsia="Arial" w:hAnsi="Arial"/>
          <w:sz w:val="18"/>
          <w:szCs w:val="18"/>
          <w:color w:val="auto"/>
        </w:rPr>
      </w:pPr>
    </w:p>
    <w:p>
      <w:pPr>
        <w:ind w:left="1540" w:right="100" w:hanging="331"/>
        <w:spacing w:after="0" w:line="263"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million decrease in the capital gains incentive fee due to a $25.0 million decrease in net gain on investments (net realized gains (losses) plus net change in unrealized appreciation (depreciation) on investments) during 2020, as compared to the same period in 2019.</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the year ended December 31, 2019, total expenses, including income tax provision, were $45.1 million, an increase of $3.7 million or 9.1%, from the $41.4 million of total expenses, including income tax provision, for the year ended December 31, 2018. As reflected in the table above, the increase is primarily attributable to the following:</w:t>
      </w:r>
    </w:p>
    <w:p>
      <w:pPr>
        <w:spacing w:after="0" w:line="89" w:lineRule="exact"/>
        <w:rPr>
          <w:sz w:val="20"/>
          <w:szCs w:val="20"/>
          <w:color w:val="auto"/>
        </w:rPr>
      </w:pPr>
    </w:p>
    <w:p>
      <w:pPr>
        <w:ind w:left="1540" w:right="400" w:hanging="331"/>
        <w:spacing w:after="0" w:line="277" w:lineRule="auto"/>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$4.4 million increase in interest and financing expenses due to an increase in average borrowings outstanding and an increase in weighted average interest rate on borrowings during 2019 as compared to 2018.</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 million decrease in the income incentive fee due to a $4.7 million decrease in pre-incentive fee net investment income during 2019, as compared to the same period in 2018.</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 million increase in base management fee due to higher average total assets during 2019 as compared to 2018.</w:t>
      </w:r>
    </w:p>
    <w:p>
      <w:pPr>
        <w:spacing w:after="0" w:line="130" w:lineRule="exact"/>
        <w:rPr>
          <w:rFonts w:ascii="Arial" w:cs="Arial" w:eastAsia="Arial" w:hAnsi="Arial"/>
          <w:sz w:val="18"/>
          <w:szCs w:val="18"/>
          <w:color w:val="auto"/>
        </w:rPr>
      </w:pPr>
    </w:p>
    <w:p>
      <w:pPr>
        <w:jc w:val="both"/>
        <w:ind w:left="1540" w:right="180" w:hanging="331"/>
        <w:spacing w:after="0" w:line="263" w:lineRule="auto"/>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$0.4 million increase in the capital gains incentive fee due to a $2.2 million increase in net gain on investments (net realized gains (losses) plus net change in unrealized appreciation (depreciation) on investments) during 2019, as compared to the same period in 2018.</w:t>
      </w:r>
    </w:p>
    <w:p>
      <w:pPr>
        <w:spacing w:after="0" w:line="89"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$0.1 million decrease in other general and administrative expenses during 2019 resulting from the write-off of deferred equity offering costs related to our previous Form N-2 registration statement in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investment income was $39.6 million, $32.0 million, and $35.1 million for the years ended December 31, 2020, 2019, and 2018, respectively.</w:t>
      </w:r>
    </w:p>
    <w:p>
      <w:pPr>
        <w:spacing w:after="0" w:line="248"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Net investment income increased by $7.6 million, or 24.0%, during fiscal 2020 as compared to fiscal 2019, as a result of the $8.0 million increase in total investment income compared to a $0.4 million increase in total expenses, including the income incentive fee waiver and income tax provision.</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Net investment income decreased by $3.1 million, or 8.8%, during fiscal 2019 as compared to fiscal 2018, as a result of the $0.7 million increase in total investment income compared to a $3.8 million increase in total expenses, including income tax provision.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For the year ended December 31, 2020, the total net realized loss on investments, before income tax provision on realized gains, was $(1.0) million. Income tax (provision) benefit from realized gains on investments was $(0.6) million for the year ended December 31, 2020. Significant realized gains (losses) for the year ended December 31, 2020 are summarized below (dollars in millions):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120" w:type="dxa"/>
            <w:vAlign w:val="bottom"/>
            <w:vMerge w:val="restart"/>
          </w:tcPr>
          <w:p>
            <w:pPr>
              <w:spacing w:after="0"/>
              <w:rPr>
                <w:sz w:val="14"/>
                <w:szCs w:val="14"/>
                <w:color w:val="auto"/>
              </w:rPr>
            </w:pPr>
          </w:p>
        </w:tc>
        <w:tc>
          <w:tcPr>
            <w:tcW w:w="27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Net Realized</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122"/>
        </w:trPr>
        <w:tc>
          <w:tcPr>
            <w:tcW w:w="4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color w:val="auto"/>
              </w:rPr>
              <w:t>Pfanstiehl, Inc.</w:t>
            </w:r>
          </w:p>
        </w:tc>
        <w:tc>
          <w:tcPr>
            <w:tcW w:w="27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Sold 50% of equity investment</w:t>
            </w: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12.8</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Fiber Materials,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Sale of portfolio company</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Exit of portfolio company</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Revenue Management Solutions,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Worldwide Express Operations, LLC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Gurobi Optimization,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ControlScan,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Exit of portfolio company</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Pugh Lubricants,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Exit of portfolio company</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Hub Acquisition Sub, LLC (dba Hub Pen)</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Global Plasma Solutions, Inc.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Midwest Transit Equipment,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Pinnergy, Ltd.</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Alzheimer’s Research and Treatment Center, LLC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Hoonuit,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Exit of portfolio company</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BCM One Group Holdings,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Software Technology,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LNG Indy, LLC (dba Kinetrex Energy)</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Era Technology, Inc.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Escrow distribution</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Wheel Pros,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Apex Microtechnology, Inc.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Escrow distribution</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Allied 100 Group, Inc.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Restaurant Finance Co,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Escrow distribution</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Vanguard Dealer Services, L.L.C.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Escrow distribution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Allredi, LLC (fka Marco Group International OpCo,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Other</w:t>
            </w:r>
          </w:p>
        </w:tc>
        <w:tc>
          <w:tcPr>
            <w:tcW w:w="2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Palisade Company, LLC</w:t>
            </w: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Sold 50% of equity investment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Frontline Food Services, LLC (f/k/a Accent Food Services, LLC)</w:t>
            </w: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Write-off of debt and equity investments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realized gain (loss) on investments</w:t>
            </w:r>
          </w:p>
        </w:tc>
        <w:tc>
          <w:tcPr>
            <w:tcW w:w="27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3"/>
                <w:szCs w:val="13"/>
                <w:color w:val="auto"/>
              </w:rPr>
              <w:t>Income tax provision from realized gains on investments</w:t>
            </w:r>
          </w:p>
        </w:tc>
        <w:tc>
          <w:tcPr>
            <w:tcW w:w="2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realized gain (loss), net of income tax provision, on investments</w:t>
            </w:r>
          </w:p>
        </w:tc>
        <w:tc>
          <w:tcPr>
            <w:tcW w:w="27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For the year ended December 31, 2019, the total net realized loss on investments, before income tax provision on realized gains, was $(1.2) million. Income tax (provision) benefit from realized gains on investments was $(0.1) million for the year ended December 31, 2019. Significant realized gains (losses) for the year ended December 31, 2019 are summarized below (dollars in millions):</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320" w:top="459" w:right="6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29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Net Realized</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136"/>
        </w:trPr>
        <w:tc>
          <w:tcPr>
            <w:tcW w:w="41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The Wolf Organization, LLC</w:t>
            </w:r>
          </w:p>
        </w:tc>
        <w:tc>
          <w:tcPr>
            <w:tcW w:w="2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Exit of portfolio company</w:t>
            </w:r>
          </w:p>
        </w:tc>
        <w:tc>
          <w:tcPr>
            <w:tcW w:w="32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w:t>
            </w:r>
          </w:p>
        </w:tc>
        <w:tc>
          <w:tcPr>
            <w:tcW w:w="4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Vanguard Dealer Services, L.L.C.</w:t>
            </w:r>
          </w:p>
        </w:tc>
        <w:tc>
          <w:tcPr>
            <w:tcW w:w="1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Sale of portfolio company</w:t>
            </w: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Era Technology, Inc.</w:t>
            </w:r>
          </w:p>
        </w:tc>
        <w:tc>
          <w:tcPr>
            <w:tcW w:w="1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Simplex Manufacturing Co.</w:t>
            </w:r>
          </w:p>
        </w:tc>
        <w:tc>
          <w:tcPr>
            <w:tcW w:w="1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Pack Logistics LLC</w:t>
            </w:r>
          </w:p>
        </w:tc>
        <w:tc>
          <w:tcPr>
            <w:tcW w:w="1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Malabar International</w:t>
            </w:r>
          </w:p>
        </w:tc>
        <w:tc>
          <w:tcPr>
            <w:tcW w:w="1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Escrow distribution</w:t>
            </w: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inthinc Technology Solutions, Inc.</w:t>
            </w:r>
          </w:p>
        </w:tc>
        <w:tc>
          <w:tcPr>
            <w:tcW w:w="1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Trantech Radiator Products, Inc.</w:t>
            </w:r>
          </w:p>
        </w:tc>
        <w:tc>
          <w:tcPr>
            <w:tcW w:w="1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Infrastructure Group Holdings, LP</w:t>
            </w:r>
          </w:p>
        </w:tc>
        <w:tc>
          <w:tcPr>
            <w:tcW w:w="1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Industrial Services, Inc.</w:t>
            </w:r>
          </w:p>
        </w:tc>
        <w:tc>
          <w:tcPr>
            <w:tcW w:w="1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Oaktree Medical Centre, P.C. (dba Pain Management Associates)</w:t>
            </w:r>
          </w:p>
        </w:tc>
        <w:tc>
          <w:tcPr>
            <w:tcW w:w="1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Exit of portfolio company</w:t>
            </w: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Income tax provision from realized gains on investments</w:t>
            </w: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Net realized gain (loss), net of income tax provision, on investments</w:t>
            </w: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5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For the year ended December 31, 2018, the total net realized loss on investments, before income tax provision on realized gains, was $(10.3) million. Income tax (provision) benefit from realized gains on investments was $(0.8) million for the year ended December 31, 2018. Significant realized gains (losses) for the year ended December 31, 2018 are summarized below (dollars in millions):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0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Net Realized</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135"/>
        </w:trPr>
        <w:tc>
          <w:tcPr>
            <w:tcW w:w="41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World Wide Packaging, LLC</w:t>
            </w:r>
          </w:p>
        </w:tc>
        <w:tc>
          <w:tcPr>
            <w:tcW w:w="120" w:type="dxa"/>
            <w:vAlign w:val="bottom"/>
            <w:tcBorders>
              <w:top w:val="single" w:sz="8" w:color="CCEEFF"/>
            </w:tcBorders>
            <w:shd w:val="clear" w:color="auto" w:fill="CCEEFF"/>
          </w:tcPr>
          <w:p>
            <w:pPr>
              <w:spacing w:after="0"/>
              <w:rPr>
                <w:sz w:val="11"/>
                <w:szCs w:val="11"/>
                <w:color w:val="auto"/>
              </w:rPr>
            </w:pPr>
          </w:p>
        </w:tc>
        <w:tc>
          <w:tcPr>
            <w:tcW w:w="5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Exit of portfolio company</w:t>
            </w: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7.0</w:t>
            </w:r>
          </w:p>
        </w:tc>
        <w:tc>
          <w:tcPr>
            <w:tcW w:w="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Apex Microtechnology, Inc.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FAR Research Inc.</w:t>
            </w:r>
          </w:p>
        </w:tc>
        <w:tc>
          <w:tcPr>
            <w:tcW w:w="5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portfolio company</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Caldwell &amp; Gregory, LLC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Thermoforming Technology Group LLC (dba Brown Machine Group)</w:t>
            </w:r>
          </w:p>
        </w:tc>
        <w:tc>
          <w:tcPr>
            <w:tcW w:w="5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portfolio company</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Malabar International</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Escrow distribution</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Worldwide Express Operations, LLC</w:t>
            </w:r>
          </w:p>
        </w:tc>
        <w:tc>
          <w:tcPr>
            <w:tcW w:w="5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tax character true-up</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Ice House America, LLC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IOS Acquisitions, Inc.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Inflexxion, Inc.</w:t>
            </w:r>
          </w:p>
        </w:tc>
        <w:tc>
          <w:tcPr>
            <w:tcW w:w="5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Restaurant Finance Co, LLC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Cavallo Bus Lines Holdings, LLC</w:t>
            </w:r>
          </w:p>
        </w:tc>
        <w:tc>
          <w:tcPr>
            <w:tcW w:w="5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Six Month Smiles Holdings, Inc.</w:t>
            </w:r>
          </w:p>
        </w:tc>
        <w:tc>
          <w:tcPr>
            <w:tcW w:w="5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2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Income tax provision from realized gains on investments</w:t>
            </w:r>
          </w:p>
        </w:tc>
        <w:tc>
          <w:tcPr>
            <w:tcW w:w="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Net realized gain (loss), net of income tax provision, on investments</w:t>
            </w:r>
          </w:p>
        </w:tc>
        <w:tc>
          <w:tcPr>
            <w:tcW w:w="12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5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the years ended December 31, 2020, 2019, and 2018, we recorded a net change in unrealized appreciation (depreciation) on investments attributable to the following (dollars in millions):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7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Net increase in net assets resulting from operations was $31.2 million, $48.5 million, and $49.5 million for the years ended December 31, 2020, 2019, and 2018, respectively, as a result of the events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December 31, 2020, we had $124.3 million in cash and cash equivalents and our net assets totaled $410.8 million. We believe that our current cash and cash equivalents on hand, our continued access to SBA-guaranteed debentures, our Credit Facility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year ended December 31, 2020, we repaid $16.5 million of SBA debentures which would have matured during the period September 1, 2024 through September 1, 2028 Our remaining outstanding SBA debentures continue to mature in 2025 and subsequent years through 2030, which will require repayment on or before the respective maturity dates.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For the year ended December 31, 2020, we experienced a net increase in cash and cash equivalents in the amount of $109.3 million. During that period, we were provided $56.0 million of cash from operating activities, which included proceeds received from sales and repayments of investments of $210.8 million, which were partially offset by the funding of $190.0 million of investments. During the same period, we received proceeds from the issuances of SBA debentures of $6.0 million and proceeds from the issuance of our 2026 Notes of $125.0 million; which were partially offset by repayments of SBA debentures of $16.5 million, net repayments of $25.0 million from borrowings under our Credit Facility, cash dividends paid to stockholders of $32.5 million, and the payment of deferred financing costs related to our debt financings of $3.4 million and repurchases of common stock under the Stock Repurchase Program (as defined below) of $0.3 million.</w:t>
      </w:r>
    </w:p>
    <w:p>
      <w:pPr>
        <w:spacing w:after="0" w:line="17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For the year ended December 31, 2019, we experienced a net decrease in cash and cash equivalents in the amount of $27.0 million. During that period, we used $68.7 million of cash for operating activities, which included the funding of $219.2 million of investments, which were partially offset by proceeds received from sales and repayments of investments of $120.6 million. During the same period, we received proceeds from the issuances of SBA debentures of $7.5 million and proceeds from the issuance of our Public Notes of $132.3 million; which were partially offset by repayments of SBA debentures of $41.0 million, net repayments of $11.5 million from borrowings under our Credit Facility, cash dividends paid to stockholders of $39.1 million, and the payment of deferred financing costs related to our debt financings of $6.4 million.</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For the year ended December 31, 2018, we experienced a net increase in cash and cash equivalents in the amount of $0.4 million. During that period, we used $8.1 million of cash for operating activities, which included the funding of $212.3 million of investments, which were partially offset by proceeds received from sales and repayments of investments of $188.3 million. During the same period, we received proceeds from the issuances of SBA debentures of $27.0 million, net proceeds of $25.0 million from borrowings under our Credit Facility and proceeds from the issuance of our Public Notes of $50.0 million; which were partially offset by repayments of SBA debentures of $67.3 million, cash dividends paid to stockholders of</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$39.2 million, the payment of deferred financing costs related to our debt financings of $2.7 million and repurchases of common stock under the Stock Repurchase Program (as defined below) of $0.6 million.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120" w:right="140" w:firstLine="440"/>
        <w:spacing w:after="0" w:line="284"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2020, Fund II and Fund III had</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$133.5 million and $13.5 million of outstanding SBA debentures, respectively. As of September 9, 2019, Fund I completed a wind-down plan, relinquished its SBIC license and can no longer issue additional SBA debentures. Subject to SBA regulatory requirements and approval, Fund III may access up to $161.5 million of additional SBA debentures under the SBIC debenture program. For more information on the SBA debentures, please refer to Note 6 to our consolidated financial statements.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9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100" w:hanging="4"/>
        <w:spacing w:after="0" w:line="292" w:lineRule="auto"/>
        <w:tabs>
          <w:tab w:leader="none" w:pos="4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2020, we were in compliance with all covenants of the Credit Facility and there were no borrowings outstanding under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December 31, 2020, the outstanding principal balance of the 2023 Notes was $50.0 million. Subsequent to December 31, 2020, the Company redeemed, in full, the issued and outstanding 2023 Notes. See “Recent Developments” for more information.</w:t>
      </w:r>
    </w:p>
    <w:p>
      <w:pPr>
        <w:sectPr>
          <w:pgSz w:w="11900" w:h="16838" w:orient="portrait"/>
          <w:cols w:equalWidth="0" w:num="1">
            <w:col w:w="11120"/>
          </w:cols>
          <w:pgMar w:left="320" w:top="459" w:right="459" w:bottom="1440"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9" w:right="4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beginning May 15, 2019. The February 2024 Notes are listed on the NASDAQ Global Select Market under the trading symbol “FDUSZ.” As of December 31, 2020, the outstanding principal balance of the February 2024 Notes was $69.0 million. Subsequent to December 31, 2020, the Company redeemed, in part, the issued and outstanding February 2024 Notes. See “Recent Developments” for more information.</w:t>
      </w:r>
    </w:p>
    <w:p>
      <w:pPr>
        <w:spacing w:after="0" w:line="19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December 31, 2020, the outstanding principal balance of the November 2024 Notes was approximately $63.3 million.</w:t>
      </w:r>
    </w:p>
    <w:p>
      <w:pPr>
        <w:spacing w:after="0" w:line="18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On December 23, 2020, we closed the offering of approximately $125.0 million in aggregate principal amount of our 4.75% notes due 2026, or the “2026 Notes” (collectively with the Public Notes, the “Notes”). The total net proceeds to us from the 2026 Notes after deducting underwriting discounts of approximately $2.5 million and estimated offering expenses of $0.4 million, were approximately $122.1 million.</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We do not intent to list the 2026 Notes on any securities exchange or automated dealer quotation system.</w:t>
      </w:r>
    </w:p>
    <w:p>
      <w:pPr>
        <w:spacing w:after="0" w:line="18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The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As of December 31, 2020, the weighted average stated interest rates for our SBA debentures and the Notes were 3.297% and 5.342%, respectively. As of December 31, 2020, we had $100.0 million of unutilized commitment under our Credit Facility. As of December 31, 2020, the weighted average stated interest rate on total debt outstanding was 4.680%.</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U.S. Securities and Exchange Commission (“SEC”) to allow us to exclude any indebtedness guaranteed by the SBA and issued by the Funds from the 150.0% asset coverage requirements, which, in turn, will enable us to fund more investments with debt capital.</w:t>
      </w:r>
    </w:p>
    <w:p>
      <w:pPr>
        <w:spacing w:after="0" w:line="19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4, 2020, our stockholders voted to allow us to sell or otherwise issue common stock at a price below net asset value per share for a period of one year ending on the earlier of June 4, 2021 or the date of our 2021 Annual Meeting of Stockholders. We expect to present to our stockholders a similar proposal at our 2021 Annual Meeting of Stockholders. Our stockholders specified that the cumulative number of shares sold in each offering during the one-year period ending on the earlier of June 4, 2021 or the date of our 2021 Annual Meeting of Stockholders may not exceed 25.0% of our outstanding common stock immediately prior to each such sale.</w:t>
      </w:r>
    </w:p>
    <w:p>
      <w:pPr>
        <w:sectPr>
          <w:pgSz w:w="11900" w:h="16838" w:orient="portrait"/>
          <w:cols w:equalWidth="0" w:num="1">
            <w:col w:w="11100"/>
          </w:cols>
          <w:pgMar w:left="320" w:top="459" w:right="479" w:bottom="144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00"/>
          </w:cols>
          <w:pgMar w:left="320" w:top="459" w:right="47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years ended December 31, 2020 and 2018, the Company repurchased 25,719 and 44,821 shares, respectively, of common stock on the open market for $0.3 and $0.6 million, respectively. The Company did not make any repurchases of common stock during the year ended December 31, 2019. Refer to Note 8 to our consolidated financial statements for additional information concerning stock repurchases.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1080" w:right="3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our investment advisor;</w:t>
      </w:r>
    </w:p>
    <w:p>
      <w:pPr>
        <w:spacing w:after="0" w:line="142"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12 and 13 of our portfolio company investments representing 25.8% and 30.9% of the total portfolio investments at fair value (exclusive of new portfolio company investments made during the three months ended December 31, 2020 and 2019, respectively) as of December 31, 2020 and 2019, respectively;</w:t>
      </w:r>
    </w:p>
    <w:p>
      <w:pPr>
        <w:spacing w:after="0" w:line="90" w:lineRule="exact"/>
        <w:rPr>
          <w:rFonts w:ascii="Arial" w:cs="Arial" w:eastAsia="Arial" w:hAnsi="Arial"/>
          <w:sz w:val="17"/>
          <w:szCs w:val="17"/>
          <w:color w:val="auto"/>
        </w:rPr>
      </w:pPr>
    </w:p>
    <w:p>
      <w:pPr>
        <w:ind w:left="1080" w:right="680" w:hanging="424"/>
        <w:spacing w:after="0" w:line="30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ectPr>
          <w:pgSz w:w="11900" w:h="16838" w:orient="portrait"/>
          <w:cols w:equalWidth="0" w:num="1">
            <w:col w:w="11120"/>
          </w:cols>
          <w:pgMar w:left="320" w:top="459"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20"/>
          </w:cols>
          <w:pgMar w:left="320" w:top="459"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Rule 12b-2 Update</w:t>
      </w:r>
    </w:p>
    <w:p>
      <w:pPr>
        <w:spacing w:after="0" w:line="121" w:lineRule="exact"/>
        <w:rPr>
          <w:sz w:val="20"/>
          <w:szCs w:val="20"/>
          <w:color w:val="auto"/>
        </w:rPr>
      </w:pPr>
    </w:p>
    <w:p>
      <w:pPr>
        <w:ind w:left="120" w:right="480" w:firstLine="440"/>
        <w:spacing w:after="0" w:line="287" w:lineRule="auto"/>
        <w:rPr>
          <w:sz w:val="20"/>
          <w:szCs w:val="20"/>
          <w:color w:val="auto"/>
        </w:rPr>
      </w:pPr>
      <w:r>
        <w:rPr>
          <w:rFonts w:ascii="Arial" w:cs="Arial" w:eastAsia="Arial" w:hAnsi="Arial"/>
          <w:sz w:val="16"/>
          <w:szCs w:val="16"/>
          <w:color w:val="auto"/>
        </w:rPr>
        <w:t>In March 2020, the SEC adopted a final rule under SEC Release No. 34-88365 (the “Final Rule”), amending the accelerated filer and large accelerated filer definitions in Exchange Act Rule 12b-2. The amendments include a provision under which a BDC will be excluded from the “accelerated filer” and “large accelerated filer” definitions if the BDC has (1) a public float of $75 million or more, but less than $700 million, and</w:t>
      </w:r>
    </w:p>
    <w:p>
      <w:pPr>
        <w:spacing w:after="0" w:line="2" w:lineRule="exact"/>
        <w:rPr>
          <w:sz w:val="20"/>
          <w:szCs w:val="20"/>
          <w:color w:val="auto"/>
        </w:rPr>
      </w:pPr>
    </w:p>
    <w:p>
      <w:pPr>
        <w:ind w:left="120" w:right="60" w:hanging="4"/>
        <w:spacing w:after="0" w:line="253" w:lineRule="auto"/>
        <w:tabs>
          <w:tab w:leader="none" w:pos="3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has annual investment income of less than $100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The Final Rule applies to annual report filings due on or after April 27, 2020. As a result, the Company is no longer an accelerated filer.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Rule 1-02(w)(2) Update</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but voluntary compliance is permitted in advance of the effective date. The Company has elected to early adopt this rule change as of December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Regulation S-K Update</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is currently evaluating the impact of the Amendments on its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$5.6 million and $4.8 million as of December 31, 2020 and 2019, respectively. Such outstanding commitments are summarized in the following table (dollars in millions):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236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500" w:type="dxa"/>
            <w:vAlign w:val="bottom"/>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Unfunded</w:t>
            </w:r>
          </w:p>
        </w:tc>
        <w:tc>
          <w:tcPr>
            <w:tcW w:w="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260" w:type="dxa"/>
            <w:vAlign w:val="bottom"/>
          </w:tcPr>
          <w:p>
            <w:pPr>
              <w:spacing w:after="0"/>
              <w:rPr>
                <w:sz w:val="15"/>
                <w:szCs w:val="15"/>
                <w:color w:val="auto"/>
              </w:rPr>
            </w:pPr>
          </w:p>
        </w:tc>
        <w:tc>
          <w:tcPr>
            <w:tcW w:w="1500" w:type="dxa"/>
            <w:vAlign w:val="bottom"/>
            <w:gridSpan w:val="3"/>
          </w:tcPr>
          <w:p>
            <w:pPr>
              <w:jc w:val="right"/>
              <w:ind w:right="680"/>
              <w:spacing w:after="0" w:line="158" w:lineRule="exact"/>
              <w:rPr>
                <w:sz w:val="20"/>
                <w:szCs w:val="20"/>
                <w:color w:val="auto"/>
              </w:rPr>
            </w:pPr>
            <w:r>
              <w:rPr>
                <w:rFonts w:ascii="Arial" w:cs="Arial" w:eastAsia="Arial" w:hAnsi="Arial"/>
                <w:sz w:val="14"/>
                <w:szCs w:val="14"/>
                <w:b w:val="1"/>
                <w:bCs w:val="1"/>
                <w:color w:val="auto"/>
                <w:w w:val="93"/>
              </w:rPr>
              <w:t>Commitment</w:t>
            </w:r>
          </w:p>
        </w:tc>
        <w:tc>
          <w:tcPr>
            <w:tcW w:w="124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Commitment</w:t>
            </w:r>
          </w:p>
        </w:tc>
        <w:tc>
          <w:tcPr>
            <w:tcW w:w="260" w:type="dxa"/>
            <w:vAlign w:val="bottom"/>
          </w:tcPr>
          <w:p>
            <w:pPr>
              <w:spacing w:after="0"/>
              <w:rPr>
                <w:sz w:val="15"/>
                <w:szCs w:val="15"/>
                <w:color w:val="auto"/>
              </w:rPr>
            </w:pPr>
          </w:p>
        </w:tc>
        <w:tc>
          <w:tcPr>
            <w:tcW w:w="102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36"/>
        </w:trPr>
        <w:tc>
          <w:tcPr>
            <w:tcW w:w="55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w:t>
            </w: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w:t>
            </w: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ind w:left="440"/>
              <w:spacing w:after="0" w:line="13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Elements Brands, LLC - Revolving Loan</w:t>
            </w:r>
          </w:p>
        </w:tc>
        <w:tc>
          <w:tcPr>
            <w:tcW w:w="1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French Transit, LLC - Revolving Loan</w:t>
            </w:r>
          </w:p>
        </w:tc>
        <w:tc>
          <w:tcPr>
            <w:tcW w:w="1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1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0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2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 .</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As of December 31, 2020, our future fixed commitments </w:t>
      </w:r>
      <w:r>
        <w:rPr>
          <w:rFonts w:ascii="Arial" w:cs="Arial" w:eastAsia="Arial" w:hAnsi="Arial"/>
          <w:sz w:val="15"/>
          <w:szCs w:val="15"/>
          <w:color w:val="auto"/>
        </w:rPr>
        <w:t>(1)</w:t>
      </w:r>
      <w:r>
        <w:rPr>
          <w:rFonts w:ascii="Arial" w:cs="Arial" w:eastAsia="Arial" w:hAnsi="Arial"/>
          <w:sz w:val="18"/>
          <w:szCs w:val="18"/>
          <w:color w:val="auto"/>
        </w:rPr>
        <w:t xml:space="preserve"> for cash payments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7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6"/>
              </w:rPr>
              <w:t>Less Than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1 - 3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3 - 5</w:t>
            </w:r>
          </w:p>
        </w:tc>
        <w:tc>
          <w:tcPr>
            <w:tcW w:w="26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Years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7"/>
          </w:tcPr>
          <w:p>
            <w:pPr>
              <w:ind w:left="440"/>
              <w:spacing w:after="0" w:line="142" w:lineRule="exact"/>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Credit Facility borrowings</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171.5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96"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Fixed commitments in the table above include the principal balance of the obligations as of December 31, 2020. While these obligations are outstanding, we will also incur related interest expense. The amount of interest expense that we ultimately incur will depend on the timing of repayments (which may occur on or before the stated maturity dates), and, as it relates to our Credit Facility, changes in the underlying variable reference interest rates. As of December 31, 2020, the weighted average stated interest rates for our SBA debentures and the Notes were 3.297% and 5.342%, respectively. As of December 31, 2020, we had $100.0 million of unutilized commitment under our Credit Facility.</w:t>
      </w:r>
    </w:p>
    <w:p>
      <w:pPr>
        <w:spacing w:after="0" w:line="161"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have certain contracts under which we have material future commitments. We entered into the Investment Advisory Agreement with our investment advisor in accordance with the 1940 Act. Under the Investment Advisory Agreement, our investment advisor provides us with investment advisory and management services. We pay the following amounts for these services (a) a management fee equal to a percentage of the average of our total assets (excluding cash and cash equivalents) and (b) an incentive fee based on our performance. See “Business — Management and Other Agreements — Investment Advisory Agreement — Management Fee.”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Administration Agreement, our investment advisor furnishes us with office facilities and equipment, provides us clerical, bookkeeping and record keeping services at such facilities and provides us with other administrative services necessary to conduct our day-to-day operations. See “Business — Management and Other Agreements — Administration Agreement.”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any new agreements that we enter into may increase. In addition, we would likely incur significant time and expense in locating alternative parties to provide the services we expect to receive under our Investment Advisory Agreement and our Administration Agreement. Any new investment advisory agreement would also be subject to approval by our Independent Directors and our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080" w:right="16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92"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97" w:lineRule="exact"/>
        <w:rPr>
          <w:rFonts w:ascii="Arial" w:cs="Arial" w:eastAsia="Arial" w:hAnsi="Arial"/>
          <w:sz w:val="18"/>
          <w:szCs w:val="18"/>
          <w:color w:val="auto"/>
        </w:rPr>
      </w:pPr>
    </w:p>
    <w:p>
      <w:pPr>
        <w:ind w:left="1080" w:right="860" w:hanging="424"/>
        <w:spacing w:after="0" w:line="34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75" w:lineRule="exact"/>
        <w:rPr>
          <w:rFonts w:ascii="Arial" w:cs="Arial" w:eastAsia="Arial" w:hAnsi="Arial"/>
          <w:sz w:val="18"/>
          <w:szCs w:val="18"/>
          <w:color w:val="auto"/>
        </w:rPr>
      </w:pPr>
    </w:p>
    <w:p>
      <w:pPr>
        <w:ind w:left="1080" w:right="80" w:hanging="424"/>
        <w:spacing w:after="0" w:line="29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ectPr>
          <w:pgSz w:w="11900" w:h="16838" w:orient="portrait"/>
          <w:cols w:equalWidth="0" w:num="1">
            <w:col w:w="11140"/>
          </w:cols>
          <w:pgMar w:left="320" w:top="459" w:right="43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9" w:right="4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Investment Advisor, in consultation with the Board, agreed to voluntarily waive $0.4 of the income incentive fee for the year ended December 31, 2020. There was no income incentive fee waiver for the year ended December 31, 2019.</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January 11, 2021, we exited our debt investment in Bandon Fitness (Texas), Inc. We received payment in full of $15.6 million on our first lien debt, which includes a prepayment fee.</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January 14, 2021, we exited our debt investment in Alzheimer’s Research and Treatment Center, LLC. We received payment in full of $6.6 million on our first lien debt, which includes a prepayment fee.</w:t>
      </w:r>
    </w:p>
    <w:p>
      <w:pPr>
        <w:spacing w:after="0" w:line="170"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On January 19, 2021, we redeemed $50.0 million of the aggregate principal amount on the 2023 Notes, resulting in a realized loss on extinguishment of debt of approximately $0.8 million.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January 22, 2021, we invested $11.0 million in first lien debt and $0.5 million in common equity of GP&amp;C Operations, LLC (dba Garlock Printing and Converting), a converter of plastic film into flexible packaging solutions.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January 26, 2021, we exited our debt investment in Ohio Medical, LLC. We received payment in full of $10.0 million on our second lien debt.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subsequently invested $5.0 million in a new second lien debt investment in Ohio Medical, LLC.</w:t>
      </w:r>
    </w:p>
    <w:p>
      <w:pPr>
        <w:spacing w:after="0" w:line="21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February 9, 2021, the Board declared a regular quarterly dividend of $0.31 per share and supplemental dividend of $0.07 per share payable March 26, 2021 to stockholders of record as of March 12, 2021.</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February 10, 2021, we invested $6.5 million in first lien debt and made a commitment up to $2.0 million of additional first lien debt of Wonderware Holdings, LLC (dba CORE Business Technologies), a provider of revenue management and payments solutions for government, healthcare and education.</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February 11, 2021, we invested $8.9 million in first lien debt and made a commitment up to $0.4 million of additional first lien debt of Xeeva, Inc., a global provider of intelligent, cloud-based indirect spend management software solutions.</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February 12, 2021, we exited our debt and equity investments in FDS Avionics Corp. (dba Flight Display Systems). Flight Display Systems was acquired and combined with Calculex Inc. and Argon Corporation under a new holding company, Spectra A&amp;D Holdings (“Spectra”). We received payment in full of $5.1 million on our second lien and revolving debt. We sold our preferred and a portion of our common equity investments for a realized gain of approximately $1.0 million. In conjunction with the transaction, we invested $8.0 million in first lien debt and $4.1 million in preferred equity, of which $2.0 million was rolled over from our original common equity investment in Flight Display Systems.</w:t>
      </w:r>
    </w:p>
    <w:p>
      <w:pPr>
        <w:spacing w:after="0" w:line="16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February 16, 2021, we redeemed $50.0 million of the $69.0 million aggregate principal amount on the February 2024 Notes, resulting in a realized loss on extinguishment of debt of approximately $1.1 million.</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February 19, 2021, we exited our debt investment in Wheel Pros, Inc. We received payment in full of $20.4 million on our second lien debt, which includes a prepayment fee.</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59" w:right="45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Subsequent to December 31, 2020, the global outbreak of the COVID-19 pandemic has adversely affected some of the Company’s investments and continues to have adverse consequences on the U.S. and global economies. The ultimate economic fallout from the pandemic, and the long-term impact on economies, markets, industries and individual portfolio companies, remains uncertain. At the time of this filing, there is no indication of a reportable subsequent event impacting the Company’s financial statements for the year ended December 31, 2020. The Company cannot predict the extent to which its financial condition and results of operations will be adversely affected at this time. The potential impact to our results will depend to a large extent on future developments and new information that may emerge regarding the duration and severity of COVID-19. The Company continues to observe and respond to the evolving COVID-19 environment and its potential impact on areas across its business.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December 31, 2020 and 2019, 22 and 17 portfolio companies’ debt investments, respectively, bore interest at a variable rate, which represented $230.9 million and $181.3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December 31, 2020 (dollars in millions):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Interest Income</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Interest Expense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1"/>
              </w:rPr>
              <w:t>Net Increase</w:t>
            </w:r>
          </w:p>
        </w:tc>
        <w:tc>
          <w:tcPr>
            <w:tcW w:w="300" w:type="dxa"/>
            <w:vAlign w:val="bottom"/>
          </w:tcPr>
          <w:p>
            <w:pPr>
              <w:spacing w:after="0"/>
              <w:rPr>
                <w:sz w:val="12"/>
                <w:szCs w:val="12"/>
                <w:color w:val="auto"/>
              </w:rPr>
            </w:pP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1"/>
              </w:rPr>
              <w:t>Net Investment</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Increase (Decrease)</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20" w:type="dxa"/>
            <w:vAlign w:val="bottom"/>
            <w:tcBorders>
              <w:bottom w:val="single" w:sz="8" w:color="auto"/>
            </w:tcBorders>
            <w:vMerge w:val="continue"/>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2"/>
                <w:szCs w:val="12"/>
                <w:b w:val="1"/>
                <w:bCs w:val="1"/>
                <w:color w:val="auto"/>
                <w:w w:val="97"/>
              </w:rPr>
              <w:t>(1) (2)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(Decrease)</w:t>
            </w:r>
            <w:r>
              <w:rPr>
                <w:rFonts w:ascii="Arial" w:cs="Arial" w:eastAsia="Arial" w:hAnsi="Arial"/>
                <w:sz w:val="12"/>
                <w:szCs w:val="12"/>
                <w:b w:val="1"/>
                <w:bCs w:val="1"/>
                <w:color w:val="auto"/>
                <w:w w:val="90"/>
              </w:rPr>
              <w:t>(4)</w:t>
            </w:r>
          </w:p>
        </w:tc>
        <w:tc>
          <w:tcPr>
            <w:tcW w:w="640" w:type="dxa"/>
            <w:vAlign w:val="bottom"/>
          </w:tcPr>
          <w:p>
            <w:pPr>
              <w:spacing w:after="0"/>
              <w:rPr>
                <w:sz w:val="14"/>
                <w:szCs w:val="14"/>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(200)</w:t>
            </w:r>
          </w:p>
        </w:tc>
        <w:tc>
          <w:tcPr>
            <w:tcW w:w="2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 .</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 income calculated assuming three-month LIBOR rate as of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9" w:lineRule="exact"/>
        <w:rPr>
          <w:rFonts w:ascii="Arial" w:cs="Arial" w:eastAsia="Arial" w:hAnsi="Arial"/>
          <w:sz w:val="18"/>
          <w:szCs w:val="18"/>
          <w:color w:val="auto"/>
        </w:rPr>
      </w:pPr>
    </w:p>
    <w:p>
      <w:pPr>
        <w:ind w:left="540" w:right="380" w:hanging="424"/>
        <w:spacing w:after="0" w:line="26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of December 31, 2020, we did not have any borrowings outstanding under our Credit Facility, and our remaining debt obligations all carry fixed interest rates.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07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304"/>
        </w:trPr>
        <w:tc>
          <w:tcPr>
            <w:tcW w:w="1072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Reports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72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Assets and Liabilities as of December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Operations for the Years Ended December 31, 2020, 2019 and 2018</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Statements of Changes in Net Assets for the Years Ended December 31, 2020, 2019 and 2018</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Cash Flows for the Years Ended December 31, 2020, 2019 and 2018</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Consolidated Schedules of Investments as of December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0720" w:type="dxa"/>
            <w:vAlign w:val="bottom"/>
          </w:tcPr>
          <w:p>
            <w:pPr>
              <w:ind w:left="36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Notes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64"/>
        </w:trPr>
        <w:tc>
          <w:tcPr>
            <w:tcW w:w="10720" w:type="dxa"/>
            <w:vAlign w:val="bottom"/>
          </w:tcPr>
          <w:p>
            <w:pPr>
              <w:ind w:left="54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Fidus Investment Corporation and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have audited the accompanying consolidated statements of assets and liabilities of Fidus Investment Corporation and subsidiaries (collectively, the Company), including the consolidated schedules of investments, as of December 31, 2020 and 2019, the related consolidated statements of operations, changes in net assets, and cash flows for each of the three years in the period ended December 31, 2020, and the related notes, which include the senior securities table, to the consolidated financial statements (collectively, the financial statements). In our opinion, the financial statements present fairly, in all material respects, the financial position of the Company as of December 31, 2020 and 2019, and the results of its operations, changes in net assets, and cash flows for each of the three years in the period ended December 31, 2020 in conformity with accounting principles generally accepted in the United States of America.</w:t>
      </w:r>
    </w:p>
    <w:p>
      <w:pPr>
        <w:spacing w:after="0" w:line="19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and our report dated February 25, 2021, expressed an unqualified opinion on the effectiveness of the Company’s internal control over financial reporting.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4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2020 and 2019, by correspondence with the custodians,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w:t>
      </w:r>
    </w:p>
    <w:p>
      <w:pPr>
        <w:ind w:left="120" w:right="20" w:hanging="4"/>
        <w:spacing w:after="0" w:line="255" w:lineRule="auto"/>
        <w:tabs>
          <w:tab w:leader="none" w:pos="3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level 3 investments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discussed in Notes 2 and 4 to the consolidated financial statements, the Company measures substantially all of its investments at fair value using unobservable inputs and assumptions as there is no readily available market value. Due to the use of unobservable inputs in determining fair value, these investments are classified as level 3 within the fair value hierarchy and total $742,869 thousand as of December 31, 2020.</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identified the valuation of certain level 3 investments as a critical audit matter because of certain significant assumptions management makes in determining the estimate, including the selected valuation techniques, revenue or EBITDA multiples, and discount rates. Auditing management’s valuation techniques and assumptions of revenue and EBITDA multiples and the discount rate involved a high degree of auditor judgment and increased audit effort, including the use of valuation specialists, as changes in these assumptions could have a significant impact on the fair value of the level 3 investments.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procedures related to the Company’s valuation of level 3 investments included the following, among others:</w:t>
      </w:r>
    </w:p>
    <w:p>
      <w:pPr>
        <w:spacing w:after="0" w:line="131" w:lineRule="exact"/>
        <w:rPr>
          <w:sz w:val="20"/>
          <w:szCs w:val="20"/>
          <w:color w:val="auto"/>
        </w:rPr>
      </w:pPr>
    </w:p>
    <w:p>
      <w:pPr>
        <w:ind w:left="1080" w:right="12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Company’s process to determine fair value of its level 3 investments, including controls over the Company’s methods and selection of significant unobservable inputs, and tested such controls for operating effectiveness.</w:t>
      </w:r>
    </w:p>
    <w:p>
      <w:pPr>
        <w:spacing w:after="0" w:line="89" w:lineRule="exact"/>
        <w:rPr>
          <w:rFonts w:ascii="Arial" w:cs="Arial" w:eastAsia="Arial" w:hAnsi="Arial"/>
          <w:sz w:val="18"/>
          <w:szCs w:val="18"/>
          <w:color w:val="auto"/>
        </w:rPr>
      </w:pPr>
    </w:p>
    <w:p>
      <w:pPr>
        <w:ind w:left="1080" w:right="440" w:hanging="424"/>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evaluated the appropriateness of management’s valuation techniques, such as the discounted cash flow or enterprise value, and management’s asset coverage analysis. We also evaluated whether assumptions used by management, including revenue or EBITDA multiples and discount rates, were reasonable by comparing these inputs to market information obtained from external sources. For a selection of investments, we utilized valuation specialists to perform this evaluation.</w:t>
      </w:r>
    </w:p>
    <w:p>
      <w:pPr>
        <w:spacing w:after="0" w:line="76"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 select number of investments, we utilized the valuation specialists to develop an independent fair value estimate which was compared to management’s estimate.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evaluated the Company’s historical ability to estimate fair value by comparing the fair value as estimated by management against sale transactions, where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follows the appropriate accounting principles when determining if there has been a sale or disposition of a portfolio investment. The fair value of the Company’s level 3 investments was $742,869 thousand as of December 31, 2020 and net loss on investments was $8,123 thousand for the year ended December 31, 2020.</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identified the transfer of financial assets as a critical audit matter as management’s assessment of the accounting principles that determine if a financial transfer occurred is complex and requires that management make significant judgments, including determining (1) if assets are legally isolated from the Company, (2) if there is continuing involvement of the Company and (3) if third party constraints provide a more than trivial benefit to the Company. Auditing management’s determination of whether the transfer should be accounted for as a sale or secured borrowing involved a high degree of auditor judgment and increased audit effort, including the use of subject matter experts, as changes in management’s judgments could change the conclusion reached.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procedures related to the Company’s transfer of financial assets analysis included the following, among others:</w:t>
      </w:r>
    </w:p>
    <w:p>
      <w:pPr>
        <w:spacing w:after="0" w:line="131" w:lineRule="exact"/>
        <w:rPr>
          <w:sz w:val="20"/>
          <w:szCs w:val="20"/>
          <w:color w:val="auto"/>
        </w:rPr>
      </w:pPr>
    </w:p>
    <w:p>
      <w:pPr>
        <w:ind w:left="1080" w:right="5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Company’s process to determine if a transfer of financial assets occurred and tested such controls for operating effectiveness.</w:t>
      </w:r>
    </w:p>
    <w:p>
      <w:pPr>
        <w:spacing w:after="0" w:line="75"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evaluated the Company’s determination of sale or secured borrowing by evaluating the following factors: (1) if the transferred assets were isolated from the Company, (2) if there is continuing involvement of the Company, and (3) if third party constraints provide a more than trivial benefit to the Company.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inspected legal documents and correspondence with custodians, portfolio companies or agents in order to evaluate whether the criteria for sale treatment under the accounting principles was met. For selected transactions, we involved a subject matter expert to assist with this evaluation.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25,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Fidus Investment Corporation and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We have audited Fidus Investment Corporation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of the Company as of December 31, 2020 and 2019, the related consolidated statements of operations for each of the three years in the period ended December 31, 2020, and the related notes to the consolidated financial statements and our report dated February 25, 2021 expressed an unqualified opinion.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25,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 investments (cost: $32,969 and $27,718,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21,820</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Affiliate investments (cost: $31,836 and $56,328,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81,394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121,555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Non-control/non-affiliate investments (cost: $622,222 and $620,453,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633,222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623,544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investments, at fair value (cost: $687,027 and $704,499, respectively)</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742,869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766,919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124,308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875,740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789,439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144,004</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153,802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Notes, net of deferred financing costs (Note 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300,294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176,901</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Base management fee payable – due to affiliate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11,031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464,980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377,129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(100,000,000 shares authorized, 24,437,400 and 24,463,119 shares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 and December 31, 2019,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365,793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366,061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44,943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46,225</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410,760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875,740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789,439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53,769</w:t>
            </w:r>
          </w:p>
        </w:tc>
        <w:tc>
          <w:tcPr>
            <w:tcW w:w="0" w:type="dxa"/>
            <w:vAlign w:val="bottom"/>
          </w:tcPr>
          <w:p>
            <w:pPr>
              <w:spacing w:after="0"/>
              <w:rPr>
                <w:sz w:val="1"/>
                <w:szCs w:val="1"/>
                <w:color w:val="auto"/>
              </w:rPr>
            </w:pPr>
          </w:p>
        </w:tc>
      </w:tr>
      <w:tr>
        <w:trPr>
          <w:trHeight w:val="223"/>
        </w:trPr>
        <w:tc>
          <w:tcPr>
            <w:tcW w:w="6540" w:type="dxa"/>
            <w:vAlign w:val="bottom"/>
          </w:tcPr>
          <w:p>
            <w:pPr>
              <w:ind w:left="1080"/>
              <w:spacing w:after="0"/>
              <w:rPr>
                <w:sz w:val="20"/>
                <w:szCs w:val="20"/>
                <w:color w:val="auto"/>
              </w:rPr>
            </w:pPr>
            <w:r>
              <w:rPr>
                <w:rFonts w:ascii="Arial" w:cs="Arial" w:eastAsia="Arial" w:hAnsi="Arial"/>
                <w:sz w:val="18"/>
                <w:szCs w:val="18"/>
                <w:color w:val="auto"/>
              </w:rPr>
              <w:t>Total interest income</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62,175</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Payment-in-kind 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6,590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payment-in-kind 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6540" w:type="dxa"/>
            <w:vAlign w:val="bottom"/>
          </w:tcPr>
          <w:p>
            <w:pPr>
              <w:ind w:left="1080"/>
              <w:spacing w:after="0"/>
              <w:rPr>
                <w:sz w:val="20"/>
                <w:szCs w:val="20"/>
                <w:color w:val="auto"/>
              </w:rPr>
            </w:pPr>
            <w:r>
              <w:rPr>
                <w:rFonts w:ascii="Arial" w:cs="Arial" w:eastAsia="Arial" w:hAnsi="Arial"/>
                <w:sz w:val="18"/>
                <w:szCs w:val="18"/>
                <w:color w:val="auto"/>
              </w:rPr>
              <w:t>Total dividend income</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fee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Interest on idle funds and other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76,425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12,659</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Base management fee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12,399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Incentive fee (reversal) - capital gains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3,299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service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Total expenses before income incentive fee waiver</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44,637</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waiver -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Total expenses, net of income incentive fee waiver</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44,637</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35,778</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 (losses):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(25,623)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(21,055)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realized gain (loss) on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Income tax (provision) benefit from realized gains on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20,477</w:t>
            </w:r>
          </w:p>
        </w:tc>
        <w:tc>
          <w:tcPr>
            <w:tcW w:w="0" w:type="dxa"/>
            <w:vAlign w:val="bottom"/>
          </w:tcPr>
          <w:p>
            <w:pPr>
              <w:spacing w:after="0"/>
              <w:rPr>
                <w:sz w:val="1"/>
                <w:szCs w:val="1"/>
                <w:color w:val="auto"/>
              </w:rPr>
            </w:pPr>
          </w:p>
        </w:tc>
      </w:tr>
      <w:tr>
        <w:trPr>
          <w:trHeight w:val="216"/>
        </w:trPr>
        <w:tc>
          <w:tcPr>
            <w:tcW w:w="654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7,909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7,109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25,718</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gain (loss) on investments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48,466</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in net assets resulting from operations per share — basic and 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Dividends declared per share</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24,442,431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24,463,119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24,471,730</w:t>
            </w:r>
          </w:p>
        </w:tc>
        <w:tc>
          <w:tcPr>
            <w:tcW w:w="0" w:type="dxa"/>
            <w:vAlign w:val="bottom"/>
          </w:tcPr>
          <w:p>
            <w:pPr>
              <w:spacing w:after="0"/>
              <w:rPr>
                <w:sz w:val="1"/>
                <w:szCs w:val="1"/>
                <w:color w:val="auto"/>
              </w:rPr>
            </w:pPr>
          </w:p>
        </w:tc>
      </w:tr>
      <w:tr>
        <w:trPr>
          <w:trHeight w:val="223"/>
        </w:trPr>
        <w:tc>
          <w:tcPr>
            <w:tcW w:w="7220" w:type="dxa"/>
            <w:vAlign w:val="bottom"/>
            <w:gridSpan w:val="2"/>
          </w:tcPr>
          <w:p>
            <w:pPr>
              <w:ind w:left="3740"/>
              <w:spacing w:after="0"/>
              <w:rPr>
                <w:sz w:val="20"/>
                <w:szCs w:val="20"/>
                <w:color w:val="auto"/>
              </w:rPr>
            </w:pPr>
            <w:r>
              <w:rPr>
                <w:rFonts w:ascii="Arial" w:cs="Arial" w:eastAsia="Arial" w:hAnsi="Arial"/>
                <w:sz w:val="18"/>
                <w:szCs w:val="18"/>
                <w:i w:val="1"/>
                <w:iCs w:val="1"/>
                <w:color w:val="auto"/>
                <w:w w:val="88"/>
              </w:rPr>
              <w:t>See Notes to Consolidated Financial Statements.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140"/>
          </w:cols>
          <w:pgMar w:left="320" w:top="459" w:right="439" w:bottom="561" w:gutter="0" w:footer="0" w:header="0"/>
        </w:sectPr>
      </w:pPr>
    </w:p>
    <w:p>
      <w:pPr>
        <w:jc w:val="center"/>
        <w:ind w:right="-1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561"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020" w:type="dxa"/>
            <w:vAlign w:val="bottom"/>
          </w:tcPr>
          <w:p>
            <w:pPr>
              <w:spacing w:after="0"/>
              <w:rPr>
                <w:sz w:val="9"/>
                <w:szCs w:val="9"/>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9"/>
                <w:szCs w:val="9"/>
                <w:color w:val="auto"/>
              </w:rPr>
            </w:pPr>
          </w:p>
        </w:tc>
        <w:tc>
          <w:tcPr>
            <w:tcW w:w="9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paid-in</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24,507,940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$370,796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$393,273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(44,821)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15"/>
                <w:szCs w:val="15"/>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(11,027)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25,718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w w:val="92"/>
              </w:rPr>
              <w:t>Tax reclassification of stockholders’ equity in accordance with generally accepted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accounting principles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24,463,119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36,273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$402,985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31,969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17,684</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17,684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(39,141)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(39,141)</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Tax reclassification of stockholders’ equity in accordance with generally accepted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principles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$366,061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$412,310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15"/>
                <w:szCs w:val="15"/>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39,648</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39,648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(6,578)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(32,508)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Tax reclassification of stockholders’ equity in accordance with generally accepted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principles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24,437,400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363,751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  amount is greater than zero but less than one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Years Ended</w:t>
      </w:r>
    </w:p>
    <w:p>
      <w:pPr>
        <w:ind w:left="9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31,226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48,466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49,452</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Adjustments to reconcile net increase in net assets resulting from operations to net cash provided by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(used for) operating activities: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6,578</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(25,718)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 loss on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Interest and dividend income paid-in-kind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(4,660)</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Accretion of loan origination fees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 of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(189,996)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(219,173)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(212,264)</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Proceeds from sales and repayments of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210,774</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120,600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188,255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loan origination fees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Realized losses on extinguishment of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80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interest and fees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00" w:type="dxa"/>
            <w:vAlign w:val="bottom"/>
          </w:tcPr>
          <w:p>
            <w:pPr>
              <w:ind w:left="1080"/>
              <w:spacing w:after="0"/>
              <w:rPr>
                <w:sz w:val="20"/>
                <w:szCs w:val="20"/>
                <w:color w:val="auto"/>
              </w:rPr>
            </w:pPr>
            <w:r>
              <w:rPr>
                <w:rFonts w:ascii="Arial" w:cs="Arial" w:eastAsia="Arial" w:hAnsi="Arial"/>
                <w:sz w:val="18"/>
                <w:szCs w:val="18"/>
                <w:color w:val="auto"/>
              </w:rPr>
              <w:t>Base management fee payable – due to affiliate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Income incentive fee payable – due to affiliate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7800" w:type="dxa"/>
            <w:vAlign w:val="bottom"/>
          </w:tcPr>
          <w:p>
            <w:pPr>
              <w:ind w:left="1080"/>
              <w:spacing w:after="0"/>
              <w:rPr>
                <w:sz w:val="20"/>
                <w:szCs w:val="20"/>
                <w:color w:val="auto"/>
              </w:rPr>
            </w:pPr>
            <w:r>
              <w:rPr>
                <w:rFonts w:ascii="Arial" w:cs="Arial" w:eastAsia="Arial" w:hAnsi="Arial"/>
                <w:sz w:val="18"/>
                <w:szCs w:val="18"/>
                <w:color w:val="auto"/>
              </w:rPr>
              <w:t>Capital gains incentive fee (reversal) – due to (from) affiliate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Administration fee payable and other – due to affiliate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800" w:type="dxa"/>
            <w:vAlign w:val="bottom"/>
          </w:tcPr>
          <w:p>
            <w:pPr>
              <w:ind w:left="108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80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(68,728)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Proceeds received from SBA debentures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Repayments of SBA debentures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Proceeds received from issuance of Notes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125,000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132,250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Payment of deferred financing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paid to stockholders, including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(32,508)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Repurchases of common stock under Stock Repurchase Program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23"/>
        </w:trPr>
        <w:tc>
          <w:tcPr>
            <w:tcW w:w="7800" w:type="dxa"/>
            <w:vAlign w:val="bottom"/>
          </w:tcPr>
          <w:p>
            <w:pPr>
              <w:ind w:left="14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109,296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(27,003)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41,572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124,308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payments for interest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30"/>
        </w:trPr>
        <w:tc>
          <w:tcPr>
            <w:tcW w:w="7800" w:type="dxa"/>
            <w:vAlign w:val="bottom"/>
          </w:tcPr>
          <w:p>
            <w:pPr>
              <w:ind w:left="720"/>
              <w:spacing w:after="0"/>
              <w:rPr>
                <w:sz w:val="20"/>
                <w:szCs w:val="20"/>
                <w:color w:val="auto"/>
              </w:rPr>
            </w:pPr>
            <w:r>
              <w:rPr>
                <w:rFonts w:ascii="Arial" w:cs="Arial" w:eastAsia="Arial" w:hAnsi="Arial"/>
                <w:sz w:val="18"/>
                <w:szCs w:val="18"/>
                <w:color w:val="auto"/>
              </w:rPr>
              <w:t>Cash payments for taxes, net of tax refunds received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720" w:type="dxa"/>
            <w:vAlign w:val="bottom"/>
            <w:gridSpan w:val="5"/>
          </w:tcPr>
          <w:p>
            <w:pPr>
              <w:spacing w:after="0"/>
              <w:rPr>
                <w:sz w:val="20"/>
                <w:szCs w:val="20"/>
                <w:color w:val="auto"/>
              </w:rPr>
            </w:pPr>
            <w:r>
              <w:rPr>
                <w:rFonts w:ascii="Arial" w:cs="Arial" w:eastAsia="Arial" w:hAnsi="Arial"/>
                <w:sz w:val="13"/>
                <w:szCs w:val="13"/>
                <w:b w:val="1"/>
                <w:bCs w:val="1"/>
                <w:color w:val="auto"/>
              </w:rPr>
              <w:t>Portfolio Company (a)(b)</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600" w:type="dxa"/>
            <w:vAlign w:val="bottom"/>
            <w:gridSpan w:val="3"/>
          </w:tcPr>
          <w:p>
            <w:pPr>
              <w:ind w:left="100"/>
              <w:spacing w:after="0"/>
              <w:rPr>
                <w:sz w:val="20"/>
                <w:szCs w:val="20"/>
                <w:color w:val="auto"/>
              </w:rPr>
            </w:pPr>
            <w:r>
              <w:rPr>
                <w:rFonts w:ascii="Arial" w:cs="Arial" w:eastAsia="Arial" w:hAnsi="Arial"/>
                <w:sz w:val="13"/>
                <w:szCs w:val="13"/>
                <w:b w:val="1"/>
                <w:bCs w:val="1"/>
                <w:color w:val="auto"/>
                <w:w w:val="87"/>
              </w:rPr>
              <w:t>Principal</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49"/>
        </w:trPr>
        <w:tc>
          <w:tcPr>
            <w:tcW w:w="2720" w:type="dxa"/>
            <w:vAlign w:val="bottom"/>
            <w:gridSpan w:val="5"/>
          </w:tcPr>
          <w:p>
            <w:pPr>
              <w:spacing w:after="0"/>
              <w:rPr>
                <w:sz w:val="20"/>
                <w:szCs w:val="20"/>
                <w:color w:val="auto"/>
              </w:rPr>
            </w:pPr>
            <w:r>
              <w:rPr>
                <w:rFonts w:ascii="Arial" w:cs="Arial" w:eastAsia="Arial" w:hAnsi="Arial"/>
                <w:sz w:val="13"/>
                <w:szCs w:val="13"/>
                <w:b w:val="1"/>
                <w:bCs w:val="1"/>
                <w:color w:val="auto"/>
              </w:rPr>
              <w:t>Investment Type (c)</w:t>
            </w:r>
          </w:p>
        </w:tc>
        <w:tc>
          <w:tcPr>
            <w:tcW w:w="100" w:type="dxa"/>
            <w:vAlign w:val="bottom"/>
          </w:tcPr>
          <w:p>
            <w:pPr>
              <w:spacing w:after="0"/>
              <w:rPr>
                <w:sz w:val="12"/>
                <w:szCs w:val="12"/>
                <w:color w:val="auto"/>
              </w:rPr>
            </w:pPr>
          </w:p>
        </w:tc>
        <w:tc>
          <w:tcPr>
            <w:tcW w:w="2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Spread /Floor (d)</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Cash/PIK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Cost</w:t>
            </w:r>
          </w:p>
        </w:tc>
        <w:tc>
          <w:tcPr>
            <w:tcW w:w="580" w:type="dxa"/>
            <w:vAlign w:val="bottom"/>
            <w:gridSpan w:val="3"/>
          </w:tcPr>
          <w:p>
            <w:pPr>
              <w:ind w:left="100"/>
              <w:spacing w:after="0"/>
              <w:rPr>
                <w:sz w:val="20"/>
                <w:szCs w:val="20"/>
                <w:color w:val="auto"/>
              </w:rPr>
            </w:pPr>
            <w:r>
              <w:rPr>
                <w:rFonts w:ascii="Arial" w:cs="Arial" w:eastAsia="Arial" w:hAnsi="Arial"/>
                <w:sz w:val="13"/>
                <w:szCs w:val="13"/>
                <w:b w:val="1"/>
                <w:bCs w:val="1"/>
                <w:color w:val="auto"/>
                <w:w w:val="83"/>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gridSpan w:val="4"/>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 (t)</w:t>
            </w:r>
          </w:p>
        </w:tc>
        <w:tc>
          <w:tcPr>
            <w:tcW w:w="10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4"/>
              </w:rPr>
              <w:t>FDS Avionics Corp. (dba Flight Display Systems)</w:t>
            </w:r>
          </w:p>
        </w:tc>
        <w:tc>
          <w:tcPr>
            <w:tcW w:w="210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Aerospace &amp; Defense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95"/>
              </w:rPr>
              <w:t>6.00%/9.00%</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11/5/2014</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12/31/2021</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4,836</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4,836</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4,836</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w w:val="96"/>
              </w:rPr>
              <w:t>Revolving Loan ($30 unfunded commitment)</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6.00%/9.00%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4/12/2018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12/31/2021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w:t>
            </w: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Common Equity (7,478 shares) (j)</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11/10/2017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(2,550 shares)</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12/26/2019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2,550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98"/>
              </w:rPr>
              <w:t>8,420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7,391</w:t>
            </w:r>
          </w:p>
        </w:tc>
        <w:tc>
          <w:tcPr>
            <w:tcW w:w="82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210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Building Products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95"/>
              </w:rPr>
              <w:t>8.00%/5.00%</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7/3/2014</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8/30/2024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15,382</w:t>
            </w: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0"/>
              </w:rPr>
              <w:t>15,378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0"/>
              </w:rPr>
              <w:t>13,078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8.50%/6.50%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11/9/2018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8/30/2024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5,028</w:t>
            </w: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5,028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5,183</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95"/>
              </w:rPr>
              <w:t>8.50%/6.50%</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8/10/2020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8/30/2024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2,533</w:t>
            </w: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2,533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2,601</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(2,522 units) (h)(j)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Common Equity (425,508 units) (j)</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8/30/2019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(1,022,813 units) (h)(j)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7/1/2020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1,023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24,549</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20,862</w:t>
            </w:r>
          </w:p>
        </w:tc>
        <w:tc>
          <w:tcPr>
            <w:tcW w:w="82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32,969</w:t>
            </w:r>
          </w:p>
        </w:tc>
        <w:tc>
          <w:tcPr>
            <w:tcW w:w="2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28,253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27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Affiliate Investments (l)</w:t>
            </w: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w w:val="94"/>
              </w:rPr>
              <w:t>FAR Research Inc. (n)</w:t>
            </w:r>
          </w:p>
        </w:tc>
        <w:tc>
          <w:tcPr>
            <w:tcW w:w="1460" w:type="dxa"/>
            <w:vAlign w:val="bottom"/>
            <w:gridSpan w:val="2"/>
            <w:shd w:val="clear" w:color="auto" w:fill="CCEEFF"/>
          </w:tcPr>
          <w:p>
            <w:pPr>
              <w:spacing w:after="0"/>
              <w:rPr>
                <w:sz w:val="11"/>
                <w:szCs w:val="11"/>
                <w:color w:val="auto"/>
              </w:rPr>
            </w:pPr>
          </w:p>
        </w:tc>
        <w:tc>
          <w:tcPr>
            <w:tcW w:w="210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3"/>
                <w:szCs w:val="13"/>
                <w:color w:val="auto"/>
              </w:rPr>
              <w:t>Specialty Chemicals</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gridSpan w:val="4"/>
          </w:tcPr>
          <w:p>
            <w:pPr>
              <w:ind w:left="220"/>
              <w:spacing w:after="0"/>
              <w:rPr>
                <w:sz w:val="20"/>
                <w:szCs w:val="20"/>
                <w:color w:val="auto"/>
              </w:rPr>
            </w:pPr>
            <w:r>
              <w:rPr>
                <w:rFonts w:ascii="Arial" w:cs="Arial" w:eastAsia="Arial" w:hAnsi="Arial"/>
                <w:sz w:val="13"/>
                <w:szCs w:val="13"/>
                <w:color w:val="auto"/>
              </w:rPr>
              <w:t>Common Equity (1,396 units)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3/31/2014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Fiber Materials, Inc. (n)</w:t>
            </w:r>
          </w:p>
        </w:tc>
        <w:tc>
          <w:tcPr>
            <w:tcW w:w="210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Aerospace &amp; Defense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gridSpan w:val="4"/>
          </w:tcPr>
          <w:p>
            <w:pPr>
              <w:ind w:left="220"/>
              <w:spacing w:after="0"/>
              <w:rPr>
                <w:sz w:val="20"/>
                <w:szCs w:val="20"/>
                <w:color w:val="auto"/>
              </w:rPr>
            </w:pPr>
            <w:r>
              <w:rPr>
                <w:rFonts w:ascii="Arial" w:cs="Arial" w:eastAsia="Arial" w:hAnsi="Arial"/>
                <w:sz w:val="13"/>
                <w:szCs w:val="13"/>
                <w:color w:val="auto"/>
              </w:rPr>
              <w:t>Common Equity (10 units)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11/30/2016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Medsurant Holdings, LLC</w:t>
            </w:r>
          </w:p>
        </w:tc>
        <w:tc>
          <w:tcPr>
            <w:tcW w:w="210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 Services</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14.00%/0.00%</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12/18/2015</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3/10/2022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8,031</w:t>
            </w: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8,028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8,091</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(63,331 units) (h)(j)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4/12/2011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Warrant (252,588 units) (h)(j)(m)</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4/12/2011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2,258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2,249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10,959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10,960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21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Utility Equipment Manufacturing</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(L + 10.00%) / (1.00%)</w:t>
            </w:r>
          </w:p>
        </w:tc>
        <w:tc>
          <w:tcPr>
            <w:tcW w:w="8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11.00%/5.00%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11/25/2021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6,410</w:t>
            </w: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6,483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6,410</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Common Equity (2,500,000 shares) (o)</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11/25/2015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2,188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8,671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6,494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21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Healthcare Products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(4,250 units) (j)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3/29/2013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33,505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70"/>
        </w:trPr>
        <w:tc>
          <w:tcPr>
            <w:tcW w:w="2720" w:type="dxa"/>
            <w:vAlign w:val="bottom"/>
            <w:gridSpan w:val="5"/>
          </w:tcPr>
          <w:p>
            <w:pPr>
              <w:spacing w:after="0"/>
              <w:rPr>
                <w:sz w:val="20"/>
                <w:szCs w:val="20"/>
                <w:color w:val="auto"/>
              </w:rPr>
            </w:pPr>
            <w:r>
              <w:rPr>
                <w:rFonts w:ascii="Arial" w:cs="Arial" w:eastAsia="Arial" w:hAnsi="Arial"/>
                <w:sz w:val="13"/>
                <w:szCs w:val="13"/>
                <w:i w:val="1"/>
                <w:iCs w:val="1"/>
                <w:color w:val="auto"/>
              </w:rPr>
              <w:t>Pinnergy, Ltd.</w:t>
            </w:r>
          </w:p>
        </w:tc>
        <w:tc>
          <w:tcPr>
            <w:tcW w:w="2100" w:type="dxa"/>
            <w:vAlign w:val="bottom"/>
            <w:gridSpan w:val="3"/>
          </w:tcPr>
          <w:p>
            <w:pPr>
              <w:ind w:left="100"/>
              <w:spacing w:after="0"/>
              <w:rPr>
                <w:sz w:val="20"/>
                <w:szCs w:val="20"/>
                <w:color w:val="auto"/>
              </w:rPr>
            </w:pPr>
            <w:r>
              <w:rPr>
                <w:rFonts w:ascii="Arial" w:cs="Arial" w:eastAsia="Arial" w:hAnsi="Arial"/>
                <w:sz w:val="13"/>
                <w:szCs w:val="13"/>
                <w:color w:val="auto"/>
              </w:rPr>
              <w:t>Oil &amp; Gas Services</w:t>
            </w: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w w:val="94"/>
              </w:rPr>
              <w:t>Common Equity—Class A-2 (42,500 units) (j)</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10/13/2016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20,589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0"/>
        </w:trPr>
        <w:tc>
          <w:tcPr>
            <w:tcW w:w="2720" w:type="dxa"/>
            <w:vAlign w:val="bottom"/>
            <w:gridSpan w:val="5"/>
          </w:tcPr>
          <w:p>
            <w:pPr>
              <w:spacing w:after="0"/>
              <w:rPr>
                <w:sz w:val="20"/>
                <w:szCs w:val="20"/>
                <w:color w:val="auto"/>
              </w:rPr>
            </w:pPr>
            <w:r>
              <w:rPr>
                <w:rFonts w:ascii="Arial" w:cs="Arial" w:eastAsia="Arial" w:hAnsi="Arial"/>
                <w:sz w:val="13"/>
                <w:szCs w:val="13"/>
                <w:i w:val="1"/>
                <w:iCs w:val="1"/>
                <w:color w:val="auto"/>
              </w:rPr>
              <w:t>Steward Holding LLC (dba Steward Advanced</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Materials)</w:t>
            </w:r>
          </w:p>
        </w:tc>
        <w:tc>
          <w:tcPr>
            <w:tcW w:w="210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Aerospace &amp; Defense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12.00%/1.50%</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11/12/2015</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10/31/2021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7,783</w:t>
            </w:r>
          </w:p>
        </w:tc>
        <w:tc>
          <w:tcPr>
            <w:tcW w:w="1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7,781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7,783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(1,000,000 units)</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11/12/2015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1,994</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8,781</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9,777</w:t>
            </w:r>
          </w:p>
        </w:tc>
        <w:tc>
          <w:tcPr>
            <w:tcW w:w="82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31,836</w:t>
            </w:r>
          </w:p>
        </w:tc>
        <w:tc>
          <w:tcPr>
            <w:tcW w:w="2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81,394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Variable Index</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Rate (e)</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8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Principal</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48"/>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20" w:type="dxa"/>
            <w:vAlign w:val="bottom"/>
          </w:tcPr>
          <w:p>
            <w:pPr>
              <w:spacing w:after="0"/>
              <w:rPr>
                <w:sz w:val="12"/>
                <w:szCs w:val="12"/>
                <w:color w:val="auto"/>
              </w:rPr>
            </w:pPr>
          </w:p>
        </w:tc>
        <w:tc>
          <w:tcPr>
            <w:tcW w:w="210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Spread / Floor (d)</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Cash/PIK</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2"/>
                <w:szCs w:val="12"/>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Cost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(g)</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8"/>
              </w:rPr>
              <w:t>Net Assets</w:t>
            </w: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95"/>
        </w:trPr>
        <w:tc>
          <w:tcPr>
            <w:tcW w:w="2360" w:type="dxa"/>
            <w:vAlign w:val="bottom"/>
            <w:gridSpan w:val="3"/>
            <w:shd w:val="clear" w:color="auto" w:fill="CCEEFF"/>
          </w:tcPr>
          <w:p>
            <w:pPr>
              <w:spacing w:after="0" w:line="95" w:lineRule="exact"/>
              <w:rPr>
                <w:sz w:val="20"/>
                <w:szCs w:val="20"/>
                <w:color w:val="auto"/>
              </w:rPr>
            </w:pPr>
            <w:r>
              <w:rPr>
                <w:rFonts w:ascii="Arial" w:cs="Arial" w:eastAsia="Arial" w:hAnsi="Arial"/>
                <w:sz w:val="10"/>
                <w:szCs w:val="10"/>
                <w:b w:val="1"/>
                <w:bCs w:val="1"/>
                <w:color w:val="auto"/>
              </w:rPr>
              <w:t>Non-control/Non-affiliate Investments</w:t>
            </w: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14"/>
        </w:trPr>
        <w:tc>
          <w:tcPr>
            <w:tcW w:w="204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rPr>
              <w:t>Frontline Food Services, LLC</w:t>
            </w:r>
          </w:p>
        </w:tc>
        <w:tc>
          <w:tcPr>
            <w:tcW w:w="3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0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50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36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5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r>
      <w:tr>
        <w:trPr>
          <w:trHeight w:val="149"/>
        </w:trPr>
        <w:tc>
          <w:tcPr>
            <w:tcW w:w="2360" w:type="dxa"/>
            <w:vAlign w:val="bottom"/>
            <w:gridSpan w:val="3"/>
          </w:tcPr>
          <w:p>
            <w:pPr>
              <w:ind w:left="120"/>
              <w:spacing w:after="0"/>
              <w:rPr>
                <w:sz w:val="20"/>
                <w:szCs w:val="20"/>
                <w:color w:val="auto"/>
              </w:rPr>
            </w:pPr>
            <w:r>
              <w:rPr>
                <w:rFonts w:ascii="Arial" w:cs="Arial" w:eastAsia="Arial" w:hAnsi="Arial"/>
                <w:sz w:val="13"/>
                <w:szCs w:val="13"/>
                <w:i w:val="1"/>
                <w:iCs w:val="1"/>
                <w:color w:val="auto"/>
              </w:rPr>
              <w:t>(f/k/a Accent Food Services, LLC)</w:t>
            </w:r>
          </w:p>
        </w:tc>
        <w:tc>
          <w:tcPr>
            <w:tcW w:w="2220" w:type="dxa"/>
            <w:vAlign w:val="bottom"/>
            <w:gridSpan w:val="3"/>
          </w:tcPr>
          <w:p>
            <w:pPr>
              <w:ind w:left="100"/>
              <w:spacing w:after="0"/>
              <w:rPr>
                <w:sz w:val="20"/>
                <w:szCs w:val="20"/>
                <w:color w:val="auto"/>
              </w:rPr>
            </w:pPr>
            <w:r>
              <w:rPr>
                <w:rFonts w:ascii="Arial" w:cs="Arial" w:eastAsia="Arial" w:hAnsi="Arial"/>
                <w:sz w:val="13"/>
                <w:szCs w:val="13"/>
                <w:color w:val="auto"/>
              </w:rPr>
              <w:t>Vending Equipment Manufacturing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1"/>
        </w:trPr>
        <w:tc>
          <w:tcPr>
            <w:tcW w:w="23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Preferred Equity (Class A Units) (46</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units) (j)</w:t>
            </w: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12/31/2020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2,000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21"/>
        </w:trPr>
        <w:tc>
          <w:tcPr>
            <w:tcW w:w="2360" w:type="dxa"/>
            <w:vAlign w:val="bottom"/>
            <w:gridSpan w:val="3"/>
          </w:tcPr>
          <w:p>
            <w:pPr>
              <w:ind w:left="240"/>
              <w:spacing w:after="0" w:line="121" w:lineRule="exact"/>
              <w:rPr>
                <w:sz w:val="20"/>
                <w:szCs w:val="20"/>
                <w:color w:val="auto"/>
              </w:rPr>
            </w:pPr>
            <w:r>
              <w:rPr>
                <w:rFonts w:ascii="Arial" w:cs="Arial" w:eastAsia="Arial" w:hAnsi="Arial"/>
                <w:sz w:val="13"/>
                <w:szCs w:val="13"/>
                <w:color w:val="auto"/>
                <w:w w:val="98"/>
              </w:rPr>
              <w:t>Common Equity (Class B Units) (124</w:t>
            </w: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360" w:type="dxa"/>
            <w:vAlign w:val="bottom"/>
            <w:gridSpan w:val="3"/>
          </w:tcPr>
          <w:p>
            <w:pPr>
              <w:ind w:left="380"/>
              <w:spacing w:after="0"/>
              <w:rPr>
                <w:sz w:val="20"/>
                <w:szCs w:val="20"/>
                <w:color w:val="auto"/>
              </w:rPr>
            </w:pPr>
            <w:r>
              <w:rPr>
                <w:rFonts w:ascii="Arial" w:cs="Arial" w:eastAsia="Arial" w:hAnsi="Arial"/>
                <w:sz w:val="13"/>
                <w:szCs w:val="13"/>
                <w:color w:val="auto"/>
              </w:rPr>
              <w:t>units) (j)</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12/31/2020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1"/>
        </w:trPr>
        <w:tc>
          <w:tcPr>
            <w:tcW w:w="23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w w:val="97"/>
              </w:rPr>
              <w:t>Preferred Equity (Class C Units) (100</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units) (j)</w:t>
            </w: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12/31/2020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2,000</w:t>
            </w:r>
          </w:p>
        </w:tc>
        <w:tc>
          <w:tcPr>
            <w:tcW w:w="1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 Products</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11.25%/0.00%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7/31/2019</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5/26/2023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21,432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21,500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(625,000 units) (j)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11/26/2014</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625</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1,087</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22,057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22,587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21"/>
        </w:trPr>
        <w:tc>
          <w:tcPr>
            <w:tcW w:w="2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4"/>
              </w:rPr>
              <w:t>Allredi, LLC (fka Marco Group International</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OpCo, LLC)</w:t>
            </w: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Industrial Cleaning &amp; Coatings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10.50%/1.75%</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9/2/2026</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10,080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9,993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7,761</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Common Equity (570,636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637</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275</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10,630</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8,036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21"/>
        </w:trPr>
        <w:tc>
          <w:tcPr>
            <w:tcW w:w="2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89"/>
              </w:rPr>
              <w:t>Alzheimer’s Research and Treatment Center,</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LLC</w:t>
            </w: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Healthcare Services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 + 5.75%)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10/23/2018</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10/23/2023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6,471</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6,584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10/23/2018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6,971</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7,350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21"/>
        </w:trPr>
        <w:tc>
          <w:tcPr>
            <w:tcW w:w="2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6"/>
              </w:rPr>
              <w:t>American AllWaste LLC (dba WasteWater</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Transport Services)</w:t>
            </w: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Environmental Industries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4"/>
              </w:rPr>
              <w:t>(L + 11.00%)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13.00%/0.00%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5/31/2018</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11/30/2023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17,434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5/31/2018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8/6/2019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250</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226</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(141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11/2/2020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18,355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18,141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Applied Data Corporation</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(v)</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 + 6.25%) / (1.50%)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11/6/2020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11/6/2025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7,949</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7,949</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 units)</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11/6/2020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(1,070,614 units)</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11/6/2020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1,071</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1,071</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9,020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9,020</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3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22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4"/>
              </w:rPr>
              <w:t>(L + 10.75%) / (2.00%)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12.75%/0.00%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12/26/2018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6/28/2023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12,990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13,031</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236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2220" w:type="dxa"/>
            <w:vAlign w:val="bottom"/>
            <w:gridSpan w:val="3"/>
          </w:tcPr>
          <w:p>
            <w:pPr>
              <w:ind w:left="100"/>
              <w:spacing w:after="0"/>
              <w:rPr>
                <w:sz w:val="20"/>
                <w:szCs w:val="20"/>
                <w:color w:val="auto"/>
              </w:rPr>
            </w:pPr>
            <w:r>
              <w:rPr>
                <w:rFonts w:ascii="Arial" w:cs="Arial" w:eastAsia="Arial" w:hAnsi="Arial"/>
                <w:sz w:val="13"/>
                <w:szCs w:val="13"/>
                <w:color w:val="auto"/>
              </w:rPr>
              <w:t>Specialty Distribution</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11.50%/0.00%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22,448</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487</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464</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22,935</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22,964</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3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94"/>
              </w:rPr>
              <w:t>B&amp;B Roadway and Security Solutions, LLC</w:t>
            </w:r>
          </w:p>
        </w:tc>
        <w:tc>
          <w:tcPr>
            <w:tcW w:w="22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Component Manufacturing</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11.25%/4.00%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1/1/2022</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10,910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10,890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10,782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2/27/2018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497</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11,387</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10,782</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3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22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Retail</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(L + 6.50%) / (2.25%)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8.75%/0.25%</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8/9/2024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14,680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14,289</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15,591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(545,810 units) (j)</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8/9/2019</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931</w:t>
            </w:r>
          </w:p>
        </w:tc>
        <w:tc>
          <w:tcPr>
            <w:tcW w:w="1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554</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15,220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16,145</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23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22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11.00%/0.00%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7/3/2024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29,887</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(1,281 shares)</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1/3/2019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458</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(74 shares)</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736</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737</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30,671</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31,195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Specialty Distribution</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 + 6.25%)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3/12/2019</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3/12/2024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4,507</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4,531</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Common Equity (500,000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5,007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4,794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21"/>
        </w:trPr>
        <w:tc>
          <w:tcPr>
            <w:tcW w:w="2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9"/>
              </w:rPr>
              <w:t>Cardboard Box LLC (dba Anthony’s Coal</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Fired Pizza)</w:t>
            </w: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Restaurants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12/15/2015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521</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9"/>
              </w:rPr>
              <w:t>Preferred Equity (1,043,133 units) (j)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Combined Systems, Inc.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8"/>
              </w:rPr>
              <w:t>Aerospace &amp; Defense Manufacturing</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4"/>
              </w:rPr>
              <w:t>(L + 10.00%)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12.00%/0.00%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1/31/2020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1/31/2025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7,553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7,600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23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Revolving Loan ($1,050 unfunded</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commitment) (j)(ac)</w:t>
            </w: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 + 9.00%) / (2.00%)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11.00%/0.00%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10,483</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10,550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Comply365, LLC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8"/>
              </w:rPr>
              <w:t>Aerospace &amp; Defense Manufacturing</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(ad)</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 + 8.00%) / (1.00%)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12/11/2020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12/11/2025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9,855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9,855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12/11/2020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10,855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10,855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21"/>
        </w:trPr>
        <w:tc>
          <w:tcPr>
            <w:tcW w:w="23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CRS Solutions Holdings, LLC (dba CRS</w:t>
            </w:r>
          </w:p>
        </w:tc>
        <w:tc>
          <w:tcPr>
            <w:tcW w:w="1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36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Texas)</w:t>
            </w: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Business Services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10.50%/1.50%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3/14/2018</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4/30/2024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11,270</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11,305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Common Equity (450,382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11,758</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11,626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Dataguise, Inc.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12/31/2020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12/31/2023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19,900</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19,900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(909 shares) (j)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12/31/2020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21,400</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21,400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(L + 8.00%) / (1.75%)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9.75%/0.00%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2/7/2019</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2/7/2024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17,355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17,159</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17,355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17,752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17,849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23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22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Retail</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3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(j)(p)</w:t>
            </w: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12.00%/1.00%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7/13/2017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1/13/2023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9,253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9,214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5,454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3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7/13/2017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14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9,964</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5,454</w:t>
            </w:r>
          </w:p>
        </w:tc>
        <w:tc>
          <w:tcPr>
            <w:tcW w:w="840" w:type="dxa"/>
            <w:vAlign w:val="bottom"/>
            <w:gridSpan w:val="3"/>
          </w:tcPr>
          <w:p>
            <w:pPr>
              <w:jc w:val="right"/>
              <w:ind w:right="60"/>
              <w:spacing w:after="0"/>
              <w:rPr>
                <w:sz w:val="20"/>
                <w:szCs w:val="20"/>
                <w:color w:val="auto"/>
              </w:rPr>
            </w:pPr>
            <w:r>
              <w:rPr>
                <w:rFonts w:ascii="Arial" w:cs="Arial" w:eastAsia="Arial" w:hAnsi="Arial"/>
                <w:sz w:val="13"/>
                <w:szCs w:val="13"/>
                <w:color w:val="auto"/>
              </w:rPr>
              <w:t>1%</w:t>
            </w:r>
          </w:p>
        </w:tc>
      </w:tr>
    </w:tbl>
    <w:p>
      <w:pPr>
        <w:spacing w:after="0" w:line="122" w:lineRule="exact"/>
        <w:rPr>
          <w:sz w:val="20"/>
          <w:szCs w:val="20"/>
          <w:color w:val="auto"/>
        </w:rPr>
      </w:pPr>
    </w:p>
    <w:p>
      <w:pPr>
        <w:sectPr>
          <w:pgSz w:w="11900" w:h="16838" w:orient="portrait"/>
          <w:cols w:equalWidth="0" w:num="1">
            <w:col w:w="11080"/>
          </w:cols>
          <w:pgMar w:left="320" w:top="459" w:right="499" w:bottom="925" w:gutter="0" w:footer="0" w:header="0"/>
        </w:sectPr>
      </w:pPr>
    </w:p>
    <w:p>
      <w:pPr>
        <w:jc w:val="center"/>
        <w:ind w:right="-1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80"/>
          </w:cols>
          <w:pgMar w:left="320" w:top="459" w:right="499" w:bottom="925"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13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rPr>
          <w:sz w:val="20"/>
          <w:szCs w:val="20"/>
          <w:color w:val="auto"/>
        </w:rPr>
      </w:pPr>
      <w:r>
        <w:rPr>
          <w:rFonts w:ascii="Arial" w:cs="Arial" w:eastAsia="Arial" w:hAnsi="Arial"/>
          <w:sz w:val="13"/>
          <w:szCs w:val="13"/>
          <w:b w:val="1"/>
          <w:bCs w:val="1"/>
          <w:u w:val="single" w:color="auto"/>
          <w:color w:val="auto"/>
        </w:rPr>
        <w:t>Investment Type (c)</w:t>
      </w:r>
    </w:p>
    <w:p>
      <w:pPr>
        <w:ind w:left="120"/>
        <w:spacing w:after="0"/>
        <w:rPr>
          <w:sz w:val="20"/>
          <w:szCs w:val="20"/>
          <w:color w:val="auto"/>
        </w:rPr>
      </w:pPr>
      <w:r>
        <w:rPr>
          <w:rFonts w:ascii="Arial" w:cs="Arial" w:eastAsia="Arial" w:hAnsi="Arial"/>
          <w:sz w:val="13"/>
          <w:szCs w:val="13"/>
          <w:i w:val="1"/>
          <w:iCs w:val="1"/>
          <w:color w:val="auto"/>
        </w:rPr>
        <w:t>ECM Industries, LLC</w:t>
      </w:r>
    </w:p>
    <w:p>
      <w:pPr>
        <w:ind w:left="360"/>
        <w:spacing w:after="0" w:line="216" w:lineRule="auto"/>
        <w:rPr>
          <w:sz w:val="20"/>
          <w:szCs w:val="20"/>
          <w:color w:val="auto"/>
        </w:rPr>
      </w:pPr>
      <w:r>
        <w:rPr>
          <w:rFonts w:ascii="Arial" w:cs="Arial" w:eastAsia="Arial" w:hAnsi="Arial"/>
          <w:sz w:val="13"/>
          <w:szCs w:val="13"/>
          <w:color w:val="auto"/>
        </w:rPr>
        <w:t>Subordinated Debt (j)</w:t>
      </w:r>
    </w:p>
    <w:p>
      <w:pPr>
        <w:jc w:val="right"/>
        <w:ind w:right="80"/>
        <w:spacing w:after="0"/>
        <w:rPr>
          <w:sz w:val="20"/>
          <w:szCs w:val="20"/>
          <w:color w:val="auto"/>
        </w:rPr>
      </w:pPr>
      <w:r>
        <w:rPr>
          <w:rFonts w:ascii="Arial" w:cs="Arial" w:eastAsia="Arial" w:hAnsi="Arial"/>
          <w:sz w:val="13"/>
          <w:szCs w:val="13"/>
          <w:color w:val="auto"/>
        </w:rPr>
        <w:t>Common Equity (1,000,000 units) (h)(j)</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Principal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Percent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Date (f)</w:t>
            </w:r>
          </w:p>
        </w:tc>
        <w:tc>
          <w:tcPr>
            <w:tcW w:w="12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7"/>
              </w:rPr>
              <w:t>Value (g)</w:t>
            </w: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Net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Component Manufacturing</w:t>
            </w:r>
          </w:p>
        </w:tc>
        <w:tc>
          <w:tcPr>
            <w:tcW w:w="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w w:val="92"/>
              </w:rPr>
              <w:t>11.50%/0.00%</w:t>
            </w:r>
          </w:p>
        </w:tc>
        <w:tc>
          <w:tcPr>
            <w:tcW w:w="100" w:type="dxa"/>
            <w:vAlign w:val="bottom"/>
            <w:vMerge w:val="restart"/>
          </w:tcPr>
          <w:p>
            <w:pPr>
              <w:spacing w:after="0"/>
              <w:rPr>
                <w:sz w:val="13"/>
                <w:szCs w:val="13"/>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color w:val="auto"/>
              </w:rPr>
              <w:t>4/30/2020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5/23/2026</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11,500</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5"/>
              </w:rPr>
              <w:t>11,295</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11,500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4/30/2020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1,562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12,295</w:t>
            </w: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13,062</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-375285</wp:posOffset>
            </wp:positionV>
            <wp:extent cx="699516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-195580</wp:posOffset>
            </wp:positionV>
            <wp:extent cx="699516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480" w:space="720"/>
            <w:col w:w="79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9"/>
        </w:trPr>
        <w:tc>
          <w:tcPr>
            <w:tcW w:w="3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Elements Brands, LLC</w:t>
            </w:r>
          </w:p>
        </w:tc>
        <w:tc>
          <w:tcPr>
            <w:tcW w:w="3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Consumer Products</w:t>
            </w: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12.25%/0.00%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12/31/2020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12/31/2025</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5,967</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5,967</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4"/>
              </w:rPr>
              <w:t>Revolving Loan ($838 unfunded commitment) (i)(j)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12.25%/0.00%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12/31/2020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12/31/2025</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2,162</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2,146</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2,146</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8,113</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8,113</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French Transit, LLC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Consumer Products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First Lien Debt (j)</w:t>
            </w:r>
          </w:p>
        </w:tc>
        <w:tc>
          <w:tcPr>
            <w:tcW w:w="3200" w:type="dxa"/>
            <w:vAlign w:val="bottom"/>
          </w:tcPr>
          <w:p>
            <w:pPr>
              <w:jc w:val="right"/>
              <w:spacing w:after="0"/>
              <w:rPr>
                <w:sz w:val="20"/>
                <w:szCs w:val="20"/>
                <w:color w:val="auto"/>
              </w:rPr>
            </w:pPr>
            <w:r>
              <w:rPr>
                <w:rFonts w:ascii="Arial" w:cs="Arial" w:eastAsia="Arial" w:hAnsi="Arial"/>
                <w:sz w:val="13"/>
                <w:szCs w:val="13"/>
                <w:color w:val="auto"/>
              </w:rPr>
              <w:t>(L + 10.00%) / (2.25%)</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w w:val="94"/>
              </w:rPr>
              <w:t>12.25%/0.00%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6/21/2019</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6/21/2024</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4,116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4,088</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4,116</w:t>
            </w: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Component Manufacturing</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Common Equity (947 shares) (j)</w:t>
            </w: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9/21/2018</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9,995</w:t>
            </w: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Common Equity (3 shares)</w:t>
            </w: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5"/>
              </w:rPr>
              <w:t>12/19/2017</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592</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1,660</w:t>
            </w:r>
          </w:p>
        </w:tc>
        <w:tc>
          <w:tcPr>
            <w:tcW w:w="54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Haematologic Technologies, Inc.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(x)</w:t>
            </w:r>
          </w:p>
        </w:tc>
        <w:tc>
          <w:tcPr>
            <w:tcW w:w="3200" w:type="dxa"/>
            <w:vAlign w:val="bottom"/>
          </w:tcPr>
          <w:p>
            <w:pPr>
              <w:jc w:val="right"/>
              <w:spacing w:after="0" w:line="135" w:lineRule="exact"/>
              <w:rPr>
                <w:sz w:val="20"/>
                <w:szCs w:val="20"/>
                <w:color w:val="auto"/>
              </w:rPr>
            </w:pPr>
            <w:r>
              <w:rPr>
                <w:rFonts w:ascii="Arial" w:cs="Arial" w:eastAsia="Arial" w:hAnsi="Arial"/>
                <w:sz w:val="13"/>
                <w:szCs w:val="13"/>
                <w:color w:val="auto"/>
              </w:rPr>
              <w:t>(L + 8.25%) / (2.00%)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10.25%/0.00%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10/11/2019</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10/11/2024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5,500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5,469</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5,500</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(549 units) (h)(j)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10/11/2019</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549</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255</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6,018</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5,755</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Hallmark Health Care Solutions, Inc.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(j)(ae)</w:t>
            </w:r>
          </w:p>
        </w:tc>
        <w:tc>
          <w:tcPr>
            <w:tcW w:w="3200" w:type="dxa"/>
            <w:vAlign w:val="bottom"/>
          </w:tcPr>
          <w:p>
            <w:pPr>
              <w:jc w:val="right"/>
              <w:spacing w:after="0" w:line="135" w:lineRule="exact"/>
              <w:rPr>
                <w:sz w:val="20"/>
                <w:szCs w:val="20"/>
                <w:color w:val="auto"/>
              </w:rPr>
            </w:pPr>
            <w:r>
              <w:rPr>
                <w:rFonts w:ascii="Arial" w:cs="Arial" w:eastAsia="Arial" w:hAnsi="Arial"/>
                <w:sz w:val="13"/>
                <w:szCs w:val="13"/>
                <w:color w:val="auto"/>
              </w:rPr>
              <w:t>(L + 7.25%) / (1.50%)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8.75%/0.00%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12/4/2020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12/4/2025</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8,500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8,437</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8,437</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12/4/2020</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750</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9,187</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9,187</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Healthfuse, LLC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(af)</w:t>
            </w:r>
          </w:p>
        </w:tc>
        <w:tc>
          <w:tcPr>
            <w:tcW w:w="3200" w:type="dxa"/>
            <w:vAlign w:val="bottom"/>
          </w:tcPr>
          <w:p>
            <w:pPr>
              <w:jc w:val="right"/>
              <w:spacing w:after="0" w:line="135" w:lineRule="exact"/>
              <w:rPr>
                <w:sz w:val="20"/>
                <w:szCs w:val="20"/>
                <w:color w:val="auto"/>
              </w:rPr>
            </w:pPr>
            <w:r>
              <w:rPr>
                <w:rFonts w:ascii="Arial" w:cs="Arial" w:eastAsia="Arial" w:hAnsi="Arial"/>
                <w:sz w:val="13"/>
                <w:szCs w:val="13"/>
                <w:color w:val="auto"/>
              </w:rPr>
              <w:t>(L + 7.25%) / (1.00%)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8.25%/0.00%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11/13/2020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11/13/2025</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5,960</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5,960</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(197,980 units)</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11/13/2020</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750</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6,710</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6,710</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6"/>
              </w:rPr>
              <w:t>Hilco Plastics Holdings, LLC (dba Hilco Technologies)</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Component Manufacturing</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11.50%/1.50%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9/23/2016</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12/31/2019</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10,301</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10,301</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8,878</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w:t>
            </w:r>
          </w:p>
        </w:tc>
        <w:tc>
          <w:tcPr>
            <w:tcW w:w="3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 + 6.50%) / (0.00%)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6.65%/0.00%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12/20/2019</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12/15/2019</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5,962</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5,962</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5,962</w:t>
            </w: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200" w:type="dxa"/>
            <w:vAlign w:val="bottom"/>
          </w:tcPr>
          <w:p>
            <w:pPr>
              <w:jc w:val="right"/>
              <w:spacing w:after="0" w:line="135" w:lineRule="exact"/>
              <w:rPr>
                <w:sz w:val="20"/>
                <w:szCs w:val="20"/>
                <w:color w:val="auto"/>
              </w:rPr>
            </w:pPr>
            <w:r>
              <w:rPr>
                <w:rFonts w:ascii="Arial" w:cs="Arial" w:eastAsia="Arial" w:hAnsi="Arial"/>
                <w:sz w:val="13"/>
                <w:szCs w:val="13"/>
                <w:color w:val="auto"/>
              </w:rPr>
              <w:t>(L + 6.95%) / (0.00%)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12/20/2019</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12/15/2019</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5,092</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5,092</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5,092</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4/18/2018</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1,000</w:t>
            </w:r>
          </w:p>
        </w:tc>
        <w:tc>
          <w:tcPr>
            <w:tcW w:w="80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3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9/23/2016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473</w:t>
            </w:r>
          </w:p>
        </w:tc>
        <w:tc>
          <w:tcPr>
            <w:tcW w:w="80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r>
      <w:tr>
        <w:trPr>
          <w:trHeight w:val="27"/>
        </w:trPr>
        <w:tc>
          <w:tcPr>
            <w:tcW w:w="30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35"/>
        </w:trPr>
        <w:tc>
          <w:tcPr>
            <w:tcW w:w="3000" w:type="dxa"/>
            <w:vAlign w:val="bottom"/>
            <w:shd w:val="clear" w:color="auto" w:fill="CCEEFF"/>
          </w:tcPr>
          <w:p>
            <w:pPr>
              <w:spacing w:after="0"/>
              <w:rPr>
                <w:sz w:val="11"/>
                <w:szCs w:val="11"/>
                <w:color w:val="auto"/>
              </w:rPr>
            </w:pP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22,828</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19,932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3200" w:type="dxa"/>
            <w:vAlign w:val="bottom"/>
          </w:tcPr>
          <w:p>
            <w:pPr>
              <w:ind w:left="80"/>
              <w:spacing w:after="0" w:line="135" w:lineRule="exact"/>
              <w:rPr>
                <w:sz w:val="20"/>
                <w:szCs w:val="20"/>
                <w:color w:val="auto"/>
              </w:rPr>
            </w:pPr>
            <w:r>
              <w:rPr>
                <w:rFonts w:ascii="Arial" w:cs="Arial" w:eastAsia="Arial" w:hAnsi="Arial"/>
                <w:sz w:val="13"/>
                <w:szCs w:val="13"/>
                <w:color w:val="auto"/>
              </w:rPr>
              <w:t>Promotional products</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13.00%/0.00%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3/23/2016</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3/31/2023</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25,000</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5"/>
              </w:rPr>
              <w:t>24,976</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24,106</w:t>
            </w: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Common Equity (3,750 units)</w:t>
            </w:r>
          </w:p>
        </w:tc>
        <w:tc>
          <w:tcPr>
            <w:tcW w:w="3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3/23/2016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283</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(868 units) (j)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10/16/2020</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154</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158</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25,261</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24,547</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Business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Common Equity (150,000 units)</w:t>
            </w: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6/20/2018</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235</w:t>
            </w:r>
          </w:p>
        </w:tc>
        <w:tc>
          <w:tcPr>
            <w:tcW w:w="54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Ipro Tech, LLC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First Lien Debt (j)(u)</w:t>
            </w:r>
          </w:p>
        </w:tc>
        <w:tc>
          <w:tcPr>
            <w:tcW w:w="3200" w:type="dxa"/>
            <w:vAlign w:val="bottom"/>
          </w:tcPr>
          <w:p>
            <w:pPr>
              <w:jc w:val="right"/>
              <w:spacing w:after="0"/>
              <w:rPr>
                <w:sz w:val="20"/>
                <w:szCs w:val="20"/>
                <w:color w:val="auto"/>
              </w:rPr>
            </w:pPr>
            <w:r>
              <w:rPr>
                <w:rFonts w:ascii="Arial" w:cs="Arial" w:eastAsia="Arial" w:hAnsi="Arial"/>
                <w:sz w:val="13"/>
                <w:szCs w:val="13"/>
                <w:color w:val="auto"/>
              </w:rPr>
              <w:t>(L + 8.50%) / (2.00%)</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w w:val="94"/>
              </w:rPr>
              <w:t>10.50%/0.00%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6/30/2020</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6/30/2025</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2,469</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1,923</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2,469</w:t>
            </w: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3000" w:type="dxa"/>
            <w:vAlign w:val="bottom"/>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K2 Merger Agreement Agent, LLC (fka K2 Industrial</w:t>
            </w:r>
          </w:p>
        </w:tc>
        <w:tc>
          <w:tcPr>
            <w:tcW w:w="3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3000" w:type="dxa"/>
            <w:vAlign w:val="bottom"/>
            <w:shd w:val="clear" w:color="auto" w:fill="CCEEFF"/>
          </w:tcPr>
          <w:p>
            <w:pPr>
              <w:ind w:left="120"/>
              <w:spacing w:after="0"/>
              <w:rPr>
                <w:sz w:val="20"/>
                <w:szCs w:val="20"/>
                <w:color w:val="auto"/>
              </w:rPr>
            </w:pPr>
            <w:r>
              <w:rPr>
                <w:rFonts w:ascii="Arial" w:cs="Arial" w:eastAsia="Arial" w:hAnsi="Arial"/>
                <w:sz w:val="13"/>
                <w:szCs w:val="13"/>
                <w:i w:val="1"/>
                <w:iCs w:val="1"/>
                <w:color w:val="auto"/>
              </w:rPr>
              <w:t>Services, Inc.) (n)</w:t>
            </w:r>
          </w:p>
        </w:tc>
        <w:tc>
          <w:tcPr>
            <w:tcW w:w="3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Industrial Cleaning &amp; Coatings</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Second Lien Debt (j)</w:t>
            </w:r>
          </w:p>
        </w:tc>
        <w:tc>
          <w:tcPr>
            <w:tcW w:w="320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w w:val="94"/>
              </w:rPr>
              <w:t>0.00%/10.00%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1/28/2019</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1/28/2021</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2,140</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2,140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2,140</w:t>
            </w: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Kyjen Company, LLC (dba Outward Hound)</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Consumer Products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12.00%/0.00%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12/8/2017</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15,000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14,960</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15,000</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12/8/2017</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765</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841</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15,725</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15,841</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Oil &amp; Gas Distribution</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11.50%/1.50%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12/28/2016</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11/12/2021</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10,127</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10,108</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10,127</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12/28/2016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500</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959</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10,608</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11,086</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Utilities: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10.50%/0.50%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11/30/2017</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8/1/2024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17,511</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5"/>
              </w:rPr>
              <w:t>17,442</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17,511</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(981 shares) (j)</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11/30/2017</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1,148</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1,076</w:t>
            </w:r>
          </w:p>
        </w:tc>
        <w:tc>
          <w:tcPr>
            <w:tcW w:w="54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18,590</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18,587</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Transportation services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Warrant (7,192 shares) (j)(m)</w:t>
            </w:r>
          </w:p>
        </w:tc>
        <w:tc>
          <w:tcPr>
            <w:tcW w:w="3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6/23/2017</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180</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118</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1"/>
              </w:rPr>
              <w:t>Warrant (4.79% of Junior Subordinated Notes) (j)(q)</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6/23/2017</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248</w:t>
            </w:r>
          </w:p>
        </w:tc>
        <w:tc>
          <w:tcPr>
            <w:tcW w:w="540" w:type="dxa"/>
            <w:vAlign w:val="bottom"/>
            <w:shd w:val="clear" w:color="auto" w:fill="CCEEFF"/>
          </w:tcPr>
          <w:p>
            <w:pPr>
              <w:spacing w:after="0"/>
              <w:rPr>
                <w:sz w:val="11"/>
                <w:szCs w:val="11"/>
                <w:color w:val="auto"/>
              </w:rPr>
            </w:pPr>
          </w:p>
        </w:tc>
      </w:tr>
      <w:tr>
        <w:trPr>
          <w:trHeight w:val="154"/>
        </w:trPr>
        <w:tc>
          <w:tcPr>
            <w:tcW w:w="30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23"/>
        </w:trPr>
        <w:tc>
          <w:tcPr>
            <w:tcW w:w="30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NGT Acquisition Holdings, LLC (dba Techniks Industries)</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Component Manufacturing</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3"/>
                <w:szCs w:val="13"/>
                <w:color w:val="auto"/>
              </w:rPr>
              <w:t>Common Equity (378 units) (j)</w:t>
            </w: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5/24/2017</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227</w:t>
            </w:r>
          </w:p>
        </w:tc>
        <w:tc>
          <w:tcPr>
            <w:tcW w:w="54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10"/>
        </w:trPr>
        <w:tc>
          <w:tcPr>
            <w:tcW w:w="3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OMC Investors, LLC (dba Ohio Medical Corporation)</w:t>
            </w:r>
          </w:p>
        </w:tc>
        <w:tc>
          <w:tcPr>
            <w:tcW w:w="32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Products</w:t>
            </w: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00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20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12.00%/0.00%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1/15/2016</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6/30/2022</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10,000</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9,985</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10,000</w:t>
            </w:r>
          </w:p>
        </w:tc>
        <w:tc>
          <w:tcPr>
            <w:tcW w:w="540" w:type="dxa"/>
            <w:vAlign w:val="bottom"/>
          </w:tcPr>
          <w:p>
            <w:pPr>
              <w:spacing w:after="0"/>
              <w:rPr>
                <w:sz w:val="11"/>
                <w:szCs w:val="11"/>
                <w:color w:val="auto"/>
              </w:rPr>
            </w:pPr>
          </w:p>
        </w:tc>
      </w:tr>
      <w:tr>
        <w:trPr>
          <w:trHeight w:val="135"/>
        </w:trPr>
        <w:tc>
          <w:tcPr>
            <w:tcW w:w="30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3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462</w:t>
            </w:r>
          </w:p>
        </w:tc>
        <w:tc>
          <w:tcPr>
            <w:tcW w:w="8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869</w:t>
            </w:r>
          </w:p>
        </w:tc>
        <w:tc>
          <w:tcPr>
            <w:tcW w:w="540" w:type="dxa"/>
            <w:vAlign w:val="bottom"/>
            <w:shd w:val="clear" w:color="auto" w:fill="CCEEFF"/>
          </w:tcPr>
          <w:p>
            <w:pPr>
              <w:spacing w:after="0"/>
              <w:rPr>
                <w:sz w:val="11"/>
                <w:szCs w:val="11"/>
                <w:color w:val="auto"/>
              </w:rPr>
            </w:pPr>
          </w:p>
        </w:tc>
      </w:tr>
      <w:tr>
        <w:trPr>
          <w:trHeight w:val="154"/>
        </w:trPr>
        <w:tc>
          <w:tcPr>
            <w:tcW w:w="30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10,447</w:t>
            </w:r>
          </w:p>
        </w:tc>
        <w:tc>
          <w:tcPr>
            <w:tcW w:w="1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10,869</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r>
    </w:tbl>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Variable Index</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Principal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2"/>
          </w:tcPr>
          <w:p>
            <w:pPr>
              <w:ind w:left="660"/>
              <w:spacing w:after="0"/>
              <w:rPr>
                <w:sz w:val="20"/>
                <w:szCs w:val="20"/>
                <w:color w:val="auto"/>
              </w:rPr>
            </w:pPr>
            <w:r>
              <w:rPr>
                <w:rFonts w:ascii="Arial" w:cs="Arial" w:eastAsia="Arial" w:hAnsi="Arial"/>
                <w:sz w:val="13"/>
                <w:szCs w:val="13"/>
                <w:b w:val="1"/>
                <w:bCs w:val="1"/>
                <w:color w:val="auto"/>
              </w:rPr>
              <w:t>Industry</w:t>
            </w:r>
          </w:p>
        </w:tc>
        <w:tc>
          <w:tcPr>
            <w:tcW w:w="1340" w:type="dxa"/>
            <w:vAlign w:val="bottom"/>
            <w:gridSpan w:val="2"/>
          </w:tcPr>
          <w:p>
            <w:pPr>
              <w:ind w:left="140"/>
              <w:spacing w:after="0"/>
              <w:rPr>
                <w:sz w:val="20"/>
                <w:szCs w:val="20"/>
                <w:color w:val="auto"/>
              </w:rPr>
            </w:pPr>
            <w:r>
              <w:rPr>
                <w:rFonts w:ascii="Arial" w:cs="Arial" w:eastAsia="Arial" w:hAnsi="Arial"/>
                <w:sz w:val="13"/>
                <w:szCs w:val="13"/>
                <w:b w:val="1"/>
                <w:bCs w:val="1"/>
                <w:color w:val="auto"/>
              </w:rPr>
              <w:t>Spread / Floor (d)</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Date (f)</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3"/>
              </w:rPr>
              <w:t>Amount</w:t>
            </w:r>
          </w:p>
        </w:tc>
        <w:tc>
          <w:tcPr>
            <w:tcW w:w="52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28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Palisade Company, LLC</w:t>
            </w:r>
          </w:p>
        </w:tc>
        <w:tc>
          <w:tcPr>
            <w:tcW w:w="4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w w:val="94"/>
              </w:rPr>
              <w:t>Information Technology Services</w:t>
            </w:r>
          </w:p>
        </w:tc>
        <w:tc>
          <w:tcPr>
            <w:tcW w:w="10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60"/>
        </w:trPr>
        <w:tc>
          <w:tcPr>
            <w:tcW w:w="2800" w:type="dxa"/>
            <w:vAlign w:val="bottom"/>
            <w:gridSpan w:val="2"/>
          </w:tcPr>
          <w:p>
            <w:pPr>
              <w:ind w:left="240"/>
              <w:spacing w:after="0"/>
              <w:rPr>
                <w:sz w:val="20"/>
                <w:szCs w:val="20"/>
                <w:color w:val="auto"/>
              </w:rPr>
            </w:pPr>
            <w:r>
              <w:rPr>
                <w:rFonts w:ascii="Arial" w:cs="Arial" w:eastAsia="Arial" w:hAnsi="Arial"/>
                <w:sz w:val="13"/>
                <w:szCs w:val="13"/>
                <w:color w:val="auto"/>
              </w:rPr>
              <w:t>Common Equity (50 shares) (j)</w:t>
            </w: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11/15/2018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500</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630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r>
      <w:tr>
        <w:trPr>
          <w:trHeight w:val="110"/>
        </w:trPr>
        <w:tc>
          <w:tcPr>
            <w:tcW w:w="10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Retail</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11.50%/2.50%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10/31/2021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4,779</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4,773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4,779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5,267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4,938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Pool &amp; Electrical Products,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11.75%/0.00%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10/28/2020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4/28/2027</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11,883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11,883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(15,000 units) (h)(j)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10/28/2020</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13,383</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13,383</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11.00%/1.00%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12/2/2025</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22,433</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22,357</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22,433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(48 shares)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12/2/2019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(10,622 shares)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23,259</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23,745</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6"/>
              </w:rPr>
              <w:t>(L + 6.25%) / (2.00%)</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11/25/2019</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11/25/2024</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6,833</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6,683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6,833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(500,000 shares)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11/25/2019</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7,183</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7,399</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0"/>
        </w:trPr>
        <w:tc>
          <w:tcPr>
            <w:tcW w:w="2800" w:type="dxa"/>
            <w:vAlign w:val="bottom"/>
            <w:gridSpan w:val="2"/>
          </w:tcPr>
          <w:p>
            <w:pPr>
              <w:ind w:left="240"/>
              <w:spacing w:after="0"/>
              <w:rPr>
                <w:sz w:val="20"/>
                <w:szCs w:val="20"/>
                <w:color w:val="auto"/>
              </w:rPr>
            </w:pPr>
            <w:r>
              <w:rPr>
                <w:rFonts w:ascii="Arial" w:cs="Arial" w:eastAsia="Arial" w:hAnsi="Arial"/>
                <w:sz w:val="13"/>
                <w:szCs w:val="13"/>
                <w:color w:val="auto"/>
              </w:rPr>
              <w:t>Common Equity (113 shares)</w:t>
            </w: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1,125</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3,081</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110"/>
        </w:trPr>
        <w:tc>
          <w:tcPr>
            <w:tcW w:w="10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12.00%/1.50%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2/11/2023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10,682</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10,655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10,682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4740" w:type="dxa"/>
            <w:vAlign w:val="bottom"/>
            <w:gridSpan w:val="5"/>
            <w:shd w:val="clear" w:color="auto" w:fill="CCEEFF"/>
          </w:tcPr>
          <w:p>
            <w:pPr>
              <w:ind w:left="240"/>
              <w:spacing w:after="0" w:line="135" w:lineRule="exact"/>
              <w:rPr>
                <w:sz w:val="20"/>
                <w:szCs w:val="20"/>
                <w:color w:val="auto"/>
              </w:rPr>
            </w:pPr>
            <w:r>
              <w:rPr>
                <w:rFonts w:ascii="Arial" w:cs="Arial" w:eastAsia="Arial" w:hAnsi="Arial"/>
                <w:sz w:val="13"/>
                <w:szCs w:val="13"/>
                <w:color w:val="auto"/>
              </w:rPr>
              <w:t>Delayed Draw Commitment ($875 unfunded commitment) (i)(j)</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12.00%/1.00%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5/17/2022</w:t>
            </w: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4740" w:type="dxa"/>
            <w:vAlign w:val="bottom"/>
            <w:gridSpan w:val="5"/>
          </w:tcPr>
          <w:p>
            <w:pPr>
              <w:ind w:left="240"/>
              <w:spacing w:after="0" w:line="135" w:lineRule="exact"/>
              <w:rPr>
                <w:sz w:val="20"/>
                <w:szCs w:val="20"/>
                <w:color w:val="auto"/>
              </w:rPr>
            </w:pPr>
            <w:r>
              <w:rPr>
                <w:rFonts w:ascii="Arial" w:cs="Arial" w:eastAsia="Arial" w:hAnsi="Arial"/>
                <w:sz w:val="13"/>
                <w:szCs w:val="13"/>
                <w:color w:val="auto"/>
              </w:rPr>
              <w:t>Common Equity (Class A Units) (8,864 units) (h)(j)</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(Units N/A) (h)(j)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12/10/2020</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1"/>
              </w:rPr>
              <w:t>Common Equity (Class F Units) (355 units) (h)(j)</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12/10/2020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11,735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11,448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11.25%/1.50%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9/18/2018</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3/18/2024</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10,379</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10,351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10,379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9/18/2018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621</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882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10,972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11,261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Packaging</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10.50%/1.00%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10/1/2018</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4/1/2024</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14,017</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13,976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14,017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(400 shares) (j)</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7/18/2016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14,756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15,608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Routeware, Inc.</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(k)(aa)</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6"/>
              </w:rPr>
              <w:t>(L + 7.00%) / (1.75%)</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8.75%/0.00%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2/7/2020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2/7/2025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14,888</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14,814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14,888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270"/>
        </w:trPr>
        <w:tc>
          <w:tcPr>
            <w:tcW w:w="2800" w:type="dxa"/>
            <w:vAlign w:val="bottom"/>
            <w:gridSpan w:val="2"/>
          </w:tcPr>
          <w:p>
            <w:pPr>
              <w:spacing w:after="0"/>
              <w:rPr>
                <w:sz w:val="20"/>
                <w:szCs w:val="20"/>
                <w:color w:val="auto"/>
              </w:rPr>
            </w:pPr>
            <w:r>
              <w:rPr>
                <w:rFonts w:ascii="Arial" w:cs="Arial" w:eastAsia="Arial" w:hAnsi="Arial"/>
                <w:sz w:val="13"/>
                <w:szCs w:val="13"/>
                <w:i w:val="1"/>
                <w:iCs w:val="1"/>
                <w:color w:val="auto"/>
              </w:rPr>
              <w:t>SES Investors, LLC (dba SES Foam)</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Building Products Manufacturing</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13.00%/0.00%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9/8/2016</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12/29/2022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997</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537</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1,869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1,534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2,869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12/23/2016</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6/23/2023</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9,980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 shares)</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12/23/2016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646</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10,626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10,942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6"/>
              </w:rPr>
              <w:t>(L + 5.25%) / (2.00%)</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7.25%/0.00%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5/7/2019</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5/3/2024</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12,889</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12,782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12,889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(596 units) (j)</w:t>
            </w: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596</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647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13,378</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13,536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1/8/2018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972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1,915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70"/>
        </w:trPr>
        <w:tc>
          <w:tcPr>
            <w:tcW w:w="2800" w:type="dxa"/>
            <w:vAlign w:val="bottom"/>
            <w:gridSpan w:val="2"/>
          </w:tcPr>
          <w:p>
            <w:pPr>
              <w:spacing w:after="0"/>
              <w:rPr>
                <w:sz w:val="20"/>
                <w:szCs w:val="20"/>
                <w:color w:val="auto"/>
              </w:rPr>
            </w:pPr>
            <w:r>
              <w:rPr>
                <w:rFonts w:ascii="Arial" w:cs="Arial" w:eastAsia="Arial" w:hAnsi="Arial"/>
                <w:sz w:val="13"/>
                <w:szCs w:val="13"/>
                <w:i w:val="1"/>
                <w:iCs w:val="1"/>
                <w:color w:val="auto"/>
              </w:rPr>
              <w:t>TransGo, LLC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Component Manufacturing</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2/28/2017</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70"/>
        </w:trPr>
        <w:tc>
          <w:tcPr>
            <w:tcW w:w="2800" w:type="dxa"/>
            <w:vAlign w:val="bottom"/>
            <w:gridSpan w:val="2"/>
          </w:tcPr>
          <w:p>
            <w:pPr>
              <w:spacing w:after="0"/>
              <w:rPr>
                <w:sz w:val="20"/>
                <w:szCs w:val="20"/>
                <w:color w:val="auto"/>
              </w:rPr>
            </w:pPr>
            <w:r>
              <w:rPr>
                <w:rFonts w:ascii="Arial" w:cs="Arial" w:eastAsia="Arial" w:hAnsi="Arial"/>
                <w:sz w:val="13"/>
                <w:szCs w:val="13"/>
                <w:i w:val="1"/>
                <w:iCs w:val="1"/>
                <w:color w:val="auto"/>
              </w:rPr>
              <w:t>The Tranzonic Companies</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Specialty Distribution</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10.00%/1.00%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3/27/2025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7,001</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6,959</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7,001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7,524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8,414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4/3/2018</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10/3/2024</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13,893</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13,814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13,893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4/3/2018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668</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14,482</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14,554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4/1/2012</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1,008</w:t>
            </w:r>
          </w:p>
        </w:tc>
        <w:tc>
          <w:tcPr>
            <w:tcW w:w="6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(j)(m)</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3/5/2012</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6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120" w:type="dxa"/>
            <w:vAlign w:val="bottom"/>
          </w:tcPr>
          <w:p>
            <w:pPr>
              <w:spacing w:after="0"/>
              <w:rPr>
                <w:sz w:val="12"/>
                <w:szCs w:val="12"/>
                <w:color w:val="auto"/>
              </w:rPr>
            </w:pPr>
          </w:p>
        </w:tc>
        <w:tc>
          <w:tcPr>
            <w:tcW w:w="5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4/7/2022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11,998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 (j)</w:t>
            </w: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12,340</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12,521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2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Western’s Smokehouse, LLC</w:t>
            </w:r>
          </w:p>
        </w:tc>
        <w:tc>
          <w:tcPr>
            <w:tcW w:w="194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Consumer Products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0"/>
        </w:trPr>
        <w:tc>
          <w:tcPr>
            <w:tcW w:w="2800" w:type="dxa"/>
            <w:vAlign w:val="bottom"/>
            <w:gridSpan w:val="2"/>
          </w:tcPr>
          <w:p>
            <w:pPr>
              <w:ind w:left="240"/>
              <w:spacing w:after="0"/>
              <w:rPr>
                <w:sz w:val="20"/>
                <w:szCs w:val="20"/>
                <w:color w:val="auto"/>
              </w:rPr>
            </w:pPr>
            <w:r>
              <w:rPr>
                <w:rFonts w:ascii="Arial" w:cs="Arial" w:eastAsia="Arial" w:hAnsi="Arial"/>
                <w:sz w:val="13"/>
                <w:szCs w:val="13"/>
                <w:color w:val="auto"/>
              </w:rPr>
              <w:t>First Lien Debt (j)(ab)</w:t>
            </w: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w w:val="96"/>
              </w:rPr>
              <w:t>(L + 6.50%) / (1.25%)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7.75%/0.00%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2/28/2020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12/23/2024</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10,000</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9,876</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10,000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r>
    </w:tbl>
    <w:p>
      <w:pPr>
        <w:spacing w:after="0" w:line="109"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48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240"/>
              <w:spacing w:after="0"/>
              <w:rPr>
                <w:sz w:val="20"/>
                <w:szCs w:val="20"/>
                <w:color w:val="auto"/>
              </w:rPr>
            </w:pPr>
            <w:r>
              <w:rPr>
                <w:rFonts w:ascii="Arial" w:cs="Arial" w:eastAsia="Arial" w:hAnsi="Arial"/>
                <w:sz w:val="13"/>
                <w:szCs w:val="13"/>
                <w:b w:val="1"/>
                <w:bCs w:val="1"/>
                <w:color w:val="auto"/>
              </w:rPr>
              <w:t>Variable Index</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Rate (e)</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Principal</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68"/>
        </w:trPr>
        <w:tc>
          <w:tcPr>
            <w:tcW w:w="248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80" w:type="dxa"/>
            <w:vAlign w:val="bottom"/>
          </w:tcPr>
          <w:p>
            <w:pPr>
              <w:spacing w:after="0"/>
              <w:rPr>
                <w:sz w:val="14"/>
                <w:szCs w:val="14"/>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b w:val="1"/>
                <w:bCs w:val="1"/>
                <w:color w:val="auto"/>
              </w:rPr>
              <w:t>Industry</w:t>
            </w:r>
          </w:p>
        </w:tc>
        <w:tc>
          <w:tcPr>
            <w:tcW w:w="1400" w:type="dxa"/>
            <w:vAlign w:val="bottom"/>
            <w:gridSpan w:val="2"/>
          </w:tcPr>
          <w:p>
            <w:pPr>
              <w:ind w:left="160"/>
              <w:spacing w:after="0"/>
              <w:rPr>
                <w:sz w:val="20"/>
                <w:szCs w:val="20"/>
                <w:color w:val="auto"/>
              </w:rPr>
            </w:pPr>
            <w:r>
              <w:rPr>
                <w:rFonts w:ascii="Arial" w:cs="Arial" w:eastAsia="Arial" w:hAnsi="Arial"/>
                <w:sz w:val="13"/>
                <w:szCs w:val="13"/>
                <w:b w:val="1"/>
                <w:bCs w:val="1"/>
                <w:color w:val="auto"/>
              </w:rPr>
              <w:t>Spread / Floor (d)</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Cash/PIK</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Maturity</w:t>
            </w:r>
          </w:p>
        </w:tc>
        <w:tc>
          <w:tcPr>
            <w:tcW w:w="1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3"/>
              </w:rPr>
              <w:t>Value (g)</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Wheel Pros, Inc.</w:t>
            </w:r>
          </w:p>
        </w:tc>
        <w:tc>
          <w:tcPr>
            <w:tcW w:w="1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0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98"/>
              </w:rPr>
              <w:t>(L + 9.00%) / (1.00%)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10.00%/0.00%</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11/10/2020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11/10/2028</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12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19,411</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19,411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(347,222 units) (j)</w:t>
            </w:r>
          </w:p>
        </w:tc>
        <w:tc>
          <w:tcPr>
            <w:tcW w:w="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5/15/2019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1,031</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19,712</w:t>
            </w: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20,442</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96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Transportation services</w:t>
            </w: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98"/>
              </w:rPr>
              <w:t>(L + 8.00%) / (1.00%)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8"/>
              </w:rPr>
              <w:t>9.00%/0.00%</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2/27/2017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2/3/2025</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12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19,791</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(2,000 units) (h)(j)</w:t>
            </w:r>
          </w:p>
        </w:tc>
        <w:tc>
          <w:tcPr>
            <w:tcW w:w="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1,478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1,942</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21,269</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21,942</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1"/>
              </w:rPr>
              <w:t>Total Non-control/Non-affiliate Investments</w:t>
            </w:r>
          </w:p>
        </w:tc>
        <w:tc>
          <w:tcPr>
            <w:tcW w:w="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622,222</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$ 633,222</w:t>
            </w:r>
          </w:p>
        </w:tc>
        <w:tc>
          <w:tcPr>
            <w:tcW w:w="8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0"/>
        </w:trPr>
        <w:tc>
          <w:tcPr>
            <w:tcW w:w="24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line="20" w:lineRule="exact"/>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687,027</w:t>
            </w:r>
          </w:p>
        </w:tc>
        <w:tc>
          <w:tcPr>
            <w:tcW w:w="14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$ 742,869</w:t>
            </w: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2020.</w:t>
      </w:r>
    </w:p>
    <w:p>
      <w:pPr>
        <w:spacing w:after="0" w:line="1" w:lineRule="exact"/>
        <w:rPr>
          <w:rFonts w:ascii="Arial" w:cs="Arial" w:eastAsia="Arial" w:hAnsi="Arial"/>
          <w:sz w:val="18"/>
          <w:szCs w:val="18"/>
          <w:color w:val="auto"/>
        </w:rPr>
      </w:pPr>
    </w:p>
    <w:p>
      <w:pPr>
        <w:ind w:left="540" w:right="96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2020. Generally, payment-in-kind interest can be paid-in-kind or all in cash.</w:t>
      </w: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220" w:hanging="424"/>
        <w:spacing w:after="0" w:line="265"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2020. The Company is earning 0.50% interest on the unfunded balance of the commitment. The interest rate disclosed represents the rate which will be earned if the commitment is funded.</w:t>
      </w:r>
    </w:p>
    <w:p>
      <w:pPr>
        <w:ind w:left="540" w:right="120" w:hanging="424"/>
        <w:spacing w:after="0" w:line="28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540" w:right="300" w:hanging="424"/>
        <w:spacing w:after="0" w:line="28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6"/>
          <w:szCs w:val="16"/>
          <w:color w:val="auto"/>
        </w:rPr>
      </w:pPr>
    </w:p>
    <w:p>
      <w:pPr>
        <w:ind w:left="540" w:right="420" w:hanging="424"/>
        <w:spacing w:after="0" w:line="28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was on PIK-only non-accrual status as of December 31, 2020, meaning the Company has ceased recognizing PIK interest income on the investment.</w:t>
      </w:r>
    </w:p>
    <w:p>
      <w:pPr>
        <w:ind w:left="540" w:right="18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Warrant entitles the Company to purchase 4.79% of the outstanding principal of Junior Subordinated Notes prior to exercise, and is non-income producing.</w:t>
      </w:r>
    </w:p>
    <w:p>
      <w:pPr>
        <w:ind w:left="5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16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1080"/>
          </w:cols>
          <w:pgMar w:left="320" w:top="459" w:right="499" w:bottom="357" w:gutter="0" w:footer="0" w:header="0"/>
        </w:sectPr>
      </w:pPr>
    </w:p>
    <w:bookmarkStart w:id="93" w:name="page94"/>
    <w:bookmarkEnd w:id="93"/>
    <w:p>
      <w:pPr>
        <w:ind w:left="424" w:hanging="424"/>
        <w:spacing w:after="0" w:line="254"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424" w:hanging="424"/>
        <w:spacing w:after="0" w:line="250" w:lineRule="auto"/>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0964"/>
          </w:cols>
          <w:pgMar w:left="436" w:top="125" w:right="499" w:bottom="1440" w:gutter="0" w:footer="0" w:header="0"/>
        </w:sectPr>
      </w:pPr>
    </w:p>
    <w:p>
      <w:pPr>
        <w:spacing w:after="0" w:line="2" w:lineRule="exact"/>
        <w:rPr>
          <w:sz w:val="20"/>
          <w:szCs w:val="20"/>
          <w:color w:val="auto"/>
        </w:rPr>
      </w:pPr>
    </w:p>
    <w:p>
      <w:pPr>
        <w:ind w:left="4"/>
        <w:spacing w:after="0"/>
        <w:rPr>
          <w:sz w:val="20"/>
          <w:szCs w:val="20"/>
          <w:color w:val="auto"/>
        </w:rPr>
      </w:pPr>
      <w:r>
        <w:rPr>
          <w:rFonts w:ascii="Arial" w:cs="Arial" w:eastAsia="Arial" w:hAnsi="Arial"/>
          <w:sz w:val="15"/>
          <w:szCs w:val="15"/>
          <w:color w:val="auto"/>
        </w:rPr>
        <w:t>(ab)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
        <w:spacing w:after="0"/>
        <w:rPr>
          <w:sz w:val="20"/>
          <w:szCs w:val="20"/>
          <w:color w:val="auto"/>
        </w:rPr>
      </w:pPr>
      <w:r>
        <w:rPr>
          <w:rFonts w:ascii="Arial" w:cs="Arial" w:eastAsia="Arial" w:hAnsi="Arial"/>
          <w:sz w:val="16"/>
          <w:szCs w:val="16"/>
          <w:color w:val="auto"/>
        </w:rPr>
        <w:t>(ac)</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5"/>
          <w:szCs w:val="15"/>
          <w:color w:val="auto"/>
        </w:rPr>
        <w:t>(ad)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5"/>
          <w:szCs w:val="15"/>
          <w:color w:val="auto"/>
        </w:rPr>
        <w:t>(ae)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2.95%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disclosed commitment represents the unfunded amount as of December 31, 2020. The Company is earning 1.00% interest on the unfunded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 of the commitment. The interest rate disclosed represents the rate earned on the outstanding, funded balance of the commitment.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3.33%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3.31%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4.03%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103" w:lineRule="exact"/>
        <w:rPr>
          <w:sz w:val="20"/>
          <w:szCs w:val="20"/>
          <w:color w:val="auto"/>
        </w:rPr>
      </w:pPr>
    </w:p>
    <w:p>
      <w:pPr>
        <w:sectPr>
          <w:pgSz w:w="11900" w:h="16838" w:orient="portrait"/>
          <w:cols w:equalWidth="0" w:num="2">
            <w:col w:w="284" w:space="140"/>
            <w:col w:w="10540"/>
          </w:cols>
          <w:pgMar w:left="436" w:top="125" w:right="499" w:bottom="1440" w:gutter="0" w:footer="0" w:header="0"/>
          <w:type w:val="continuous"/>
        </w:sectPr>
      </w:pPr>
    </w:p>
    <w:p>
      <w:pPr>
        <w:jc w:val="center"/>
        <w:ind w:right="-43"/>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1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4"/>
          </w:cols>
          <w:pgMar w:left="436" w:top="125" w:right="49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8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Variable Index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26"/>
        </w:trPr>
        <w:tc>
          <w:tcPr>
            <w:tcW w:w="28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620" w:type="dxa"/>
            <w:vAlign w:val="bottom"/>
            <w:gridSpan w:val="3"/>
          </w:tcPr>
          <w:p>
            <w:pPr>
              <w:ind w:left="120"/>
              <w:spacing w:after="0" w:line="126" w:lineRule="exact"/>
              <w:rPr>
                <w:sz w:val="20"/>
                <w:szCs w:val="20"/>
                <w:color w:val="auto"/>
              </w:rPr>
            </w:pPr>
            <w:r>
              <w:rPr>
                <w:rFonts w:ascii="Arial" w:cs="Arial" w:eastAsia="Arial" w:hAnsi="Arial"/>
                <w:sz w:val="13"/>
                <w:szCs w:val="13"/>
                <w:b w:val="1"/>
                <w:bCs w:val="1"/>
                <w:color w:val="auto"/>
                <w:w w:val="87"/>
              </w:rPr>
              <w:t>Principal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7"/>
              <w:spacing w:after="0" w:line="126"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8"/>
        </w:trPr>
        <w:tc>
          <w:tcPr>
            <w:tcW w:w="2800" w:type="dxa"/>
            <w:vAlign w:val="bottom"/>
            <w:gridSpan w:val="5"/>
          </w:tcPr>
          <w:p>
            <w:pPr>
              <w:spacing w:after="0"/>
              <w:rPr>
                <w:sz w:val="20"/>
                <w:szCs w:val="20"/>
                <w:color w:val="auto"/>
              </w:rPr>
            </w:pPr>
            <w:r>
              <w:rPr>
                <w:rFonts w:ascii="Arial" w:cs="Arial" w:eastAsia="Arial" w:hAnsi="Arial"/>
                <w:sz w:val="13"/>
                <w:szCs w:val="13"/>
                <w:b w:val="1"/>
                <w:bCs w:val="1"/>
                <w:color w:val="auto"/>
              </w:rPr>
              <w:t>Investment Type (c)</w:t>
            </w:r>
          </w:p>
        </w:tc>
        <w:tc>
          <w:tcPr>
            <w:tcW w:w="160" w:type="dxa"/>
            <w:vAlign w:val="bottom"/>
          </w:tcPr>
          <w:p>
            <w:pPr>
              <w:spacing w:after="0"/>
              <w:rPr>
                <w:sz w:val="12"/>
                <w:szCs w:val="12"/>
                <w:color w:val="auto"/>
              </w:rPr>
            </w:pPr>
          </w:p>
        </w:tc>
        <w:tc>
          <w:tcPr>
            <w:tcW w:w="198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Value (g)</w:t>
            </w:r>
          </w:p>
        </w:tc>
        <w:tc>
          <w:tcPr>
            <w:tcW w:w="14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540" w:type="dxa"/>
            <w:vAlign w:val="bottom"/>
            <w:tcBorders>
              <w:bottom w:val="single" w:sz="8" w:color="CCEEFF"/>
            </w:tcBorders>
            <w:gridSpan w:val="2"/>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9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80" w:type="dxa"/>
            <w:vAlign w:val="bottom"/>
            <w:gridSpan w:val="4"/>
          </w:tcPr>
          <w:p>
            <w:pPr>
              <w:spacing w:after="0" w:line="129" w:lineRule="exact"/>
              <w:rPr>
                <w:sz w:val="20"/>
                <w:szCs w:val="20"/>
                <w:color w:val="auto"/>
              </w:rPr>
            </w:pPr>
            <w:r>
              <w:rPr>
                <w:rFonts w:ascii="Arial" w:cs="Arial" w:eastAsia="Arial" w:hAnsi="Arial"/>
                <w:sz w:val="13"/>
                <w:szCs w:val="13"/>
                <w:i w:val="1"/>
                <w:iCs w:val="1"/>
                <w:color w:val="auto"/>
                <w:w w:val="97"/>
              </w:rPr>
              <w:t>FDS Avionics Corp. (dba Flight Display Systems)</w:t>
            </w:r>
          </w:p>
        </w:tc>
        <w:tc>
          <w:tcPr>
            <w:tcW w:w="2140" w:type="dxa"/>
            <w:vAlign w:val="bottom"/>
            <w:gridSpan w:val="3"/>
          </w:tcPr>
          <w:p>
            <w:pPr>
              <w:ind w:left="160"/>
              <w:spacing w:after="0" w:line="129" w:lineRule="exact"/>
              <w:rPr>
                <w:sz w:val="20"/>
                <w:szCs w:val="20"/>
                <w:color w:val="auto"/>
              </w:rPr>
            </w:pPr>
            <w:r>
              <w:rPr>
                <w:rFonts w:ascii="Arial" w:cs="Arial" w:eastAsia="Arial" w:hAnsi="Arial"/>
                <w:sz w:val="13"/>
                <w:szCs w:val="13"/>
                <w:color w:val="auto"/>
                <w:w w:val="92"/>
              </w:rPr>
              <w:t>Aerospace &amp; Defense Manufacturing</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6.00%/9.00%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12/31/2021</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4,420</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4,418</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w w:val="99"/>
              </w:rPr>
              <w:t>Revolving Loan ($30 unfunded commitment)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8"/>
              </w:rPr>
              <w:t>6.00%/9.00%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12/31/2021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(7,478 shares) (j)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11/10/2017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Preferred Equity (2,550 shares)</w:t>
            </w: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12/26/2019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2,550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915</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7,977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5,403</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US Green Fiber, LLC</w:t>
            </w:r>
          </w:p>
        </w:tc>
        <w:tc>
          <w:tcPr>
            <w:tcW w:w="21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Building Products Manufacturing</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7.00%/6.00%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14,498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14,494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11,757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8"/>
              </w:rPr>
              <w:t>7.50%/7.50%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11/9/2018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8/30/2024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4,660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4,660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4,660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(2,522 units) (h)(j)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Common Equity (425,508 units) (j)</w:t>
            </w: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8/30/2019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19,741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16,417</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2"/>
        </w:trPr>
        <w:tc>
          <w:tcPr>
            <w:tcW w:w="2800" w:type="dxa"/>
            <w:vAlign w:val="bottom"/>
            <w:gridSpan w:val="5"/>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27,718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780" w:type="dxa"/>
            <w:vAlign w:val="bottom"/>
            <w:gridSpan w:val="4"/>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(I)</w:t>
            </w:r>
          </w:p>
        </w:tc>
        <w:tc>
          <w:tcPr>
            <w:tcW w:w="1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i w:val="1"/>
                <w:iCs w:val="1"/>
                <w:color w:val="auto"/>
                <w:w w:val="95"/>
              </w:rPr>
              <w:t>FAR Research Inc. (n)</w:t>
            </w:r>
          </w:p>
        </w:tc>
        <w:tc>
          <w:tcPr>
            <w:tcW w:w="1520" w:type="dxa"/>
            <w:vAlign w:val="bottom"/>
            <w:tcBorders>
              <w:top w:val="single" w:sz="8" w:color="CCEEFF"/>
            </w:tcBorders>
          </w:tcPr>
          <w:p>
            <w:pPr>
              <w:spacing w:after="0"/>
              <w:rPr>
                <w:sz w:val="11"/>
                <w:szCs w:val="11"/>
                <w:color w:val="auto"/>
              </w:rPr>
            </w:pPr>
          </w:p>
        </w:tc>
        <w:tc>
          <w:tcPr>
            <w:tcW w:w="2140" w:type="dxa"/>
            <w:vAlign w:val="bottom"/>
            <w:tcBorders>
              <w:top w:val="single" w:sz="8" w:color="CCEEFF"/>
            </w:tcBorders>
            <w:gridSpan w:val="3"/>
          </w:tcPr>
          <w:p>
            <w:pPr>
              <w:ind w:left="160"/>
              <w:spacing w:after="0" w:line="129" w:lineRule="exact"/>
              <w:rPr>
                <w:sz w:val="20"/>
                <w:szCs w:val="20"/>
                <w:color w:val="auto"/>
              </w:rPr>
            </w:pPr>
            <w:r>
              <w:rPr>
                <w:rFonts w:ascii="Arial" w:cs="Arial" w:eastAsia="Arial" w:hAnsi="Arial"/>
                <w:sz w:val="13"/>
                <w:szCs w:val="13"/>
                <w:color w:val="auto"/>
              </w:rPr>
              <w:t>Specialty Chemicals</w:t>
            </w:r>
          </w:p>
        </w:tc>
        <w:tc>
          <w:tcPr>
            <w:tcW w:w="1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(1,396 units)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3"/>
                <w:szCs w:val="13"/>
                <w:i w:val="1"/>
                <w:iCs w:val="1"/>
                <w:color w:val="auto"/>
              </w:rPr>
              <w:t>Fiber Materials, Inc.</w:t>
            </w:r>
          </w:p>
        </w:tc>
        <w:tc>
          <w:tcPr>
            <w:tcW w:w="2140" w:type="dxa"/>
            <w:vAlign w:val="bottom"/>
            <w:gridSpan w:val="3"/>
          </w:tcPr>
          <w:p>
            <w:pPr>
              <w:ind w:left="160"/>
              <w:spacing w:after="0"/>
              <w:rPr>
                <w:sz w:val="20"/>
                <w:szCs w:val="20"/>
                <w:color w:val="auto"/>
              </w:rPr>
            </w:pPr>
            <w:r>
              <w:rPr>
                <w:rFonts w:ascii="Arial" w:cs="Arial" w:eastAsia="Arial" w:hAnsi="Arial"/>
                <w:sz w:val="13"/>
                <w:szCs w:val="13"/>
                <w:color w:val="auto"/>
                <w:w w:val="92"/>
              </w:rPr>
              <w:t>Aerospace &amp; Defense Manufacturing</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 units)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11/30/2016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10,449</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3"/>
                <w:szCs w:val="13"/>
                <w:i w:val="1"/>
                <w:iCs w:val="1"/>
                <w:color w:val="auto"/>
              </w:rPr>
              <w:t>Medsurant Holdings, LLC</w:t>
            </w:r>
          </w:p>
        </w:tc>
        <w:tc>
          <w:tcPr>
            <w:tcW w:w="2140" w:type="dxa"/>
            <w:vAlign w:val="bottom"/>
            <w:gridSpan w:val="3"/>
          </w:tcPr>
          <w:p>
            <w:pPr>
              <w:ind w:left="160"/>
              <w:spacing w:after="0"/>
              <w:rPr>
                <w:sz w:val="20"/>
                <w:szCs w:val="20"/>
                <w:color w:val="auto"/>
              </w:rPr>
            </w:pPr>
            <w:r>
              <w:rPr>
                <w:rFonts w:ascii="Arial" w:cs="Arial" w:eastAsia="Arial" w:hAnsi="Arial"/>
                <w:sz w:val="13"/>
                <w:szCs w:val="13"/>
                <w:color w:val="auto"/>
              </w:rPr>
              <w:t>Healthcare Services</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13.00%/0.00%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12/18/2015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6/30/2020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8,814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8,823</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Preferred Equity (126,662 units) (h)</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4/12/2011</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1,346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1,780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Warrant (505,176 units) (h)(m)</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4/12/2011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4,516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6,377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80"/>
              </w:rPr>
              <w:t>14,676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16,980</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w:t>
            </w:r>
            <w:r>
              <w:rPr>
                <w:rFonts w:ascii="Arial" w:cs="Arial" w:eastAsia="Arial" w:hAnsi="Arial"/>
                <w:sz w:val="13"/>
                <w:szCs w:val="13"/>
                <w:i w:val="1"/>
                <w:iCs w:val="1"/>
                <w:color w:val="auto"/>
              </w:rPr>
              <w:t>icrobiology Research Associates, Inc.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11.00%/1.50%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5/13/2015</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3/13/2022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8,930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8,921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8,930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(1,625,731 units) (j)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5/13/2015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1,939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2,681</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80"/>
              </w:rPr>
              <w:t>10,860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11,611</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Utility Equipment Manufacturing</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0"/>
              </w:rPr>
              <w:t>(L + 8.50%) / (1.00%)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10.20%/4.50%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11/25/2015</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11/25/2020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6,250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6,253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6,250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(2,500,000 shares) (o)</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2,184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968</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98"/>
              </w:rPr>
              <w:t>8,437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7,218</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Products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10.50%/0.00%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3/29/2013</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9/29/2022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6,208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6,201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6,208</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(8,500 units) (j)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3/29/2013</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850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26,614</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98"/>
              </w:rPr>
              <w:t>7,051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32,822</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Oil &amp; Gas Services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w w:val="96"/>
              </w:rPr>
              <w:t>Common Equity - Class A-2 (42,500 units) (k)</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10/13/2016</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29,831</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 Class B (1,000 units) (k)</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10/13/2016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3,000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3,147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98"/>
              </w:rPr>
              <w:t>6,000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32,978</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gridSpan w:val="7"/>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 xml:space="preserve">Steward Holding LLC (dba Steward Advanced Materials) </w:t>
            </w:r>
            <w:r>
              <w:rPr>
                <w:rFonts w:ascii="Arial" w:cs="Arial" w:eastAsia="Arial" w:hAnsi="Arial"/>
                <w:sz w:val="13"/>
                <w:szCs w:val="13"/>
                <w:color w:val="auto"/>
                <w:w w:val="90"/>
              </w:rPr>
              <w:t>Aerospace &amp; Defense Manufacturing</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12.00%/1.50%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11/12/2015</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5/12/2021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7,667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98"/>
              </w:rPr>
              <w:t>7,659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7,667</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(1,000,000 units)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11/12/2015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1,000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1,802</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8,659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9,469</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56,328</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121,555</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26"/>
        </w:trPr>
        <w:tc>
          <w:tcPr>
            <w:tcW w:w="27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62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60" w:type="dxa"/>
            <w:vAlign w:val="bottom"/>
          </w:tcPr>
          <w:p>
            <w:pPr>
              <w:spacing w:after="0"/>
              <w:rPr>
                <w:sz w:val="12"/>
                <w:szCs w:val="12"/>
                <w:color w:val="auto"/>
              </w:rPr>
            </w:pPr>
          </w:p>
        </w:tc>
        <w:tc>
          <w:tcPr>
            <w:tcW w:w="1960" w:type="dxa"/>
            <w:vAlign w:val="bottom"/>
            <w:gridSpan w:val="2"/>
          </w:tcPr>
          <w:p>
            <w:pPr>
              <w:ind w:left="700"/>
              <w:spacing w:after="0"/>
              <w:rPr>
                <w:sz w:val="20"/>
                <w:szCs w:val="20"/>
                <w:color w:val="auto"/>
              </w:rPr>
            </w:pPr>
            <w:r>
              <w:rPr>
                <w:rFonts w:ascii="Arial" w:cs="Arial" w:eastAsia="Arial" w:hAnsi="Arial"/>
                <w:sz w:val="13"/>
                <w:szCs w:val="13"/>
                <w:b w:val="1"/>
                <w:bCs w:val="1"/>
                <w:color w:val="auto"/>
              </w:rPr>
              <w:t>Industry</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(g)</w:t>
            </w:r>
          </w:p>
        </w:tc>
        <w:tc>
          <w:tcPr>
            <w:tcW w:w="14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80" w:type="dxa"/>
            <w:vAlign w:val="bottom"/>
            <w:gridSpan w:val="3"/>
            <w:shd w:val="clear" w:color="auto" w:fill="CCEEFF"/>
          </w:tcPr>
          <w:p>
            <w:pPr>
              <w:spacing w:after="0" w:line="95" w:lineRule="exact"/>
              <w:rPr>
                <w:sz w:val="20"/>
                <w:szCs w:val="20"/>
                <w:color w:val="auto"/>
              </w:rPr>
            </w:pPr>
            <w:r>
              <w:rPr>
                <w:rFonts w:ascii="Arial" w:cs="Arial" w:eastAsia="Arial" w:hAnsi="Arial"/>
                <w:sz w:val="10"/>
                <w:szCs w:val="10"/>
                <w:b w:val="1"/>
                <w:bCs w:val="1"/>
                <w:color w:val="auto"/>
              </w:rPr>
              <w:t>Non-control/Non-affiliate Investments</w:t>
            </w:r>
          </w:p>
        </w:tc>
        <w:tc>
          <w:tcPr>
            <w:tcW w:w="6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740" w:type="dxa"/>
            <w:vAlign w:val="bottom"/>
            <w:tcBorders>
              <w:top w:val="single" w:sz="8" w:color="CCEEFF"/>
            </w:tcBorders>
          </w:tcPr>
          <w:p>
            <w:pPr>
              <w:spacing w:after="0"/>
              <w:rPr>
                <w:sz w:val="11"/>
                <w:szCs w:val="11"/>
                <w:color w:val="auto"/>
              </w:rPr>
            </w:pPr>
          </w:p>
        </w:tc>
        <w:tc>
          <w:tcPr>
            <w:tcW w:w="2020" w:type="dxa"/>
            <w:vAlign w:val="bottom"/>
            <w:tcBorders>
              <w:top w:val="single" w:sz="8" w:color="CCEEFF"/>
            </w:tcBorders>
            <w:gridSpan w:val="3"/>
          </w:tcPr>
          <w:p>
            <w:pPr>
              <w:ind w:left="60"/>
              <w:spacing w:after="0" w:line="129" w:lineRule="exact"/>
              <w:rPr>
                <w:sz w:val="20"/>
                <w:szCs w:val="20"/>
                <w:color w:val="auto"/>
              </w:rPr>
            </w:pPr>
            <w:r>
              <w:rPr>
                <w:rFonts w:ascii="Arial" w:cs="Arial" w:eastAsia="Arial" w:hAnsi="Arial"/>
                <w:sz w:val="13"/>
                <w:szCs w:val="13"/>
                <w:color w:val="auto"/>
                <w:w w:val="97"/>
              </w:rPr>
              <w:t>Vending Equipment Manufacturing</w:t>
            </w:r>
          </w:p>
        </w:tc>
        <w:tc>
          <w:tcPr>
            <w:tcW w:w="13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10.00%/5.00%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11/30/2016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5/30/2022</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33,842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$ 33,760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$ 31,626</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(j)(p)</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0.00%/17.00%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6/28/2019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5/30/2022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1,567</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1,567</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1,441</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11/30/2016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36,127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33,294</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Healthcare Products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11.25%/0.00%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7/31/2019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5/26/2023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21,500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21,405</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21,405</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11/26/2014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1,465</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22,655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22,870</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5"/>
              </w:rPr>
              <w:t>Alzheimer’s Research and Treatment Center, LLC</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Healthcare Services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(L + 5.75%)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8"/>
              </w:rPr>
              <w:t>7.75%/0.00%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10/23/2018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10/23/2023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6,500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6,461</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6,500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10/23/2018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1,406</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7,461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7,906</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7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1"/>
              </w:rPr>
              <w:t>American AllWaste LLC (dba WasteWater Transport</w:t>
            </w: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Services)</w:t>
            </w:r>
          </w:p>
        </w:tc>
        <w:tc>
          <w:tcPr>
            <w:tcW w:w="20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Environmental Industries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6"/>
              </w:rPr>
              <w:t>(L + 11.00%)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13.00%/0.00%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5/31/2018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11/30/2023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17,411</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8/6/2019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18,161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18,293</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 + 9.75%) / (2.00%)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11.84%/0.00%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12/26/2018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6/28/2023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14,156</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14,098</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14,156</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0"/>
        </w:trPr>
        <w:tc>
          <w:tcPr>
            <w:tcW w:w="278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2020" w:type="dxa"/>
            <w:vAlign w:val="bottom"/>
            <w:gridSpan w:val="3"/>
          </w:tcPr>
          <w:p>
            <w:pPr>
              <w:ind w:left="60"/>
              <w:spacing w:after="0"/>
              <w:rPr>
                <w:sz w:val="20"/>
                <w:szCs w:val="20"/>
                <w:color w:val="auto"/>
              </w:rPr>
            </w:pPr>
            <w:r>
              <w:rPr>
                <w:rFonts w:ascii="Arial" w:cs="Arial" w:eastAsia="Arial" w:hAnsi="Arial"/>
                <w:sz w:val="13"/>
                <w:szCs w:val="13"/>
                <w:color w:val="auto"/>
              </w:rPr>
              <w:t>Specialty Distribution</w:t>
            </w: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11.50%/0.00%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22,427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776</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22,917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23,276</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Component Manufacturing</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10.50%/3.50%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8/27/2023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10,493</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10,456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9,569</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2/27/2018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10,956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9,769</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Retail</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 + 6.00%) / (2.25%)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8.25%/0.00%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8/9/2024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13,250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12,785</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12,785</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(497,549 units) (j)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8/9/2019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13,634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13,634</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Information Technology Services</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18,167</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18,027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18,167</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(451 shares)</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1/28/2019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232</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167</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 shares)</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18,402</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18,477</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Information Technology Services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11.00%/0.00%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7/3/2024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27,000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26,888</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27,000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(2,286 shares)</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(133 shares)</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28,220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28,662</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Specialty Distribution</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 + 6.25%) / (2.00%)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8.25%/0.00%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3/12/2024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4,969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(500,000 units) (h)(j)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3/12/2019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445</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5,469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5,445</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89"/>
              </w:rPr>
              <w:t>Cardboard Box LLC (dba Anthony’s Coal Fired Pizza)</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Restaurants</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12/15/2015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(99,889 units) (j)</w:t>
            </w: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12/6/2019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146</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20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Information Technology Services</w:t>
            </w: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7/28/2017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1/28/2023</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6,750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6,731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6,750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7/28/2017</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7/28/2017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996</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7,731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8,370</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10.50%/1.00%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3/14/2018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9/14/2023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9,166</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9,136</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9,166</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822</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9,886</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9,988</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(L + 5.75%) / (1.75%)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8"/>
              </w:rPr>
              <w:t>7.69%/0.00%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2/7/2019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2/7/2024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15,155</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14,939</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15,155</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724</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15,532</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15,879</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20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Retail</w:t>
            </w: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12.00%/1.00%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7/13/2017</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1/13/2023</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9,484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9,433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9,484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7/13/2017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669</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10,153</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Variable Index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26"/>
        </w:trPr>
        <w:tc>
          <w:tcPr>
            <w:tcW w:w="29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6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77"/>
              <w:spacing w:after="0" w:line="126"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68"/>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4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(g)</w:t>
            </w: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79"/>
              </w:rPr>
              <w:t>Assets</w:t>
            </w:r>
          </w:p>
        </w:tc>
        <w:tc>
          <w:tcPr>
            <w:tcW w:w="0" w:type="dxa"/>
            <w:vAlign w:val="bottom"/>
          </w:tcPr>
          <w:p>
            <w:pPr>
              <w:spacing w:after="0"/>
              <w:rPr>
                <w:sz w:val="1"/>
                <w:szCs w:val="1"/>
                <w:color w:val="auto"/>
              </w:rPr>
            </w:pPr>
          </w:p>
        </w:tc>
      </w:tr>
      <w:tr>
        <w:trPr>
          <w:trHeight w:val="122"/>
        </w:trPr>
        <w:tc>
          <w:tcPr>
            <w:tcW w:w="10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i w:val="1"/>
                <w:iCs w:val="1"/>
                <w:color w:val="auto"/>
                <w:w w:val="90"/>
              </w:rPr>
              <w:t>French Transit, LLC</w:t>
            </w:r>
          </w:p>
        </w:tc>
        <w:tc>
          <w:tcPr>
            <w:tcW w:w="19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Consumer Products</w:t>
            </w:r>
          </w:p>
        </w:tc>
        <w:tc>
          <w:tcPr>
            <w:tcW w:w="6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3"/>
              </w:rPr>
              <w:t>(L + 9.00%) / (2.25%)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89"/>
              </w:rPr>
              <w:t>11.25%/0.00%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6/21/2019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6/21/2024</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8,000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$ 7,964</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8,000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gridSpan w:val="5"/>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($1,000 unfunded commitment) (j)(u)</w:t>
            </w: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(L + 9.00%) / (2.25%)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6/21/2024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8,000</w:t>
            </w: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2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3"/>
              </w:rPr>
              <w:t>(L + 5.00%)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7.10%/0.00%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9/21/2018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9/21/2023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7,071</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7,013</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7,071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(947 shares) (j)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9/21/2018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7,388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7,631</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 shares)</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12/19/2017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3,382</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rPr>
              <w:t>Haematologic Technologies, Inc.</w:t>
            </w:r>
          </w:p>
        </w:tc>
        <w:tc>
          <w:tcPr>
            <w:tcW w:w="2000" w:type="dxa"/>
            <w:vAlign w:val="bottom"/>
            <w:gridSpan w:val="3"/>
          </w:tcPr>
          <w:p>
            <w:pPr>
              <w:ind w:left="40"/>
              <w:spacing w:after="0"/>
              <w:rPr>
                <w:sz w:val="20"/>
                <w:szCs w:val="20"/>
                <w:color w:val="auto"/>
              </w:rPr>
            </w:pPr>
            <w:r>
              <w:rPr>
                <w:rFonts w:ascii="Arial" w:cs="Arial" w:eastAsia="Arial" w:hAnsi="Arial"/>
                <w:sz w:val="13"/>
                <w:szCs w:val="13"/>
                <w:color w:val="auto"/>
              </w:rPr>
              <w:t>Healthcare Services</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(x)</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(L + 7.25%) / (2.00%)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10/11/2019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10/11/2024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10/11/2019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4"/>
              </w:rPr>
              <w:t>Hilco Plastics Holdings, LLC (dba Hilco Technologies)</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11.50%/1.50%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12/31/2019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10,116</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10,116</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9,057</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Revolving Loan (j)</w:t>
            </w:r>
          </w:p>
        </w:tc>
        <w:tc>
          <w:tcPr>
            <w:tcW w:w="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3"/>
              </w:rPr>
              <w:t>(L + 6.50%) / (0.00%)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8.26%/0.00%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12/20/2019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12/15/2019</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5,962</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5,962</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5,962</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(L + 6.95%) / (0.00%)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8.66%/0.00%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12/20/2019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12/15/2019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3"/>
              </w:rPr>
              <w:t>(L + 6.95%) / (0.00%)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8.64%/0.00%</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12/20/2019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89"/>
              </w:rPr>
              <w:t>12/15/2019</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1,815</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1,815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1,815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9/23/2016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24,178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21,646</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(L + 9.25%) / (2.25%)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11.50%/0.00%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6/7/2024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7,121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(610 units) (h)(j)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6/20/2019</w:t>
            </w:r>
          </w:p>
        </w:tc>
        <w:tc>
          <w:tcPr>
            <w:tcW w:w="12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1/1/2022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7,371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7,444</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Promotional products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9/23/2021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24,947</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(7,500 units)</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3/23/2016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1,488</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25,210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26,488</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1"/>
              </w:rPr>
              <w:t>Aerospace &amp; Defense Manufacturing</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3"/>
              </w:rPr>
              <w:t>(L + 7.00%) / (1.00%)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8.94%/0.00%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9/27/2018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3/29/2023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9,246</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9,174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9,246</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rPr>
              <w:t>IBH Holdings, LLC (fka Inflexxion, Inc.)</w:t>
            </w:r>
          </w:p>
        </w:tc>
        <w:tc>
          <w:tcPr>
            <w:tcW w:w="2000" w:type="dxa"/>
            <w:vAlign w:val="bottom"/>
            <w:gridSpan w:val="3"/>
          </w:tcPr>
          <w:p>
            <w:pPr>
              <w:ind w:left="40"/>
              <w:spacing w:after="0"/>
              <w:rPr>
                <w:sz w:val="20"/>
                <w:szCs w:val="20"/>
                <w:color w:val="auto"/>
              </w:rPr>
            </w:pPr>
            <w:r>
              <w:rPr>
                <w:rFonts w:ascii="Arial" w:cs="Arial" w:eastAsia="Arial" w:hAnsi="Arial"/>
                <w:sz w:val="13"/>
                <w:szCs w:val="13"/>
                <w:color w:val="auto"/>
              </w:rPr>
              <w:t>Business Services</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6"/>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w w:val="98"/>
              </w:rPr>
              <w:t>K2 Merger Agreement Agent, LLC (fka K2 Industrial</w:t>
            </w:r>
          </w:p>
        </w:tc>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ind w:left="120"/>
              <w:spacing w:after="0"/>
              <w:rPr>
                <w:sz w:val="20"/>
                <w:szCs w:val="20"/>
                <w:color w:val="auto"/>
              </w:rPr>
            </w:pPr>
            <w:r>
              <w:rPr>
                <w:rFonts w:ascii="Arial" w:cs="Arial" w:eastAsia="Arial" w:hAnsi="Arial"/>
                <w:sz w:val="13"/>
                <w:szCs w:val="13"/>
                <w:i w:val="1"/>
                <w:iCs w:val="1"/>
                <w:color w:val="auto"/>
              </w:rPr>
              <w:t>Services, Inc.) (n)</w:t>
            </w:r>
          </w:p>
        </w:tc>
        <w:tc>
          <w:tcPr>
            <w:tcW w:w="2000" w:type="dxa"/>
            <w:vAlign w:val="bottom"/>
            <w:gridSpan w:val="3"/>
          </w:tcPr>
          <w:p>
            <w:pPr>
              <w:ind w:left="40"/>
              <w:spacing w:after="0"/>
              <w:rPr>
                <w:sz w:val="20"/>
                <w:szCs w:val="20"/>
                <w:color w:val="auto"/>
              </w:rPr>
            </w:pPr>
            <w:r>
              <w:rPr>
                <w:rFonts w:ascii="Arial" w:cs="Arial" w:eastAsia="Arial" w:hAnsi="Arial"/>
                <w:sz w:val="13"/>
                <w:szCs w:val="13"/>
                <w:color w:val="auto"/>
              </w:rPr>
              <w:t>Industrial Cleaning &amp; Coatings</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0.00%/10.00%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1/28/2019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rPr>
              <w:t>The Kyjen Company, LLC (dba Outward Hound)</w:t>
            </w:r>
          </w:p>
        </w:tc>
        <w:tc>
          <w:tcPr>
            <w:tcW w:w="2000" w:type="dxa"/>
            <w:vAlign w:val="bottom"/>
            <w:gridSpan w:val="3"/>
          </w:tcPr>
          <w:p>
            <w:pPr>
              <w:ind w:left="40"/>
              <w:spacing w:after="0"/>
              <w:rPr>
                <w:sz w:val="20"/>
                <w:szCs w:val="20"/>
                <w:color w:val="auto"/>
              </w:rPr>
            </w:pPr>
            <w:r>
              <w:rPr>
                <w:rFonts w:ascii="Arial" w:cs="Arial" w:eastAsia="Arial" w:hAnsi="Arial"/>
                <w:sz w:val="13"/>
                <w:szCs w:val="13"/>
                <w:color w:val="auto"/>
              </w:rPr>
              <w:t>Consumer Products</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6/8/2024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14,948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13,024</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12/8/2017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15,713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13,633</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Oil &amp; Gas Distribution</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11.50%/0.00%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12/28/2016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11/12/2021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12/28/2016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5,991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6,264</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10.50%/0.75%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1/21/2023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12,225</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12,192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12,120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(960,482 units) (h)(j)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7/21/2017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1,063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13,152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13,183</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Utilities: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10.50%/1.75%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11/30/2017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8/1/2024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17,221</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17,133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17,221</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(981 shares) (j)</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11/30/2017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18,281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18,182</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(14,384 shares) (j)(m)</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6/23/2017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1,244</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0"/>
              </w:rPr>
              <w:t>Warrant (9.59% of Junior Subordinated Notes) (j)(q)</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6/23/2017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1,711</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89"/>
              </w:rPr>
              <w:t>NGT Acquisition Holdings, LLC (dba Techniks Industries)</w:t>
            </w:r>
          </w:p>
        </w:tc>
        <w:tc>
          <w:tcPr>
            <w:tcW w:w="2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Arial" w:cs="Arial" w:eastAsia="Arial" w:hAnsi="Arial"/>
                <w:sz w:val="13"/>
                <w:szCs w:val="13"/>
                <w:i w:val="1"/>
                <w:iCs w:val="1"/>
                <w:color w:val="auto"/>
                <w:w w:val="97"/>
              </w:rPr>
              <w:t>OMC Investors, LLC (dba Ohio Medical Corporation)</w:t>
            </w:r>
          </w:p>
        </w:tc>
        <w:tc>
          <w:tcPr>
            <w:tcW w:w="2000" w:type="dxa"/>
            <w:vAlign w:val="bottom"/>
            <w:gridSpan w:val="3"/>
          </w:tcPr>
          <w:p>
            <w:pPr>
              <w:ind w:left="40"/>
              <w:spacing w:after="0"/>
              <w:rPr>
                <w:sz w:val="20"/>
                <w:szCs w:val="20"/>
                <w:color w:val="auto"/>
              </w:rPr>
            </w:pPr>
            <w:r>
              <w:rPr>
                <w:rFonts w:ascii="Arial" w:cs="Arial" w:eastAsia="Arial" w:hAnsi="Arial"/>
                <w:sz w:val="13"/>
                <w:szCs w:val="13"/>
                <w:color w:val="auto"/>
              </w:rPr>
              <w:t>Healthcare Products</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7/15/2021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9,972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1/15/2016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10,472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10,475</w:t>
            </w: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b w:val="1"/>
                <w:bCs w:val="1"/>
                <w:color w:val="auto"/>
              </w:rPr>
              <w:t>Variable Index</w:t>
            </w:r>
          </w:p>
        </w:tc>
        <w:tc>
          <w:tcPr>
            <w:tcW w:w="94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Fair</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49"/>
        </w:trPr>
        <w:tc>
          <w:tcPr>
            <w:tcW w:w="256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80" w:type="dxa"/>
            <w:vAlign w:val="bottom"/>
          </w:tcPr>
          <w:p>
            <w:pPr>
              <w:spacing w:after="0"/>
              <w:rPr>
                <w:sz w:val="12"/>
                <w:szCs w:val="12"/>
                <w:color w:val="auto"/>
              </w:rPr>
            </w:pPr>
          </w:p>
        </w:tc>
        <w:tc>
          <w:tcPr>
            <w:tcW w:w="1840" w:type="dxa"/>
            <w:vAlign w:val="bottom"/>
            <w:gridSpan w:val="2"/>
          </w:tcPr>
          <w:p>
            <w:pPr>
              <w:ind w:left="620"/>
              <w:spacing w:after="0"/>
              <w:rPr>
                <w:sz w:val="20"/>
                <w:szCs w:val="20"/>
                <w:color w:val="auto"/>
              </w:rPr>
            </w:pPr>
            <w:r>
              <w:rPr>
                <w:rFonts w:ascii="Arial" w:cs="Arial" w:eastAsia="Arial" w:hAnsi="Arial"/>
                <w:sz w:val="13"/>
                <w:szCs w:val="13"/>
                <w:b w:val="1"/>
                <w:bCs w:val="1"/>
                <w:color w:val="auto"/>
              </w:rPr>
              <w:t>Industry</w:t>
            </w:r>
          </w:p>
        </w:tc>
        <w:tc>
          <w:tcPr>
            <w:tcW w:w="1380" w:type="dxa"/>
            <w:vAlign w:val="bottom"/>
            <w:gridSpan w:val="2"/>
          </w:tcPr>
          <w:p>
            <w:pPr>
              <w:ind w:left="160"/>
              <w:spacing w:after="0"/>
              <w:rPr>
                <w:sz w:val="20"/>
                <w:szCs w:val="20"/>
                <w:color w:val="auto"/>
              </w:rPr>
            </w:pPr>
            <w:r>
              <w:rPr>
                <w:rFonts w:ascii="Arial" w:cs="Arial" w:eastAsia="Arial" w:hAnsi="Arial"/>
                <w:sz w:val="13"/>
                <w:szCs w:val="13"/>
                <w:b w:val="1"/>
                <w:bCs w:val="1"/>
                <w:color w:val="auto"/>
              </w:rPr>
              <w:t>Spread / Floor (d)</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Cash/PIK</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Date (f)</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2"/>
                <w:szCs w:val="1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(g)</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Palisade Company, LLC</w:t>
            </w:r>
          </w:p>
        </w:tc>
        <w:tc>
          <w:tcPr>
            <w:tcW w:w="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0"/>
              </w:rPr>
              <w:t>Information Technology Services</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Subordinated Debt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11.75%/0.00%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11/15/2018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5/15/2024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6,500</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$ 6,474</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6,500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(100 shares)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11/15/2018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901</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7,474</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7,401</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i w:val="1"/>
                <w:iCs w:val="1"/>
                <w:color w:val="auto"/>
              </w:rPr>
              <w:t>Palmetto Moon, LLC</w:t>
            </w:r>
          </w:p>
        </w:tc>
        <w:tc>
          <w:tcPr>
            <w:tcW w:w="19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3"/>
                <w:szCs w:val="13"/>
                <w:color w:val="auto"/>
              </w:rPr>
              <w:t>Retail</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First Lien Debt</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11.50%/2.50%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11/3/2016</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10/31/2021</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4,949</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4,963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(499 units)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11/3/2016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5,443</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5,030</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Specialty Distribution</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11.00%/1.00%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12/2/2025</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22,207</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22,115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22,207</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(392 shares)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459</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Preferred Equity (48 shares)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12/2/2019</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(10,622 shares)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462</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610</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23,017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23,333</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First Lien Debt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98"/>
              </w:rPr>
              <w:t>(L + 6.25%) / (2.00%)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8.25%/0.00%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11/25/2019</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11/25/2024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7,500</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(500,000 shares)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11/25/2019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Specialty Distribution</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12.25%/0.00%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11/10/2016</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5/10/2022</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23,581</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23,521</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23,581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(6,125 units) (h)(j)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11/10/2016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576</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1,199</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24,097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24,780</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w w:val="97"/>
              </w:rPr>
              <w:t>Information Technology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(2,250,000 shares)</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1/4/2017</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2,250</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5,120</w:t>
            </w: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Specialty Distribution</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12.00%/1.00%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8/11/2017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2/11/2023</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11,440</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11,402</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10,101</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gridSpan w:val="2"/>
          </w:tcPr>
          <w:p>
            <w:pPr>
              <w:ind w:left="220"/>
              <w:spacing w:after="0" w:line="121" w:lineRule="exact"/>
              <w:rPr>
                <w:sz w:val="20"/>
                <w:szCs w:val="20"/>
                <w:color w:val="auto"/>
              </w:rPr>
            </w:pPr>
            <w:r>
              <w:rPr>
                <w:rFonts w:ascii="Arial" w:cs="Arial" w:eastAsia="Arial" w:hAnsi="Arial"/>
                <w:sz w:val="13"/>
                <w:szCs w:val="13"/>
                <w:color w:val="auto"/>
                <w:w w:val="90"/>
              </w:rPr>
              <w:t>Delayed Draw Commitment ($875 unfunded</w:t>
            </w:r>
          </w:p>
        </w:tc>
        <w:tc>
          <w:tcPr>
            <w:tcW w:w="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360"/>
              <w:spacing w:after="0"/>
              <w:rPr>
                <w:sz w:val="20"/>
                <w:szCs w:val="20"/>
                <w:color w:val="auto"/>
              </w:rPr>
            </w:pPr>
            <w:r>
              <w:rPr>
                <w:rFonts w:ascii="Arial" w:cs="Arial" w:eastAsia="Arial" w:hAnsi="Arial"/>
                <w:sz w:val="13"/>
                <w:szCs w:val="13"/>
                <w:color w:val="auto"/>
              </w:rPr>
              <w:t>commitment) (i)(j)</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w w:val="87"/>
              </w:rPr>
              <w:t>12.00%/1.00%</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8/11/2017</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5/17/2022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(8,864 units) (h)(j)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8/11/2017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944</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12,346</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10,600</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11.25%/1.50%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9/18/2018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3/18/2024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10,222</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10,185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10,222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(655 units)</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680</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10,806</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10,902</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Packaging</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Subordinated Debt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10.50%/1.00%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10/1/2018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13,875</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13,822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13,875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(400 shares)</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7/18/2016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1,256</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14,602</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15,131</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SES Investors, LLC (dba SES Foam)</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w w:val="98"/>
              </w:rPr>
              <w:t>Building Products Manufacturing</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13.00%/0.00%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9/8/2016</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12/29/2020</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3,095</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3,082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(6,000 units) (h)(j)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9/8/2016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567</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856</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3,649</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3,951</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w w:val="97"/>
              </w:rPr>
              <w:t>Information Technology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Subordinated Debt (k)</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2"/>
              </w:rPr>
              <w:t>12/23/2016</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6/23/2023</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9,972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(12 shares)</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12/23/2016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1,291</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1,578</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11,263</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11,578</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Specialized Elevator Services Holdings,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First Lien Debt (j)(y)</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98"/>
              </w:rPr>
              <w:t>(L + 5.25%) / (2.00%)</w:t>
            </w: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95"/>
              </w:rPr>
              <w:t>7.25%/0.00%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5/7/2019</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5/3/2024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7,080</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6,985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7,080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(500 units)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5/8/2019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554</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7,485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7,634</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3"/>
                <w:szCs w:val="13"/>
                <w:color w:val="auto"/>
                <w:w w:val="87"/>
              </w:rPr>
              <w:t>11.00%/1.00%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7/8/2023</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10,491</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10,456</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10,491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(1,000,000 units)</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11,456</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11,891</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Component Manufacturing</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(1,000 units)</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2/28/2017</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998</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1,005</w:t>
            </w: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The Tranzonic Companies</w:t>
            </w:r>
          </w:p>
        </w:tc>
        <w:tc>
          <w:tcPr>
            <w:tcW w:w="19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Specialty Distribution</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Subordinated Debt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10.00%/1.50%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3/27/2025</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6,922</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6,870</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6,922</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Preferred Equity (5,653 units)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3/27/2018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 units)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7,435</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7,611</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Subordinated Debt (j)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11.00%/0.00%</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4/3/2018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10/3/2024</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13,893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13,792</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13,645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(705,000 units) (h)(j)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705</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811</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14,497</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14,456</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Healthcare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Preferred Equity (98,377 units) (h)(j)</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4/1/2012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1,008</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Warrant (57,469 units) (m)</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3/5/2012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566</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44</w:t>
            </w: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 (n)</w:t>
            </w:r>
          </w:p>
        </w:tc>
        <w:tc>
          <w:tcPr>
            <w:tcW w:w="19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Business Services</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(6,000 units)</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7/30/2015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(2,380 units) (j)</w:t>
            </w:r>
          </w:p>
        </w:tc>
        <w:tc>
          <w:tcPr>
            <w:tcW w:w="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2/2/2018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4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Variable Index</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9"/>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1160" w:type="dxa"/>
            <w:vAlign w:val="bottom"/>
          </w:tcPr>
          <w:p>
            <w:pPr>
              <w:spacing w:after="0"/>
              <w:rPr>
                <w:sz w:val="14"/>
                <w:szCs w:val="14"/>
                <w:color w:val="auto"/>
              </w:rPr>
            </w:pPr>
          </w:p>
        </w:tc>
        <w:tc>
          <w:tcPr>
            <w:tcW w:w="2000" w:type="dxa"/>
            <w:vAlign w:val="bottom"/>
            <w:gridSpan w:val="2"/>
          </w:tcPr>
          <w:p>
            <w:pPr>
              <w:ind w:left="700"/>
              <w:spacing w:after="0"/>
              <w:rPr>
                <w:sz w:val="20"/>
                <w:szCs w:val="20"/>
                <w:color w:val="auto"/>
              </w:rPr>
            </w:pPr>
            <w:r>
              <w:rPr>
                <w:rFonts w:ascii="Arial" w:cs="Arial" w:eastAsia="Arial" w:hAnsi="Arial"/>
                <w:sz w:val="13"/>
                <w:szCs w:val="13"/>
                <w:b w:val="1"/>
                <w:bCs w:val="1"/>
                <w:color w:val="auto"/>
              </w:rPr>
              <w:t>Industry</w:t>
            </w: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Spread/Floor (d)</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4"/>
              </w:rPr>
              <w:t>Maturity</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25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Virginia Tile Company, LLC</w:t>
            </w:r>
          </w:p>
        </w:tc>
        <w:tc>
          <w:tcPr>
            <w:tcW w:w="18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9"/>
              </w:rPr>
              <w:t>12.25%/0.00%</w:t>
            </w: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4/7/2022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8"/>
              </w:rPr>
              <w:t>$  12,000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11,989</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12,331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12,860</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8"/>
              </w:rPr>
              <w:t>(L + 8.50%) / (0.00%)</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9"/>
              </w:rPr>
              <w:t>10.30%/0.00%</w:t>
            </w: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5/17/2019</w:t>
            </w:r>
          </w:p>
        </w:tc>
        <w:tc>
          <w:tcPr>
            <w:tcW w:w="1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4/4/2026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19,818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(694,444 units) (j)</w:t>
            </w:r>
          </w:p>
        </w:tc>
        <w:tc>
          <w:tcPr>
            <w:tcW w:w="1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5/15/2019</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21,318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21,781</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Transportation services</w:t>
            </w: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8"/>
              </w:rPr>
              <w:t>(L + 8.00%) / (1.00%)</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8"/>
              </w:rPr>
              <w:t>9.90%/0.00%</w:t>
            </w: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2/3/2025</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19,740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1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4,452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22,696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24,452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w w:val="94"/>
              </w:rPr>
              <w:t>Total Non-control/Non-affiliate Investments</w:t>
            </w:r>
          </w:p>
        </w:tc>
        <w:tc>
          <w:tcPr>
            <w:tcW w:w="1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0"/>
              </w:rPr>
              <w:t>620,453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5"/>
              </w:rPr>
              <w:t>623,544</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54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w w:val="80"/>
              </w:rPr>
              <w:t>704,499</w:t>
            </w:r>
          </w:p>
        </w:tc>
        <w:tc>
          <w:tcPr>
            <w:tcW w:w="60" w:type="dxa"/>
            <w:vAlign w:val="bottom"/>
          </w:tcPr>
          <w:p>
            <w:pPr>
              <w:spacing w:after="0"/>
              <w:rPr>
                <w:sz w:val="12"/>
                <w:szCs w:val="12"/>
                <w:color w:val="auto"/>
              </w:rPr>
            </w:pPr>
          </w:p>
        </w:tc>
        <w:tc>
          <w:tcPr>
            <w:tcW w:w="140" w:type="dxa"/>
            <w:vAlign w:val="bottom"/>
            <w:gridSpan w:val="2"/>
            <w:vMerge w:val="restart"/>
          </w:tcPr>
          <w:p>
            <w:pPr>
              <w:ind w:left="80"/>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85"/>
              </w:rPr>
              <w:t>766,919</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70"/>
        </w:trPr>
        <w:tc>
          <w:tcPr>
            <w:tcW w:w="1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2019</w:t>
      </w:r>
    </w:p>
    <w:p>
      <w:pPr>
        <w:spacing w:after="0" w:line="1" w:lineRule="exact"/>
        <w:rPr>
          <w:rFonts w:ascii="Arial" w:cs="Arial" w:eastAsia="Arial" w:hAnsi="Arial"/>
          <w:sz w:val="18"/>
          <w:szCs w:val="18"/>
          <w:color w:val="auto"/>
        </w:rPr>
      </w:pPr>
    </w:p>
    <w:p>
      <w:pPr>
        <w:ind w:left="540" w:right="102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2019. Generally, payment-in-kind interest can be paid-in-kind or all in cash.</w:t>
      </w: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280" w:hanging="424"/>
        <w:spacing w:after="0" w:line="265"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2019. The Company is earning 0.50% interest on the unfunded balance of the commitment. The interest rate disclosed represents the rate which will be earned if the commitment is funded.</w:t>
      </w:r>
    </w:p>
    <w:p>
      <w:pPr>
        <w:ind w:left="540" w:right="180" w:hanging="424"/>
        <w:spacing w:after="0" w:line="28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540" w:right="360" w:hanging="424"/>
        <w:spacing w:after="0" w:line="28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6"/>
          <w:szCs w:val="16"/>
          <w:color w:val="auto"/>
        </w:rPr>
      </w:pPr>
    </w:p>
    <w:p>
      <w:pPr>
        <w:ind w:left="540" w:right="480" w:hanging="424"/>
        <w:spacing w:after="0" w:line="28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Investment was on non-accrual status as of December 31, 2019, meaning the Company has ceased recognizing interest income on the investment.</w:t>
      </w:r>
    </w:p>
    <w:p>
      <w:pPr>
        <w:spacing w:after="0" w:line="3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540" w:right="6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22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right="280" w:hanging="424"/>
        <w:spacing w:after="0" w:line="28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December 31, 2019. The Company is earning 0.75% interest on the unfunded balance of the commitment. The interest rate disclosed represents the rate earned on the outstanding, funded balance of the commitment.</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60" w:hanging="424"/>
        <w:spacing w:after="0" w:line="253"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838" w:orient="portrait"/>
          <w:cols w:equalWidth="0" w:num="1">
            <w:col w:w="11140"/>
          </w:cols>
          <w:pgMar w:left="320" w:top="459" w:right="439" w:bottom="276" w:gutter="0" w:footer="0" w:header="0"/>
        </w:sectPr>
      </w:pPr>
    </w:p>
    <w:bookmarkStart w:id="99" w:name="page100"/>
    <w:bookmarkEnd w:id="99"/>
    <w:p>
      <w:pPr>
        <w:ind w:left="424" w:hanging="424"/>
        <w:spacing w:after="0" w:line="254"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85" w:lineRule="exact"/>
        <w:rPr>
          <w:sz w:val="20"/>
          <w:szCs w:val="20"/>
          <w:color w:val="auto"/>
        </w:rPr>
      </w:pPr>
    </w:p>
    <w:p>
      <w:pPr>
        <w:jc w:val="center"/>
        <w:ind w:right="-63"/>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4"/>
          </w:cols>
          <w:pgMar w:left="436" w:top="125"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7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two or more SBICs under common control, the maximum amount of outstanding SBA debentures cannot exceed $350,000.</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10-K,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6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540" w:right="40" w:hanging="331"/>
        <w:spacing w:after="0" w:line="269" w:lineRule="auto"/>
        <w:tabs>
          <w:tab w:leader="none" w:pos="154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Market risk - </w:t>
      </w:r>
      <w:r>
        <w:rPr>
          <w:rFonts w:ascii="Arial" w:cs="Arial" w:eastAsia="Arial" w:hAnsi="Arial"/>
          <w:sz w:val="17"/>
          <w:szCs w:val="17"/>
          <w:color w:val="auto"/>
        </w:rPr>
        <w:t>In contrast to investment-grade bonds (the market prices of which change primarily as a reaction to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ectPr>
          <w:pgSz w:w="11900" w:h="16838" w:orient="portrait"/>
          <w:cols w:equalWidth="0" w:num="1">
            <w:col w:w="11080"/>
          </w:cols>
          <w:pgMar w:left="320" w:top="459" w:right="499" w:bottom="1440" w:gutter="0" w:footer="0" w:header="0"/>
        </w:sectPr>
      </w:pP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80"/>
          </w:cols>
          <w:pgMar w:left="320" w:top="459" w:right="49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540" w:hanging="331"/>
        <w:spacing w:after="0" w:line="263"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9"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4" w:lineRule="exact"/>
        <w:rPr>
          <w:rFonts w:ascii="Arial" w:cs="Arial" w:eastAsia="Arial" w:hAnsi="Arial"/>
          <w:sz w:val="16"/>
          <w:szCs w:val="16"/>
          <w:color w:val="auto"/>
        </w:rPr>
      </w:pPr>
    </w:p>
    <w:p>
      <w:pPr>
        <w:ind w:left="1540" w:right="100" w:hanging="331"/>
        <w:spacing w:after="0" w:line="263"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Notes (as defined in Note 6), 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9" w:right="4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Management has determined that all participations, assignments and other partial loan or equity sale transactions entered into by the Company have met the definition of a participating interest. Accordingly, the Company uses sale treatment in accounting for such transactions.</w:t>
      </w:r>
    </w:p>
    <w:p>
      <w:pPr>
        <w:spacing w:after="0" w:line="17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2020 and 2019. The Company’s tax returns are generally subject to examination by U.S. federal and most state tax authorities for a period of three years from the date the respective returns are filed, and, accordingly, the Company’s 2017 through 2019 tax years remain subject to examination.</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ectPr>
          <w:pgSz w:w="11900" w:h="16838" w:orient="portrait"/>
          <w:cols w:equalWidth="0" w:num="1">
            <w:col w:w="11120"/>
          </w:cols>
          <w:pgMar w:left="320" w:top="459" w:right="459" w:bottom="1440"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years ended December 31, 2020, 2019 and 2018,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8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years ended December 31, 2020 and 2018, the Company repurchased 25,719 and 44,821 shares, respectively, of common stock on the open market for $268 and $582, respectively. The Company did not make any repurchases of common stock during the year ended December 31, 2019. Refer to Note 8 for additional information concerning stock repurchases.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The Company adopted the ASU effective January 1, 2020. No significant changes to the fair value disclosures were necessary in the notes to the consolidated financial statements in order to comply with ASU 2018-13.</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Rule 12b-2 Update:</w:t>
      </w:r>
    </w:p>
    <w:p>
      <w:pPr>
        <w:spacing w:after="0" w:line="117" w:lineRule="exact"/>
        <w:rPr>
          <w:sz w:val="20"/>
          <w:szCs w:val="20"/>
          <w:color w:val="auto"/>
        </w:rPr>
      </w:pPr>
    </w:p>
    <w:p>
      <w:pPr>
        <w:ind w:left="120" w:right="460" w:firstLine="440"/>
        <w:spacing w:after="0" w:line="287" w:lineRule="auto"/>
        <w:rPr>
          <w:sz w:val="20"/>
          <w:szCs w:val="20"/>
          <w:color w:val="auto"/>
        </w:rPr>
      </w:pPr>
      <w:r>
        <w:rPr>
          <w:rFonts w:ascii="Arial" w:cs="Arial" w:eastAsia="Arial" w:hAnsi="Arial"/>
          <w:sz w:val="16"/>
          <w:szCs w:val="16"/>
          <w:color w:val="auto"/>
        </w:rPr>
        <w:t>In March 2020, the SEC adopted a final rule under SEC Release No. 34-88365 (the “Final Rule”), amending the accelerated filer and large accelerated filer definitions in Exchange Act Rule 12b-2. The amendments include a provision under which a BDC will be excluded from the “accelerated filer” and “large accelerated filer” definitions if the BDC has (1) a public float of $75 million or more, but less than $700 million, and</w:t>
      </w:r>
    </w:p>
    <w:p>
      <w:pPr>
        <w:spacing w:after="0" w:line="2" w:lineRule="exact"/>
        <w:rPr>
          <w:sz w:val="20"/>
          <w:szCs w:val="20"/>
          <w:color w:val="auto"/>
        </w:rPr>
      </w:pPr>
    </w:p>
    <w:p>
      <w:pPr>
        <w:ind w:left="120" w:right="40" w:hanging="4"/>
        <w:spacing w:after="0" w:line="253"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has annual investment income of less than $100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The Final Rule applies to annual report filings due on or after April 27, 2020. As a result, the Company is no longer an accelerated filer.</w:t>
      </w:r>
    </w:p>
    <w:p>
      <w:pPr>
        <w:sectPr>
          <w:pgSz w:w="11900" w:h="16838" w:orient="portrait"/>
          <w:cols w:equalWidth="0" w:num="1">
            <w:col w:w="11120"/>
          </w:cols>
          <w:pgMar w:left="320" w:top="459" w:right="459" w:bottom="1440" w:gutter="0" w:footer="0" w:header="0"/>
        </w:sectPr>
      </w:pP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Rule 1-02(w)(2) Update: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but voluntary compliance is permitted in advance of the effective date. The Company has elected to early adopt this rule change as of December 31, 2020.</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 Regulation S-K Update: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is currently evaluating the impact of the Amendments on its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As of December 31, 2020, the Company had active investments in 66 portfolio companies and residual investments in three portfolio companies that have sold their underlying operations. The aggregate fair value of the total portfolio was $742,869 and the weighted average effective yield on the Company’s debt investments was 12.2% as of such date. As of December 31, 2020, the Company held equity investments in 88.4% of its portfolio companies and the weighted average fully diluted equity ownership in those portfolio companies was 5.8%. The weighted average fully diluted equity ownership was computed using the fully diluted equity ownership for equity investments (including warrants) at cost as of December 31, 2020.</w:t>
      </w:r>
    </w:p>
    <w:p>
      <w:pPr>
        <w:spacing w:after="0" w:line="16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As of December 31, 2019, the Company had active investments in 61 portfolio companies and residual investments in three portfolio companies that have sold their underlying operations. The aggregate fair value of the total portfolio was $766,919 and the weighted average effective yield on the Company’s debt investments was 12.0% as of such date. As of December 31, 2019, the Company held equity investments in 93.7%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December 31, 2019.</w:t>
      </w:r>
    </w:p>
    <w:p>
      <w:pPr>
        <w:spacing w:after="0" w:line="16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2020 and 2019, including accretion of OID and debt investment origination fees, but excluding investments on non-accrual status, if any.</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Purchases of debt and equity investments for the years ended December 31, 2020, 2019 and 2018 totaled $189,996, $219,173, and $212,264, respectively. Proceeds from sales and repayments, including principal, return of capital distributions and realized gains, of portfolio investments for the years ended December 31, 2020, 2019 and 2018 totaled $210,774, $120,600, and $188,255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620" w:type="dxa"/>
            <w:vAlign w:val="bottom"/>
            <w:gridSpan w:val="4"/>
          </w:tcPr>
          <w:p>
            <w:pPr>
              <w:jc w:val="right"/>
              <w:ind w:right="468"/>
              <w:spacing w:after="0" w:line="119" w:lineRule="exact"/>
              <w:rPr>
                <w:sz w:val="20"/>
                <w:szCs w:val="20"/>
                <w:color w:val="auto"/>
              </w:rPr>
            </w:pPr>
            <w:r>
              <w:rPr>
                <w:rFonts w:ascii="Arial" w:cs="Arial" w:eastAsia="Arial" w:hAnsi="Arial"/>
                <w:sz w:val="13"/>
                <w:szCs w:val="13"/>
                <w:b w:val="1"/>
                <w:bCs w:val="1"/>
                <w:color w:val="auto"/>
              </w:rPr>
              <w:t>December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$332,154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$383,077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$341,947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$392,196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Subordinated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107,911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140,843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107,343</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15.6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140,670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187,353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108,327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184,585</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112,836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126,564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49,958</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7.3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58,091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3,194</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Royalty Rights</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742,869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766,919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687,027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All investments made by the Company as of December 31, 2020 and 2019,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6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620" w:type="dxa"/>
            <w:vAlign w:val="bottom"/>
            <w:gridSpan w:val="4"/>
          </w:tcPr>
          <w:p>
            <w:pPr>
              <w:jc w:val="right"/>
              <w:ind w:right="468"/>
              <w:spacing w:after="0" w:line="119" w:lineRule="exact"/>
              <w:rPr>
                <w:sz w:val="20"/>
                <w:szCs w:val="20"/>
                <w:color w:val="auto"/>
              </w:rPr>
            </w:pPr>
            <w:r>
              <w:rPr>
                <w:rFonts w:ascii="Arial" w:cs="Arial" w:eastAsia="Arial" w:hAnsi="Arial"/>
                <w:sz w:val="13"/>
                <w:szCs w:val="13"/>
                <w:b w:val="1"/>
                <w:bCs w:val="1"/>
                <w:color w:val="auto"/>
              </w:rPr>
              <w:t>December 31,</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$225,745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$208,248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$189,560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153,291</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159,959</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129,974</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18.9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138,142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154,713</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127,833</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142,054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108,673</w:t>
            </w:r>
          </w:p>
        </w:tc>
        <w:tc>
          <w:tcPr>
            <w:tcW w:w="1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76,251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109,221</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15.9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76,587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167,748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130,439</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166,363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742,869</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766,919</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687,027</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3"/>
          </w:tcPr>
          <w:p>
            <w:pPr>
              <w:jc w:val="right"/>
              <w:ind w:right="2440"/>
              <w:spacing w:after="0"/>
              <w:rPr>
                <w:sz w:val="20"/>
                <w:szCs w:val="20"/>
                <w:color w:val="auto"/>
              </w:rPr>
            </w:pPr>
            <w:r>
              <w:rPr>
                <w:rFonts w:ascii="Arial" w:cs="Arial" w:eastAsia="Arial" w:hAnsi="Arial"/>
                <w:sz w:val="14"/>
                <w:szCs w:val="14"/>
                <w:b w:val="1"/>
                <w:bCs w:val="1"/>
                <w:color w:val="auto"/>
              </w:rPr>
              <w:t>By Type</w:t>
            </w:r>
          </w:p>
        </w:tc>
        <w:tc>
          <w:tcPr>
            <w:tcW w:w="8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By Geographic Region</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2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3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23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92.8%</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Midwest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Subordinated Debt</w:t>
            </w:r>
          </w:p>
        </w:tc>
        <w:tc>
          <w:tcPr>
            <w:tcW w:w="3900" w:type="dxa"/>
            <w:vAlign w:val="bottom"/>
            <w:gridSpan w:val="3"/>
          </w:tcPr>
          <w:p>
            <w:pPr>
              <w:jc w:val="right"/>
              <w:ind w:right="520"/>
              <w:spacing w:after="0"/>
              <w:rPr>
                <w:sz w:val="20"/>
                <w:szCs w:val="20"/>
                <w:color w:val="auto"/>
              </w:rPr>
            </w:pPr>
            <w:r>
              <w:rPr>
                <w:rFonts w:ascii="Arial" w:cs="Arial" w:eastAsia="Arial" w:hAnsi="Arial"/>
                <w:sz w:val="18"/>
                <w:szCs w:val="18"/>
                <w:color w:val="auto"/>
              </w:rPr>
              <w:t>26.3</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34.2</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Southeast</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37.3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3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45.6</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Northeast</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Equity</w:t>
            </w:r>
          </w:p>
        </w:tc>
        <w:tc>
          <w:tcPr>
            <w:tcW w:w="3900" w:type="dxa"/>
            <w:vAlign w:val="bottom"/>
            <w:gridSpan w:val="3"/>
          </w:tcPr>
          <w:p>
            <w:pPr>
              <w:jc w:val="right"/>
              <w:ind w:right="520"/>
              <w:spacing w:after="0"/>
              <w:rPr>
                <w:sz w:val="20"/>
                <w:szCs w:val="20"/>
                <w:color w:val="auto"/>
              </w:rPr>
            </w:pPr>
            <w:r>
              <w:rPr>
                <w:rFonts w:ascii="Arial" w:cs="Arial" w:eastAsia="Arial" w:hAnsi="Arial"/>
                <w:sz w:val="18"/>
                <w:szCs w:val="18"/>
                <w:color w:val="auto"/>
              </w:rPr>
              <w:t>27.5</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West</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26.5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Southwest</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Royalty Rights</w:t>
            </w:r>
          </w:p>
        </w:tc>
        <w:tc>
          <w:tcPr>
            <w:tcW w:w="2540" w:type="dxa"/>
            <w:vAlign w:val="bottom"/>
          </w:tcPr>
          <w:p>
            <w:pPr>
              <w:spacing w:after="0"/>
              <w:rPr>
                <w:sz w:val="19"/>
                <w:szCs w:val="19"/>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180.9%</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180.9%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r>
      <w:tr>
        <w:trPr>
          <w:trHeight w:val="20"/>
        </w:trPr>
        <w:tc>
          <w:tcPr>
            <w:tcW w:w="2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December 31, 2020 and 2019, the Company had no portfolio company investments that represented more than 10% of the total investment portfolio on a fair value or cost basis. As of December 31, 2020 and 2019, the Company had no portfolio company investments that represented more than 5% of our total assets.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the Company had debt investments in one portfolio company on non-accrual status: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 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8"/>
              </w:rPr>
              <w:t>December 31,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0"/>
                <w:szCs w:val="10"/>
                <w:color w:val="auto"/>
              </w:rPr>
            </w:pPr>
          </w:p>
        </w:tc>
        <w:tc>
          <w:tcPr>
            <w:tcW w:w="760" w:type="dxa"/>
            <w:vAlign w:val="bottom"/>
            <w:gridSpan w:val="2"/>
          </w:tcPr>
          <w:p>
            <w:pPr>
              <w:jc w:val="right"/>
              <w:ind w:right="419"/>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64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8"/>
        </w:trPr>
        <w:tc>
          <w:tcPr>
            <w:tcW w:w="6900" w:type="dxa"/>
            <w:vAlign w:val="bottom"/>
            <w:gridSpan w:val="3"/>
            <w:vMerge w:val="continue"/>
          </w:tcPr>
          <w:p>
            <w:pPr>
              <w:spacing w:after="0"/>
              <w:rPr>
                <w:sz w:val="13"/>
                <w:szCs w:val="13"/>
                <w:color w:val="auto"/>
              </w:rPr>
            </w:pPr>
          </w:p>
        </w:tc>
        <w:tc>
          <w:tcPr>
            <w:tcW w:w="840" w:type="dxa"/>
            <w:vAlign w:val="bottom"/>
            <w:gridSpan w:val="3"/>
          </w:tcPr>
          <w:p>
            <w:pPr>
              <w:jc w:val="right"/>
              <w:ind w:right="379"/>
              <w:spacing w:after="0" w:line="158"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Frontline Food Services, LLC (f/k/a Accent Food Services, LLC)</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99"/>
              <w:spacing w:after="0" w:line="135" w:lineRule="exact"/>
              <w:rPr>
                <w:sz w:val="20"/>
                <w:szCs w:val="20"/>
                <w:color w:val="auto"/>
              </w:rPr>
            </w:pPr>
            <w:r>
              <w:rPr>
                <w:rFonts w:ascii="Arial" w:cs="Arial" w:eastAsia="Arial" w:hAnsi="Arial"/>
                <w:sz w:val="12"/>
                <w:szCs w:val="12"/>
                <w:color w:val="auto"/>
                <w:w w:val="81"/>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w w:val="95"/>
              </w:rPr>
              <w:t>(1)</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$33,067</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0"/>
              </w:rPr>
              <w:t>$35,327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gridSpan w:val="2"/>
          </w:tcPr>
          <w:p>
            <w:pPr>
              <w:spacing w:after="0" w:line="149" w:lineRule="exact"/>
              <w:rPr>
                <w:sz w:val="20"/>
                <w:szCs w:val="20"/>
                <w:color w:val="auto"/>
              </w:rPr>
            </w:pPr>
            <w:r>
              <w:rPr>
                <w:rFonts w:ascii="Arial" w:cs="Arial" w:eastAsia="Arial" w:hAnsi="Arial"/>
                <w:sz w:val="14"/>
                <w:szCs w:val="14"/>
                <w:color w:val="auto"/>
              </w:rPr>
              <w:t>EBL, LLC (EbLens)</w:t>
            </w:r>
          </w:p>
        </w:tc>
        <w:tc>
          <w:tcPr>
            <w:tcW w:w="80" w:type="dxa"/>
            <w:vAlign w:val="bottom"/>
          </w:tcPr>
          <w:p>
            <w:pPr>
              <w:spacing w:after="0"/>
              <w:rPr>
                <w:sz w:val="12"/>
                <w:szCs w:val="12"/>
                <w:color w:val="auto"/>
              </w:rPr>
            </w:pPr>
          </w:p>
        </w:tc>
        <w:tc>
          <w:tcPr>
            <w:tcW w:w="7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w w:val="96"/>
              </w:rPr>
              <w:t>5,454</w:t>
            </w:r>
            <w:r>
              <w:rPr>
                <w:rFonts w:ascii="Arial" w:cs="Arial" w:eastAsia="Arial" w:hAnsi="Arial"/>
                <w:sz w:val="12"/>
                <w:szCs w:val="12"/>
                <w:color w:val="auto"/>
                <w:w w:val="96"/>
              </w:rPr>
              <w:t>(2)</w:t>
            </w:r>
          </w:p>
        </w:tc>
        <w:tc>
          <w:tcPr>
            <w:tcW w:w="80" w:type="dxa"/>
            <w:vAlign w:val="bottom"/>
          </w:tcPr>
          <w:p>
            <w:pPr>
              <w:spacing w:after="0"/>
              <w:rPr>
                <w:sz w:val="12"/>
                <w:szCs w:val="12"/>
                <w:color w:val="auto"/>
              </w:rPr>
            </w:pPr>
          </w:p>
        </w:tc>
        <w:tc>
          <w:tcPr>
            <w:tcW w:w="6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9,214</w:t>
            </w: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w w:val="96"/>
              </w:rPr>
              <w:t>5,454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9,214</w:t>
            </w:r>
          </w:p>
        </w:tc>
        <w:tc>
          <w:tcPr>
            <w:tcW w:w="8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33,067</w:t>
            </w: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w:t>
      </w:r>
    </w:p>
    <w:p>
      <w:pPr>
        <w:ind w:left="540" w:hanging="424"/>
        <w:spacing w:after="0" w:line="221"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Portfolio company was on PIK-only on non-accrual status at period end, meaning the Company has ceased recognizing PIK interest income on the investment.</w:t>
      </w:r>
    </w:p>
    <w:p>
      <w:pPr>
        <w:ind w:left="540" w:hanging="424"/>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Portfolio company debt investments were not on non-accrual status at period end.</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table below represents the fair value of control and affiliate investments as of December 31, 2019 and any additions and reductions made to such investments during the year ended December 31, 2020, including the total investment income earned on such investments during the period.</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1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2"/>
              </w:rPr>
              <w:t>2020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Principal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Net Change in</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Amount -</w:t>
            </w:r>
          </w:p>
        </w:tc>
        <w:tc>
          <w:tcPr>
            <w:tcW w:w="6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Payment-in-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Debt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5"/>
              </w:rPr>
              <w:t>Gross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5"/>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Gains</w:t>
            </w:r>
          </w:p>
        </w:tc>
        <w:tc>
          <w:tcPr>
            <w:tcW w:w="80" w:type="dxa"/>
            <w:vAlign w:val="bottom"/>
          </w:tcPr>
          <w:p>
            <w:pPr>
              <w:spacing w:after="0"/>
              <w:rPr>
                <w:sz w:val="11"/>
                <w:szCs w:val="11"/>
                <w:color w:val="auto"/>
              </w:rPr>
            </w:pP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5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3"/>
              </w:rPr>
              <w:t>kind Interest</w:t>
            </w:r>
          </w:p>
        </w:tc>
        <w:tc>
          <w:tcPr>
            <w:tcW w:w="60" w:type="dxa"/>
            <w:vAlign w:val="bottom"/>
          </w:tcPr>
          <w:p>
            <w:pPr>
              <w:spacing w:after="0"/>
              <w:rPr>
                <w:sz w:val="11"/>
                <w:szCs w:val="11"/>
                <w:color w:val="auto"/>
              </w:rPr>
            </w:pPr>
          </w:p>
        </w:tc>
        <w:tc>
          <w:tcPr>
            <w:tcW w:w="540" w:type="dxa"/>
            <w:vAlign w:val="bottom"/>
            <w:gridSpan w:val="3"/>
          </w:tcPr>
          <w:p>
            <w:pPr>
              <w:jc w:val="right"/>
              <w:ind w:right="60"/>
              <w:spacing w:after="0" w:line="135" w:lineRule="exact"/>
              <w:rPr>
                <w:sz w:val="20"/>
                <w:szCs w:val="20"/>
                <w:color w:val="auto"/>
              </w:rPr>
            </w:pPr>
            <w:r>
              <w:rPr>
                <w:rFonts w:ascii="Arial" w:cs="Arial" w:eastAsia="Arial" w:hAnsi="Arial"/>
                <w:sz w:val="13"/>
                <w:szCs w:val="13"/>
                <w:b w:val="1"/>
                <w:bCs w:val="1"/>
                <w:color w:val="auto"/>
                <w:w w:val="83"/>
              </w:rPr>
              <w:t>Dividend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60"/>
        </w:trPr>
        <w:tc>
          <w:tcPr>
            <w:tcW w:w="2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60"/>
              <w:spacing w:after="0" w:line="140" w:lineRule="exact"/>
              <w:rPr>
                <w:sz w:val="20"/>
                <w:szCs w:val="20"/>
                <w:color w:val="auto"/>
              </w:rPr>
            </w:pPr>
            <w:r>
              <w:rPr>
                <w:rFonts w:ascii="Arial" w:cs="Arial" w:eastAsia="Arial" w:hAnsi="Arial"/>
                <w:sz w:val="13"/>
                <w:szCs w:val="13"/>
                <w:b w:val="1"/>
                <w:bCs w:val="1"/>
                <w:color w:val="auto"/>
                <w:w w:val="84"/>
              </w:rPr>
              <w:t>Investments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3"/>
                <w:szCs w:val="13"/>
                <w:color w:val="auto"/>
              </w:rPr>
            </w:pPr>
          </w:p>
        </w:tc>
        <w:tc>
          <w:tcPr>
            <w:tcW w:w="7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94"/>
              </w:rPr>
              <w:t>Additions</w:t>
            </w:r>
            <w:r>
              <w:rPr>
                <w:rFonts w:ascii="Arial" w:cs="Arial" w:eastAsia="Arial" w:hAnsi="Arial"/>
                <w:sz w:val="10"/>
                <w:szCs w:val="10"/>
                <w:b w:val="1"/>
                <w:bCs w:val="1"/>
                <w:color w:val="auto"/>
                <w:w w:val="94"/>
              </w:rPr>
              <w:t>(2)</w:t>
            </w:r>
          </w:p>
        </w:tc>
        <w:tc>
          <w:tcPr>
            <w:tcW w:w="40" w:type="dxa"/>
            <w:vAlign w:val="bottom"/>
          </w:tcPr>
          <w:p>
            <w:pPr>
              <w:spacing w:after="0"/>
              <w:rPr>
                <w:sz w:val="13"/>
                <w:szCs w:val="13"/>
                <w:color w:val="auto"/>
              </w:rPr>
            </w:pPr>
          </w:p>
        </w:tc>
        <w:tc>
          <w:tcPr>
            <w:tcW w:w="8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10"/>
                <w:szCs w:val="10"/>
                <w:b w:val="1"/>
                <w:bCs w:val="1"/>
                <w:color w:val="auto"/>
                <w:w w:val="96"/>
              </w:rPr>
              <w:t>(3)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line="140" w:lineRule="exact"/>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3"/>
                <w:szCs w:val="13"/>
                <w:color w:val="auto"/>
              </w:rPr>
            </w:pPr>
          </w:p>
        </w:tc>
        <w:tc>
          <w:tcPr>
            <w:tcW w:w="58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85"/>
              </w:rPr>
              <w:t>(Losses)</w:t>
            </w:r>
            <w:r>
              <w:rPr>
                <w:rFonts w:ascii="Arial" w:cs="Arial" w:eastAsia="Arial" w:hAnsi="Arial"/>
                <w:sz w:val="10"/>
                <w:szCs w:val="10"/>
                <w:b w:val="1"/>
                <w:bCs w:val="1"/>
                <w:color w:val="auto"/>
                <w:w w:val="85"/>
              </w:rPr>
              <w:t>(4)</w:t>
            </w:r>
          </w:p>
        </w:tc>
        <w:tc>
          <w:tcPr>
            <w:tcW w:w="80" w:type="dxa"/>
            <w:vAlign w:val="bottom"/>
          </w:tcPr>
          <w:p>
            <w:pPr>
              <w:spacing w:after="0"/>
              <w:rPr>
                <w:sz w:val="13"/>
                <w:szCs w:val="13"/>
                <w:color w:val="auto"/>
              </w:rPr>
            </w:pPr>
          </w:p>
        </w:tc>
        <w:tc>
          <w:tcPr>
            <w:tcW w:w="9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(Depreciation)</w:t>
            </w:r>
          </w:p>
        </w:tc>
        <w:tc>
          <w:tcPr>
            <w:tcW w:w="5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64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54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4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08"/>
        </w:trPr>
        <w:tc>
          <w:tcPr>
            <w:tcW w:w="11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b w:val="1"/>
                <w:bCs w:val="1"/>
                <w:color w:val="auto"/>
                <w:w w:val="99"/>
              </w:rPr>
              <w:t>Control Investments</w:t>
            </w:r>
          </w:p>
        </w:tc>
        <w:tc>
          <w:tcPr>
            <w:tcW w:w="17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FDS Avionics Corp. (dba Flight Display Systems)</w:t>
            </w:r>
          </w:p>
        </w:tc>
        <w:tc>
          <w:tcPr>
            <w:tcW w:w="80" w:type="dxa"/>
            <w:vAlign w:val="bottom"/>
            <w:gridSpan w:val="2"/>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5,122</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5,403</w:t>
            </w: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1,988</w:t>
            </w:r>
          </w:p>
        </w:tc>
        <w:tc>
          <w:tcPr>
            <w:tcW w:w="1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7,391</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1,545</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298</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442</w:t>
            </w:r>
          </w:p>
        </w:tc>
        <w:tc>
          <w:tcPr>
            <w:tcW w:w="24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GreenFiber,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22,943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16,417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5,830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(1,385)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20,862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1,591</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Contrrol Investments</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(1,385)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1,889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80" w:type="dxa"/>
            <w:vAlign w:val="bottom"/>
            <w:gridSpan w:val="2"/>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w:t>
            </w: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10,449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9,681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(20,089)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(9,762)</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354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1,721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(7,741)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10,960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1,714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(2,304)</w:t>
            </w: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1,145</w:t>
            </w:r>
          </w:p>
        </w:tc>
        <w:tc>
          <w:tcPr>
            <w:tcW w:w="10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r>
              <w:rPr>
                <w:rFonts w:ascii="Arial" w:cs="Arial" w:eastAsia="Arial" w:hAnsi="Arial"/>
                <w:sz w:val="10"/>
                <w:szCs w:val="10"/>
                <w:color w:val="auto"/>
              </w:rPr>
              <w:t>(5)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11,611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(11,632)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(751)</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7,218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(959)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6,494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2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(959)</w:t>
            </w:r>
          </w:p>
        </w:tc>
        <w:tc>
          <w:tcPr>
            <w:tcW w:w="100" w:type="dxa"/>
            <w:vAlign w:val="bottom"/>
          </w:tcPr>
          <w:p>
            <w:pPr>
              <w:spacing w:after="0"/>
              <w:rPr>
                <w:sz w:val="11"/>
                <w:szCs w:val="11"/>
                <w:color w:val="auto"/>
              </w:rPr>
            </w:pPr>
          </w:p>
        </w:tc>
        <w:tc>
          <w:tcPr>
            <w:tcW w:w="4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718</w:t>
            </w:r>
          </w:p>
        </w:tc>
        <w:tc>
          <w:tcPr>
            <w:tcW w:w="10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159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32,822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20,128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(19,445)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33,505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7,309</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32,978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(12,690)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20,589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280"/>
              <w:spacing w:after="0" w:line="135" w:lineRule="exact"/>
              <w:rPr>
                <w:sz w:val="20"/>
                <w:szCs w:val="20"/>
                <w:color w:val="auto"/>
              </w:rPr>
            </w:pPr>
            <w:r>
              <w:rPr>
                <w:rFonts w:ascii="Arial" w:cs="Arial" w:eastAsia="Arial" w:hAnsi="Arial"/>
                <w:sz w:val="13"/>
                <w:szCs w:val="13"/>
                <w:color w:val="auto"/>
                <w:w w:val="82"/>
              </w:rPr>
              <w:t>301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(9,388)</w:t>
            </w:r>
          </w:p>
        </w:tc>
        <w:tc>
          <w:tcPr>
            <w:tcW w:w="1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Steward Holding LLC (dba Steward Advanced</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Materials)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9,777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w w:val="92"/>
              </w:rPr>
              <w:t>117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Affiliate Investments</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22,224</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121,555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32,395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(72,556)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81,394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24,508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(15,669)</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3,511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3"/>
                <w:szCs w:val="13"/>
                <w:color w:val="auto"/>
                <w:w w:val="82"/>
              </w:rPr>
              <w:t>287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837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120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ind w:left="540" w:right="22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540" w:right="14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ind w:left="540" w:right="4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540" w:hanging="424"/>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twelve months ended December 31,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ectPr>
          <w:pgSz w:w="11900" w:h="16838" w:orient="portrait"/>
          <w:cols w:equalWidth="0" w:num="1">
            <w:col w:w="11140"/>
          </w:cols>
          <w:pgMar w:left="320" w:top="459" w:right="439" w:bottom="1440" w:gutter="0" w:footer="0" w:header="0"/>
        </w:sectPr>
      </w:pPr>
    </w:p>
    <w:bookmarkStart w:id="108" w:name="page109"/>
    <w:bookmarkEnd w:id="108"/>
    <w:p>
      <w:pPr>
        <w:ind w:firstLine="440"/>
        <w:spacing w:after="0" w:line="270"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125"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080" w:right="20" w:hanging="424"/>
        <w:spacing w:after="0" w:line="269"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12 and 13 of its portfolio company investments, representing 25.8% and 30.9% of the total portfolio investments at fair value (exclusive of new portfolio company investments made during the three months ended December 31, 2020 and 2019, respectively) as of December 31, 2020 and 2019, respectively.</w:t>
      </w:r>
    </w:p>
    <w:p>
      <w:pPr>
        <w:spacing w:after="0" w:line="9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9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ectPr>
          <w:pgSz w:w="11900" w:h="16838" w:orient="portrait"/>
          <w:cols w:equalWidth="0" w:num="1">
            <w:col w:w="11120"/>
          </w:cols>
          <w:pgMar w:left="320" w:top="459" w:right="459" w:bottom="1440" w:gutter="0" w:footer="0" w:header="0"/>
        </w:sectPr>
      </w:pP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20"/>
          </w:cols>
          <w:pgMar w:left="320" w:top="459" w:right="4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60" w:firstLine="440"/>
        <w:spacing w:after="0" w:line="272"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7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Changes in valuation techniques may occur on a quarterly or annual basis due to changes in market conditions, new information becoming available or development of new markets. The Company assesses changes in valuation techniques on an individual portfolio company basis if it results in a measurement that is equally or more representative of fair value given the circumstances.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2020 and 2019.</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years ended December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Second Lien</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First Lien</w:t>
            </w:r>
          </w:p>
        </w:tc>
        <w:tc>
          <w:tcPr>
            <w:tcW w:w="6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Warrants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Royalty</w:t>
            </w:r>
          </w:p>
        </w:tc>
        <w:tc>
          <w:tcPr>
            <w:tcW w:w="60" w:type="dxa"/>
            <w:vAlign w:val="bottom"/>
          </w:tcPr>
          <w:p>
            <w:pPr>
              <w:spacing w:after="0"/>
              <w:rPr>
                <w:sz w:val="14"/>
                <w:szCs w:val="1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Rights</w:t>
            </w: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$ 366,517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$106,707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$ 642,982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(13,804)</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9,923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w w:val="99"/>
              </w:rPr>
              <w:t>(185)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change in unrealized appreciation (depreciation) on investments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(4,480)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54,245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70,036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83,990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10,902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219,173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(13,838)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(4,088)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(120,600)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7,944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$ 383,077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140,843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108,327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$126,564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$ 766,919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(35,227)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32,392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change in unrealized appreciation (depreciation) on investments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(2,863)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54,900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109,901</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10,695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189,996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(32,260)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(51,223)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(4,500)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(210,774)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$ 332,154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107,911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187,353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112,836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$ 742,869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Net change in unrealized appreciation/(depreciation) of ($6,559) and $10,995 for the years ended December 31, 2020 and 2019, respectively, was attributable to Level 3 investments held at December 31, 2020 and 2019, respectively.</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December 31, 2020 and 2019. The tables are not intended to be all-inclusive, but instead capture the significant unobservable inputs relevant to the Company’s determination of fair values.</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40"/>
          </w:cols>
          <w:pgMar w:left="320" w:top="459" w:right="4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Fair Value at</w:t>
            </w:r>
          </w:p>
        </w:tc>
        <w:tc>
          <w:tcPr>
            <w:tcW w:w="16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Valuation</w:t>
            </w:r>
          </w:p>
        </w:tc>
        <w:tc>
          <w:tcPr>
            <w:tcW w:w="4020" w:type="dxa"/>
            <w:vAlign w:val="bottom"/>
            <w:gridSpan w:val="2"/>
          </w:tcPr>
          <w:p>
            <w:pPr>
              <w:ind w:left="1480"/>
              <w:spacing w:after="0"/>
              <w:rPr>
                <w:sz w:val="20"/>
                <w:szCs w:val="20"/>
                <w:color w:val="auto"/>
              </w:rPr>
            </w:pPr>
            <w:r>
              <w:rPr>
                <w:rFonts w:ascii="Arial" w:cs="Arial" w:eastAsia="Arial" w:hAnsi="Arial"/>
                <w:sz w:val="14"/>
                <w:szCs w:val="14"/>
                <w:b w:val="1"/>
                <w:bCs w:val="1"/>
                <w:color w:val="auto"/>
              </w:rPr>
              <w:t>Unobservable</w:t>
            </w:r>
          </w:p>
        </w:tc>
        <w:tc>
          <w:tcPr>
            <w:tcW w:w="1500" w:type="dxa"/>
            <w:vAlign w:val="bottom"/>
          </w:tcPr>
          <w:p>
            <w:pPr>
              <w:jc w:val="right"/>
              <w:ind w:right="253"/>
              <w:spacing w:after="0"/>
              <w:rPr>
                <w:sz w:val="20"/>
                <w:szCs w:val="20"/>
                <w:color w:val="auto"/>
              </w:rPr>
            </w:pPr>
            <w:r>
              <w:rPr>
                <w:rFonts w:ascii="Arial" w:cs="Arial" w:eastAsia="Arial" w:hAnsi="Arial"/>
                <w:sz w:val="14"/>
                <w:szCs w:val="14"/>
                <w:b w:val="1"/>
                <w:bCs w:val="1"/>
                <w:color w:val="auto"/>
              </w:rPr>
              <w:t>Range</w:t>
            </w:r>
          </w:p>
        </w:tc>
        <w:tc>
          <w:tcPr>
            <w:tcW w:w="460" w:type="dxa"/>
            <w:vAlign w:val="bottom"/>
          </w:tcPr>
          <w:p>
            <w:pPr>
              <w:spacing w:after="0"/>
              <w:rPr>
                <w:sz w:val="14"/>
                <w:szCs w:val="14"/>
                <w:color w:val="auto"/>
              </w:rPr>
            </w:pPr>
          </w:p>
        </w:tc>
      </w:tr>
      <w:tr>
        <w:trPr>
          <w:trHeight w:val="175"/>
        </w:trPr>
        <w:tc>
          <w:tcPr>
            <w:tcW w:w="18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Techniques</w:t>
            </w:r>
          </w:p>
        </w:tc>
        <w:tc>
          <w:tcPr>
            <w:tcW w:w="402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Inputs</w:t>
            </w:r>
          </w:p>
        </w:tc>
        <w:tc>
          <w:tcPr>
            <w:tcW w:w="19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2"/>
                <w:szCs w:val="12"/>
                <w:b w:val="1"/>
                <w:bCs w:val="1"/>
                <w:color w:val="auto"/>
              </w:rPr>
              <w:t>(1)</w:t>
            </w:r>
          </w:p>
        </w:tc>
      </w:tr>
      <w:tr>
        <w:trPr>
          <w:trHeight w:val="196"/>
        </w:trPr>
        <w:tc>
          <w:tcPr>
            <w:tcW w:w="1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w w:val="99"/>
              </w:rPr>
              <w:t>Second Lien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306,405</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9.3% - 27.0% (14.0%)</w:t>
            </w:r>
          </w:p>
        </w:tc>
      </w:tr>
      <w:tr>
        <w:trPr>
          <w:trHeight w:val="216"/>
        </w:trPr>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5,454</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3.9x - 3.9x (3.9x)</w:t>
            </w:r>
          </w:p>
        </w:tc>
      </w:tr>
      <w:tr>
        <w:trPr>
          <w:trHeight w:val="216"/>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5,123</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tcPr>
          <w:p>
            <w:pPr>
              <w:spacing w:after="0"/>
              <w:rPr>
                <w:sz w:val="20"/>
                <w:szCs w:val="20"/>
                <w:color w:val="auto"/>
              </w:rPr>
            </w:pPr>
            <w:r>
              <w:rPr>
                <w:rFonts w:ascii="Arial" w:cs="Arial" w:eastAsia="Arial" w:hAnsi="Arial"/>
                <w:sz w:val="18"/>
                <w:szCs w:val="18"/>
                <w:color w:val="auto"/>
              </w:rPr>
              <w:t>Revenue multiples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2.1x - 2.1x (2.1x)</w:t>
            </w:r>
          </w:p>
        </w:tc>
      </w:tr>
      <w:tr>
        <w:trPr>
          <w:trHeight w:val="216"/>
        </w:trPr>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15,172</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Coverage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1.2x - 1.2x (1.2x)</w:t>
            </w: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w w:val="94"/>
              </w:rPr>
              <w:t>Subordinated Debt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107,911</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11.5% - 12.0% (11.7%)</w:t>
            </w:r>
          </w:p>
        </w:tc>
      </w:tr>
      <w:tr>
        <w:trPr>
          <w:trHeight w:val="216"/>
        </w:trPr>
        <w:tc>
          <w:tcPr>
            <w:tcW w:w="1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Lien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183,238</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- 16.3% (10.3%)</w:t>
            </w:r>
          </w:p>
        </w:tc>
      </w:tr>
      <w:tr>
        <w:trPr>
          <w:trHeight w:val="230"/>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4,115</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tcPr>
          <w:p>
            <w:pPr>
              <w:spacing w:after="0"/>
              <w:rPr>
                <w:sz w:val="20"/>
                <w:szCs w:val="20"/>
                <w:color w:val="auto"/>
              </w:rPr>
            </w:pPr>
            <w:r>
              <w:rPr>
                <w:rFonts w:ascii="Arial" w:cs="Arial" w:eastAsia="Arial" w:hAnsi="Arial"/>
                <w:sz w:val="18"/>
                <w:szCs w:val="18"/>
                <w:color w:val="auto"/>
              </w:rPr>
              <w:t>Asset Coverage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1.8x - 1.8x (1.8x)</w:t>
            </w:r>
          </w:p>
        </w:tc>
      </w:tr>
      <w:tr>
        <w:trPr>
          <w:trHeight w:val="94"/>
        </w:trPr>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110,568</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tcPr>
          <w:p>
            <w:pPr>
              <w:spacing w:after="0"/>
              <w:rPr>
                <w:sz w:val="20"/>
                <w:szCs w:val="20"/>
                <w:color w:val="auto"/>
              </w:rPr>
            </w:pPr>
            <w:r>
              <w:rPr>
                <w:rFonts w:ascii="Arial" w:cs="Arial" w:eastAsia="Arial" w:hAnsi="Arial"/>
                <w:sz w:val="18"/>
                <w:szCs w:val="18"/>
                <w:color w:val="auto"/>
              </w:rPr>
              <w:t>EBITDA multiples</w:t>
            </w:r>
          </w:p>
        </w:tc>
        <w:tc>
          <w:tcPr>
            <w:tcW w:w="1500" w:type="dxa"/>
            <w:vAlign w:val="bottom"/>
          </w:tcPr>
          <w:p>
            <w:pPr>
              <w:jc w:val="right"/>
              <w:spacing w:after="0"/>
              <w:rPr>
                <w:sz w:val="20"/>
                <w:szCs w:val="20"/>
                <w:color w:val="auto"/>
              </w:rPr>
            </w:pPr>
            <w:r>
              <w:rPr>
                <w:rFonts w:ascii="Arial" w:cs="Arial" w:eastAsia="Arial" w:hAnsi="Arial"/>
                <w:sz w:val="18"/>
                <w:szCs w:val="18"/>
                <w:color w:val="auto"/>
              </w:rPr>
              <w:t>3.9x - 15.3x</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(8.1x)</w:t>
            </w:r>
          </w:p>
        </w:tc>
      </w:tr>
      <w:tr>
        <w:trPr>
          <w:trHeight w:val="216"/>
        </w:trPr>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2.1x - 2.1x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(2.1x)</w:t>
            </w:r>
          </w:p>
        </w:tc>
      </w:tr>
      <w:tr>
        <w:trPr>
          <w:trHeight w:val="230"/>
        </w:trPr>
        <w:tc>
          <w:tcPr>
            <w:tcW w:w="18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2,615</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020" w:type="dxa"/>
            <w:vAlign w:val="bottom"/>
            <w:gridSpan w:val="2"/>
          </w:tcPr>
          <w:p>
            <w:pPr>
              <w:spacing w:after="0"/>
              <w:rPr>
                <w:sz w:val="20"/>
                <w:szCs w:val="20"/>
                <w:color w:val="auto"/>
              </w:rPr>
            </w:pPr>
            <w:r>
              <w:rPr>
                <w:rFonts w:ascii="Arial" w:cs="Arial" w:eastAsia="Arial" w:hAnsi="Arial"/>
                <w:sz w:val="18"/>
                <w:szCs w:val="18"/>
                <w:color w:val="auto"/>
              </w:rPr>
              <w:t>EBITDA multiples</w:t>
            </w:r>
          </w:p>
        </w:tc>
        <w:tc>
          <w:tcPr>
            <w:tcW w:w="1500" w:type="dxa"/>
            <w:vAlign w:val="bottom"/>
          </w:tcPr>
          <w:p>
            <w:pPr>
              <w:jc w:val="right"/>
              <w:spacing w:after="0"/>
              <w:rPr>
                <w:sz w:val="20"/>
                <w:szCs w:val="20"/>
                <w:color w:val="auto"/>
              </w:rPr>
            </w:pPr>
            <w:r>
              <w:rPr>
                <w:rFonts w:ascii="Arial" w:cs="Arial" w:eastAsia="Arial" w:hAnsi="Arial"/>
                <w:sz w:val="18"/>
                <w:szCs w:val="18"/>
                <w:color w:val="auto"/>
              </w:rPr>
              <w:t>4.5x - 6.5x</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(6.2x)</w:t>
            </w:r>
          </w:p>
        </w:tc>
      </w:tr>
    </w:tbl>
    <w:p>
      <w:pPr>
        <w:spacing w:after="0" w:line="214"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Fair Value at</w:t>
            </w:r>
          </w:p>
        </w:tc>
        <w:tc>
          <w:tcPr>
            <w:tcW w:w="16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Valuation</w:t>
            </w:r>
          </w:p>
        </w:tc>
        <w:tc>
          <w:tcPr>
            <w:tcW w:w="4100" w:type="dxa"/>
            <w:vAlign w:val="bottom"/>
            <w:gridSpan w:val="2"/>
          </w:tcPr>
          <w:p>
            <w:pPr>
              <w:ind w:left="1520"/>
              <w:spacing w:after="0"/>
              <w:rPr>
                <w:sz w:val="20"/>
                <w:szCs w:val="20"/>
                <w:color w:val="auto"/>
              </w:rPr>
            </w:pPr>
            <w:r>
              <w:rPr>
                <w:rFonts w:ascii="Arial" w:cs="Arial" w:eastAsia="Arial" w:hAnsi="Arial"/>
                <w:sz w:val="14"/>
                <w:szCs w:val="14"/>
                <w:b w:val="1"/>
                <w:bCs w:val="1"/>
                <w:color w:val="auto"/>
              </w:rPr>
              <w:t>Unobservable</w:t>
            </w:r>
          </w:p>
        </w:tc>
        <w:tc>
          <w:tcPr>
            <w:tcW w:w="1420" w:type="dxa"/>
            <w:vAlign w:val="bottom"/>
          </w:tcPr>
          <w:p>
            <w:pPr>
              <w:jc w:val="right"/>
              <w:ind w:right="193"/>
              <w:spacing w:after="0"/>
              <w:rPr>
                <w:sz w:val="20"/>
                <w:szCs w:val="20"/>
                <w:color w:val="auto"/>
              </w:rPr>
            </w:pPr>
            <w:r>
              <w:rPr>
                <w:rFonts w:ascii="Arial" w:cs="Arial" w:eastAsia="Arial" w:hAnsi="Arial"/>
                <w:sz w:val="14"/>
                <w:szCs w:val="14"/>
                <w:b w:val="1"/>
                <w:bCs w:val="1"/>
                <w:color w:val="auto"/>
              </w:rPr>
              <w:t>Range</w:t>
            </w:r>
          </w:p>
        </w:tc>
        <w:tc>
          <w:tcPr>
            <w:tcW w:w="460" w:type="dxa"/>
            <w:vAlign w:val="bottom"/>
          </w:tcPr>
          <w:p>
            <w:pPr>
              <w:spacing w:after="0"/>
              <w:rPr>
                <w:sz w:val="14"/>
                <w:szCs w:val="14"/>
                <w:color w:val="auto"/>
              </w:rPr>
            </w:pPr>
          </w:p>
        </w:tc>
      </w:tr>
      <w:tr>
        <w:trPr>
          <w:trHeight w:val="175"/>
        </w:trPr>
        <w:tc>
          <w:tcPr>
            <w:tcW w:w="18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Techniques</w:t>
            </w:r>
          </w:p>
        </w:tc>
        <w:tc>
          <w:tcPr>
            <w:tcW w:w="4100" w:type="dxa"/>
            <w:vAlign w:val="bottom"/>
            <w:gridSpan w:val="2"/>
          </w:tcPr>
          <w:p>
            <w:pPr>
              <w:ind w:left="1740"/>
              <w:spacing w:after="0"/>
              <w:rPr>
                <w:sz w:val="20"/>
                <w:szCs w:val="20"/>
                <w:color w:val="auto"/>
              </w:rPr>
            </w:pPr>
            <w:r>
              <w:rPr>
                <w:rFonts w:ascii="Arial" w:cs="Arial" w:eastAsia="Arial" w:hAnsi="Arial"/>
                <w:sz w:val="14"/>
                <w:szCs w:val="14"/>
                <w:b w:val="1"/>
                <w:bCs w:val="1"/>
                <w:color w:val="auto"/>
              </w:rPr>
              <w:t>Inputs</w:t>
            </w:r>
          </w:p>
        </w:tc>
        <w:tc>
          <w:tcPr>
            <w:tcW w:w="18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2"/>
                <w:szCs w:val="12"/>
                <w:b w:val="1"/>
                <w:bCs w:val="1"/>
                <w:color w:val="auto"/>
              </w:rPr>
              <w:t>(1)</w:t>
            </w:r>
          </w:p>
        </w:tc>
      </w:tr>
      <w:tr>
        <w:trPr>
          <w:trHeight w:val="196"/>
        </w:trPr>
        <w:tc>
          <w:tcPr>
            <w:tcW w:w="1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w w:val="99"/>
              </w:rPr>
              <w:t>Second Lien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364,351</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4100" w:type="dxa"/>
            <w:vAlign w:val="bottom"/>
            <w:gridSpan w:val="2"/>
          </w:tcPr>
          <w:p>
            <w:pPr>
              <w:spacing w:after="0"/>
              <w:rPr>
                <w:sz w:val="20"/>
                <w:szCs w:val="20"/>
                <w:color w:val="auto"/>
              </w:rPr>
            </w:pPr>
            <w:r>
              <w:rPr>
                <w:rFonts w:ascii="Arial" w:cs="Arial" w:eastAsia="Arial" w:hAnsi="Arial"/>
                <w:sz w:val="18"/>
                <w:szCs w:val="18"/>
                <w:color w:val="auto"/>
              </w:rPr>
              <w:t>Weighted average cost of capital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w w:val="99"/>
              </w:rPr>
              <w:t>10.3% - 18.2% (13.2%)</w:t>
            </w:r>
          </w:p>
        </w:tc>
      </w:tr>
      <w:tr>
        <w:trPr>
          <w:trHeight w:val="216"/>
        </w:trPr>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16,417</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5.3x - 5.3x (5.3x)</w:t>
            </w:r>
          </w:p>
        </w:tc>
      </w:tr>
      <w:tr>
        <w:trPr>
          <w:trHeight w:val="216"/>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2,309</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tcPr>
          <w:p>
            <w:pPr>
              <w:spacing w:after="0"/>
              <w:rPr>
                <w:sz w:val="20"/>
                <w:szCs w:val="20"/>
                <w:color w:val="auto"/>
              </w:rPr>
            </w:pPr>
            <w:r>
              <w:rPr>
                <w:rFonts w:ascii="Arial" w:cs="Arial" w:eastAsia="Arial" w:hAnsi="Arial"/>
                <w:sz w:val="18"/>
                <w:szCs w:val="18"/>
                <w:color w:val="auto"/>
              </w:rPr>
              <w:t>Asset Coverage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1.2x - 1.2x (1.2x)</w:t>
            </w:r>
          </w:p>
        </w:tc>
      </w:tr>
      <w:tr>
        <w:trPr>
          <w:trHeight w:val="216"/>
        </w:trPr>
        <w:tc>
          <w:tcPr>
            <w:tcW w:w="1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Subordinated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140,843</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Discounted cash flow</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cost of capital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10.9% - 21.6% (12.0%)</w:t>
            </w:r>
          </w:p>
        </w:tc>
      </w:tr>
      <w:tr>
        <w:trPr>
          <w:trHeight w:val="216"/>
        </w:trPr>
        <w:tc>
          <w:tcPr>
            <w:tcW w:w="1800" w:type="dxa"/>
            <w:vAlign w:val="bottom"/>
          </w:tcPr>
          <w:p>
            <w:pPr>
              <w:ind w:left="360"/>
              <w:spacing w:after="0"/>
              <w:rPr>
                <w:sz w:val="20"/>
                <w:szCs w:val="20"/>
                <w:color w:val="auto"/>
              </w:rPr>
            </w:pPr>
            <w:r>
              <w:rPr>
                <w:rFonts w:ascii="Arial" w:cs="Arial" w:eastAsia="Arial" w:hAnsi="Arial"/>
                <w:sz w:val="18"/>
                <w:szCs w:val="18"/>
                <w:color w:val="auto"/>
              </w:rPr>
              <w:t>First Lien Debt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101,162</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4100" w:type="dxa"/>
            <w:vAlign w:val="bottom"/>
            <w:gridSpan w:val="2"/>
          </w:tcPr>
          <w:p>
            <w:pPr>
              <w:spacing w:after="0"/>
              <w:rPr>
                <w:sz w:val="20"/>
                <w:szCs w:val="20"/>
                <w:color w:val="auto"/>
              </w:rPr>
            </w:pPr>
            <w:r>
              <w:rPr>
                <w:rFonts w:ascii="Arial" w:cs="Arial" w:eastAsia="Arial" w:hAnsi="Arial"/>
                <w:sz w:val="18"/>
                <w:szCs w:val="18"/>
                <w:color w:val="auto"/>
              </w:rPr>
              <w:t>Weighted average cost of capital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8.4% - 14.8% (11.8%)</w:t>
            </w:r>
          </w:p>
        </w:tc>
      </w:tr>
      <w:tr>
        <w:trPr>
          <w:trHeight w:val="216"/>
        </w:trPr>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multiples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4.4x - 4.4x (4.4x)</w:t>
            </w:r>
          </w:p>
        </w:tc>
      </w:tr>
      <w:tr>
        <w:trPr>
          <w:trHeight w:val="324"/>
        </w:trPr>
        <w:tc>
          <w:tcPr>
            <w:tcW w:w="180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1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125,370</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3.5x - 20.7x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(8.5x)</w:t>
            </w:r>
          </w:p>
        </w:tc>
      </w:tr>
      <w:tr>
        <w:trPr>
          <w:trHeight w:val="216"/>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1,194</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tcPr>
          <w:p>
            <w:pPr>
              <w:spacing w:after="0"/>
              <w:rPr>
                <w:sz w:val="20"/>
                <w:szCs w:val="20"/>
                <w:color w:val="auto"/>
              </w:rPr>
            </w:pPr>
            <w:r>
              <w:rPr>
                <w:rFonts w:ascii="Arial" w:cs="Arial" w:eastAsia="Arial" w:hAnsi="Arial"/>
                <w:sz w:val="18"/>
                <w:szCs w:val="18"/>
                <w:color w:val="auto"/>
              </w:rPr>
              <w:t>Revenue multiples</w:t>
            </w:r>
          </w:p>
        </w:tc>
        <w:tc>
          <w:tcPr>
            <w:tcW w:w="1420" w:type="dxa"/>
            <w:vAlign w:val="bottom"/>
          </w:tcPr>
          <w:p>
            <w:pPr>
              <w:jc w:val="right"/>
              <w:spacing w:after="0"/>
              <w:rPr>
                <w:sz w:val="20"/>
                <w:szCs w:val="20"/>
                <w:color w:val="auto"/>
              </w:rPr>
            </w:pPr>
            <w:r>
              <w:rPr>
                <w:rFonts w:ascii="Arial" w:cs="Arial" w:eastAsia="Arial" w:hAnsi="Arial"/>
                <w:sz w:val="18"/>
                <w:szCs w:val="18"/>
                <w:color w:val="auto"/>
              </w:rPr>
              <w:t>1.2x - 4.4x</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(2.0x)</w:t>
            </w:r>
          </w:p>
        </w:tc>
      </w:tr>
      <w:tr>
        <w:trPr>
          <w:trHeight w:val="216"/>
        </w:trPr>
        <w:tc>
          <w:tcPr>
            <w:tcW w:w="1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8,108</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Enterprise value</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4.0x - 7.0x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(6.6x)</w:t>
            </w:r>
          </w:p>
        </w:tc>
      </w:tr>
    </w:tbl>
    <w:p>
      <w:pPr>
        <w:spacing w:after="0" w:line="229"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5"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the carrying value and fair value of the Company’s debt obligations as of December 31, 2020 and 2019:</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25,000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69,000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69,745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64,389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2026 Notes </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125,000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456,754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364,750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jc w:val="both"/>
        <w:ind w:left="540" w:right="460" w:hanging="424"/>
        <w:spacing w:after="0" w:line="250"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fair value of SBA debentures and 2026 Notes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2026 Notes fair value is equal to the offering price entered into on December 16, 2020.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inputs used to value the Company’s debt obligations if measured at fair value as of December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Valuation Inputs</w:t>
            </w:r>
          </w:p>
        </w:tc>
        <w:tc>
          <w:tcPr>
            <w:tcW w:w="5140" w:type="dxa"/>
            <w:vAlign w:val="bottom"/>
          </w:tcPr>
          <w:p>
            <w:pPr>
              <w:spacing w:after="0"/>
              <w:rPr>
                <w:sz w:val="10"/>
                <w:szCs w:val="10"/>
                <w:color w:val="auto"/>
              </w:rPr>
            </w:pPr>
          </w:p>
        </w:tc>
        <w:tc>
          <w:tcPr>
            <w:tcW w:w="130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184,754</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189,470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272,000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182,500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456,754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371,970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4,</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Board approved the renewal of the Investment Advisory Agreement through June 20, 2021.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for the years ended December 31, 2020, 2019 and 2018 totaled $12,932, $12,399 and $11,365, respectively. As of December 31, 2020 and 2019, the base management fee payable was $3,244 and $3,334, respectively.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ectPr>
          <w:pgSz w:w="11900" w:h="16838" w:orient="portrait"/>
          <w:cols w:equalWidth="0" w:num="1">
            <w:col w:w="11100"/>
          </w:cols>
          <w:pgMar w:left="320" w:top="459" w:right="47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00"/>
          </w:cols>
          <w:pgMar w:left="320" w:top="459" w:right="47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3"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214"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 of the calculations above equals the income incentive fee. The income incentive fee is appropriately prorated for any period of less than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three months and adjusted for any share issuances or repurchases during the calendar quarter. The income incentive fee for the years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2019 and 2018 totaled $8,952, $7,445, and $9,413, respectively. The Investment Advisor, in consultation with the Board, agreed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voluntarily waive $423 of the income incentive fee for the year ended December 31, 2020. There was no income incentive fee waiver for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or 2018. As of December 31, 2020 and 2019, the income incentive fee payable was $2,610 and $1,497, respectively.</w:t>
      </w:r>
    </w:p>
    <w:p>
      <w:pPr>
        <w:spacing w:after="0" w:line="211"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6"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December 31, 2020 and 2019,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December 31, 2020 was $348.</w:t>
      </w:r>
    </w:p>
    <w:p>
      <w:pPr>
        <w:spacing w:after="0" w:line="19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1" w:lineRule="exact"/>
        <w:rPr>
          <w:sz w:val="20"/>
          <w:szCs w:val="20"/>
          <w:color w:val="auto"/>
        </w:rPr>
      </w:pPr>
    </w:p>
    <w:p>
      <w:pPr>
        <w:ind w:left="120" w:right="360" w:hanging="4"/>
        <w:spacing w:after="0" w:line="253"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years ended December 31, 2020, 2019 and 2018 was ($1,684), $3,299 and $2,938, respectively. As of December 31, 2020 and 2019, the accrued capital gains incentive fee payable was $11,031 and $12,715, respectively.</w:t>
      </w:r>
    </w:p>
    <w:p>
      <w:pPr>
        <w:spacing w:after="0" w:line="19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and, in either case, if also approved by a majority of the directors who are not “interested persons” of the Company, as such term is defined under Section 2(a)(19) of the 1940 Act (the “Independent Directors”).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8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On June 4, 2020, the Board approved the renewal of the Administration Agreement through June 20, 2021.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Administration Agreement, administrative service expenses for the years ended December 31, 2020, 2019 and 2018 were $1,720, $1,583 and $1,462, respectively. As of December 31, 2020 and 2019, the accrued administrative service expense was $593 and $528, respectively.</w:t>
      </w:r>
    </w:p>
    <w:p>
      <w:pPr>
        <w:spacing w:after="0" w:line="17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On June 16, 2014, FIC entered into a senior secured revolving credit agreement (the “Credit Facility”) with 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8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60" w:hanging="4"/>
        <w:spacing w:after="0" w:line="292" w:lineRule="auto"/>
        <w:tabs>
          <w:tab w:leader="none" w:pos="4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2020 and 2019, the Company was in compliance in all material respect with the terms of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December 31, 2020 and 2019, approved and unused SBA debenture commitments were $11,500 and $17,500,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the Company’s issued and outstanding SBA debentures mature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Pooling Date </w:t>
            </w:r>
            <w:r>
              <w:rPr>
                <w:rFonts w:ascii="Arial" w:cs="Arial" w:eastAsia="Arial" w:hAnsi="Arial"/>
                <w:sz w:val="12"/>
                <w:szCs w:val="12"/>
                <w:b w:val="1"/>
                <w:bCs w:val="1"/>
                <w:color w:val="auto"/>
                <w:w w:val="92"/>
              </w:rPr>
              <w:t>(1)</w:t>
            </w:r>
          </w:p>
        </w:tc>
        <w:tc>
          <w:tcPr>
            <w:tcW w:w="4380" w:type="dxa"/>
            <w:vAlign w:val="bottom"/>
            <w:vMerge w:val="restart"/>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Fixed</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vMerge w:val="continue"/>
          </w:tcPr>
          <w:p>
            <w:pPr>
              <w:spacing w:after="0"/>
              <w:rPr>
                <w:sz w:val="15"/>
                <w:szCs w:val="15"/>
                <w:color w:val="auto"/>
              </w:rPr>
            </w:pPr>
          </w:p>
        </w:tc>
        <w:tc>
          <w:tcPr>
            <w:tcW w:w="43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ind w:left="200"/>
              <w:spacing w:after="0" w:line="158"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w w:val="91"/>
              </w:rPr>
              <w:t>Interest Rate</w:t>
            </w:r>
          </w:p>
        </w:tc>
        <w:tc>
          <w:tcPr>
            <w:tcW w:w="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9/24/2014</w:t>
            </w:r>
          </w:p>
        </w:tc>
        <w:tc>
          <w:tcPr>
            <w:tcW w:w="4380" w:type="dxa"/>
            <w:vAlign w:val="bottom"/>
            <w:shd w:val="clear" w:color="auto" w:fill="CCEEFF"/>
          </w:tcPr>
          <w:p>
            <w:pPr>
              <w:spacing w:after="0"/>
              <w:rPr>
                <w:sz w:val="17"/>
                <w:szCs w:val="17"/>
                <w:color w:val="auto"/>
              </w:rPr>
            </w:pPr>
          </w:p>
        </w:tc>
        <w:tc>
          <w:tcPr>
            <w:tcW w:w="7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9/1/2024</w:t>
            </w:r>
          </w:p>
        </w:tc>
        <w:tc>
          <w:tcPr>
            <w:tcW w:w="4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3/25/2015</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3/1/2025</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9/23/2015</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9/1/2025</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3/23/2016</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3/1/2026</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3/23/2016</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3/1/2026</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3.249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9/21/2016</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9/1/2026</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3/29/2017</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3/1/2027</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9/20/2017</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9/1/2027</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9/20/2017</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9/1/2027</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3/21/2018</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3/1/2028</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3/21/2018</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3/1/2028</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9/19/2018</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9/1/2028</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9/19/2018</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9/1/2028</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9/25/2019</w:t>
            </w:r>
          </w:p>
        </w:tc>
        <w:tc>
          <w:tcPr>
            <w:tcW w:w="43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9/1/2029</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3/25/2020</w:t>
            </w:r>
          </w:p>
        </w:tc>
        <w:tc>
          <w:tcPr>
            <w:tcW w:w="4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3/1/2030</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147,000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80" w:hanging="424"/>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Notes: </w:t>
      </w:r>
      <w:r>
        <w:rPr>
          <w:rFonts w:ascii="Arial" w:cs="Arial" w:eastAsia="Arial" w:hAnsi="Arial"/>
          <w:sz w:val="17"/>
          <w:szCs w:val="17"/>
          <w:color w:val="auto"/>
        </w:rPr>
        <w:t>On February 2, 2018, the Company closed the public offering of approximately $43,478 in aggregate principal amount of its 5.875% notes</w:t>
      </w:r>
      <w:r>
        <w:rPr>
          <w:rFonts w:ascii="Arial" w:cs="Arial" w:eastAsia="Arial" w:hAnsi="Arial"/>
          <w:sz w:val="17"/>
          <w:szCs w:val="17"/>
          <w:i w:val="1"/>
          <w:iCs w:val="1"/>
          <w:color w:val="auto"/>
        </w:rPr>
        <w:t xml:space="preserve"> </w:t>
      </w:r>
      <w:r>
        <w:rPr>
          <w:rFonts w:ascii="Arial" w:cs="Arial" w:eastAsia="Arial" w:hAnsi="Arial"/>
          <w:sz w:val="17"/>
          <w:szCs w:val="17"/>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7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jc w:val="both"/>
        <w:ind w:left="120" w:right="200" w:firstLine="440"/>
        <w:spacing w:after="0" w:line="275"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w:t>
      </w:r>
    </w:p>
    <w:p>
      <w:pPr>
        <w:spacing w:after="0" w:line="1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On December 23, 2020, the Company closed the offering of approximately $125,000 in aggregate principal amount of its 4.75% notes due 2026, or the “2026 Notes” (collectively with the Public Notes, the “Notes”). The total net proceeds to the Company from the 2026 Notes after deducting underwriting discounts of approximately $2,500 and estimated offering expenses of $400, were approximately $122,100.</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2026 Notes will mature on January 31, 2026 and bear interest at a rate of 4.75%. The 2026 Notes may be redeemed in whole or in part at any time or from time to time at our option subject to a make whole provision if redeemed more than three months prior to maturity. Interest on the 2026 Notes is payable on January 31 and July 31 of each year, beginning July 31, 2021. The Company does not intent to list the 2026 Notes on any securities exchange or automated dealer quotation system.</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December 31, 2020, the aggregate amount outstanding of the senior securities issued by the Company was $307,250, for which our asset coverage was 233.7%. The SBA-guaranteed debentures are not subject to the asset coverage requirements of the 1940 Act as a result of exemptive relief granted to us by the SEC effective March 27, 2012.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Interest and fees related to the Company’s debt for the years ended December 31, 2020, 2019 and 2018 which are included in interest and financing expenses on the consolidated statements of operations, were as follows: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w w:val="92"/>
              </w:rPr>
              <w:t>December 31, 2020</w:t>
            </w:r>
          </w:p>
        </w:tc>
        <w:tc>
          <w:tcPr>
            <w:tcW w:w="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w w:val="87"/>
              </w:rPr>
              <w:t>December 31, 2019</w:t>
            </w: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7"/>
              </w:rPr>
              <w:t>December 31, 2018</w:t>
            </w: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rPr>
              <w:t>SBA</w:t>
            </w:r>
          </w:p>
        </w:tc>
        <w:tc>
          <w:tcPr>
            <w:tcW w:w="780" w:type="dxa"/>
            <w:vAlign w:val="bottom"/>
            <w:gridSpan w:val="2"/>
          </w:tcPr>
          <w:p>
            <w:pPr>
              <w:jc w:val="right"/>
              <w:ind w:right="400"/>
              <w:spacing w:after="0" w:line="110" w:lineRule="exact"/>
              <w:rPr>
                <w:sz w:val="20"/>
                <w:szCs w:val="20"/>
                <w:color w:val="auto"/>
              </w:rPr>
            </w:pPr>
            <w:r>
              <w:rPr>
                <w:rFonts w:ascii="Arial" w:cs="Arial" w:eastAsia="Arial" w:hAnsi="Arial"/>
                <w:sz w:val="12"/>
                <w:szCs w:val="12"/>
                <w:b w:val="1"/>
                <w:bCs w:val="1"/>
                <w:color w:val="auto"/>
              </w:rPr>
              <w:t>Credit</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SBA</w:t>
            </w:r>
          </w:p>
        </w:tc>
        <w:tc>
          <w:tcPr>
            <w:tcW w:w="60" w:type="dxa"/>
            <w:vAlign w:val="bottom"/>
          </w:tcPr>
          <w:p>
            <w:pPr>
              <w:spacing w:after="0"/>
              <w:rPr>
                <w:sz w:val="9"/>
                <w:szCs w:val="9"/>
                <w:color w:val="auto"/>
              </w:rPr>
            </w:pPr>
          </w:p>
        </w:tc>
        <w:tc>
          <w:tcPr>
            <w:tcW w:w="5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rPr>
              <w:t>Credit</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SBA</w:t>
            </w:r>
          </w:p>
        </w:tc>
        <w:tc>
          <w:tcPr>
            <w:tcW w:w="60" w:type="dxa"/>
            <w:vAlign w:val="bottom"/>
          </w:tcPr>
          <w:p>
            <w:pPr>
              <w:spacing w:after="0"/>
              <w:rPr>
                <w:sz w:val="9"/>
                <w:szCs w:val="9"/>
                <w:color w:val="auto"/>
              </w:rPr>
            </w:pPr>
          </w:p>
        </w:tc>
        <w:tc>
          <w:tcPr>
            <w:tcW w:w="64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rPr>
              <w:t>Credit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debentures</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Facility</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Notes</w:t>
            </w: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debentures</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Facility</w:t>
            </w:r>
          </w:p>
        </w:tc>
        <w:tc>
          <w:tcPr>
            <w:tcW w:w="6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Notes</w:t>
            </w:r>
          </w:p>
        </w:tc>
        <w:tc>
          <w:tcPr>
            <w:tcW w:w="6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debentures</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Facility</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Notes</w:t>
            </w: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Stated interest expense</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w w:val="85"/>
              </w:rPr>
              <w:t>5,140</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$ 1,642</w:t>
            </w:r>
          </w:p>
        </w:tc>
        <w:tc>
          <w:tcPr>
            <w:tcW w:w="3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$10,625</w:t>
            </w: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$17,407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$ 2,144</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$7,330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$15,220</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7,460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$ 1,145</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$2,684</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$ 11,289</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549</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w:t>
            </w: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334</w:t>
            </w: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917</w:t>
            </w: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w:t>
            </w:r>
          </w:p>
        </w:tc>
        <w:tc>
          <w:tcPr>
            <w:tcW w:w="7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289</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 and financing expenses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5,689</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5"/>
              </w:rPr>
              <w:t>$ 2,039</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$ 11,950</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19,678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6,347</w:t>
            </w:r>
          </w:p>
        </w:tc>
        <w:tc>
          <w:tcPr>
            <w:tcW w:w="6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$ 2,478</w:t>
            </w:r>
          </w:p>
        </w:tc>
        <w:tc>
          <w:tcPr>
            <w:tcW w:w="6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8,247</w:t>
            </w: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17,072</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8,192</w:t>
            </w:r>
          </w:p>
        </w:tc>
        <w:tc>
          <w:tcPr>
            <w:tcW w:w="7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$ 1,434</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3,033</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12,659</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4"/>
                <w:szCs w:val="14"/>
                <w:color w:val="auto"/>
              </w:rPr>
              <w:t>Weighted average stated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140"/>
              <w:spacing w:after="0"/>
              <w:rPr>
                <w:sz w:val="20"/>
                <w:szCs w:val="20"/>
                <w:color w:val="auto"/>
              </w:rPr>
            </w:pPr>
            <w:r>
              <w:rPr>
                <w:rFonts w:ascii="Arial" w:cs="Arial" w:eastAsia="Arial" w:hAnsi="Arial"/>
                <w:sz w:val="14"/>
                <w:szCs w:val="14"/>
                <w:color w:val="auto"/>
              </w:rPr>
              <w:t>rate, period end</w:t>
            </w:r>
          </w:p>
        </w:tc>
        <w:tc>
          <w:tcPr>
            <w:tcW w:w="1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color w:val="auto"/>
              </w:rPr>
              <w:t>3.297%</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r>
              <w:rPr>
                <w:rFonts w:ascii="Arial" w:cs="Arial" w:eastAsia="Arial" w:hAnsi="Arial"/>
                <w:sz w:val="12"/>
                <w:szCs w:val="12"/>
                <w:color w:val="auto"/>
              </w:rPr>
              <w:t>(1)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5.342%</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4.680%</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3.392%</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4.788%</w:t>
            </w:r>
          </w:p>
        </w:tc>
        <w:tc>
          <w:tcPr>
            <w:tcW w:w="620" w:type="dxa"/>
            <w:vAlign w:val="bottom"/>
            <w:gridSpan w:val="3"/>
          </w:tcPr>
          <w:p>
            <w:pPr>
              <w:jc w:val="right"/>
              <w:ind w:right="40"/>
              <w:spacing w:after="0"/>
              <w:rPr>
                <w:sz w:val="20"/>
                <w:szCs w:val="20"/>
                <w:color w:val="auto"/>
              </w:rPr>
            </w:pPr>
            <w:r>
              <w:rPr>
                <w:rFonts w:ascii="Arial" w:cs="Arial" w:eastAsia="Arial" w:hAnsi="Arial"/>
                <w:sz w:val="14"/>
                <w:szCs w:val="14"/>
                <w:color w:val="auto"/>
              </w:rPr>
              <w:t>5.749%</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4.665%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3.344%</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6.000%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5.875%</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Unused commitment fee rate, period end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1.375%</w:t>
            </w:r>
            <w:r>
              <w:rPr>
                <w:rFonts w:ascii="Arial" w:cs="Arial" w:eastAsia="Arial" w:hAnsi="Arial"/>
                <w:sz w:val="12"/>
                <w:szCs w:val="12"/>
                <w:color w:val="auto"/>
              </w:rPr>
              <w:t>(1)</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0.833%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0.500%</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Reflects the effective rate as of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During the years ended December 31, 2020 and 2019, the Company prepaid $16,500 and $41,000 of SBA debentures, respectively, which were scheduled to mature on dates ranging from 2024 to 2028 and 2021 to 2025, respectively. As a result of the prepayments, the Company recognized realized losses on extinguishment of debt of $299 and $399, respectively, equal to the write-off of the related unamortized deferred financing costs, during the years ended December 31, 2020 and 2019.</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140"/>
          </w:cols>
          <w:pgMar w:left="320" w:top="459" w:right="4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Credit Facility, and Notes as of December 31, 2020 and 2019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December 31, 20203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7"/>
              </w:rPr>
              <w:t>debentures</w:t>
            </w:r>
          </w:p>
        </w:tc>
        <w:tc>
          <w:tcPr>
            <w:tcW w:w="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140" w:type="dxa"/>
            <w:vAlign w:val="bottom"/>
          </w:tcPr>
          <w:p>
            <w:pPr>
              <w:spacing w:after="0"/>
              <w:rPr>
                <w:sz w:val="18"/>
                <w:szCs w:val="18"/>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7,968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7,968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5,570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(2,591)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(1,793)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(4,931)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3,698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December 31, 2020 and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0"/>
                <w:szCs w:val="10"/>
                <w:color w:val="auto"/>
              </w:rPr>
            </w:pP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SBA</w:t>
            </w:r>
          </w:p>
        </w:tc>
        <w:tc>
          <w:tcPr>
            <w:tcW w:w="600" w:type="dxa"/>
            <w:vAlign w:val="bottom"/>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Credit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w w:val="92"/>
              </w:rPr>
              <w:t>Notes</w:t>
            </w:r>
          </w:p>
        </w:tc>
        <w:tc>
          <w:tcPr>
            <w:tcW w:w="8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debentures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$307,250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$454,250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$157,500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$364,750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(2,996)</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(1,048)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(3,698)</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(5,349)</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144,004</w:t>
            </w:r>
          </w:p>
        </w:tc>
        <w:tc>
          <w:tcPr>
            <w:tcW w:w="16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(1,048)  </w:t>
            </w:r>
            <w:r>
              <w:rPr>
                <w:rFonts w:ascii="Arial" w:cs="Arial" w:eastAsia="Arial" w:hAnsi="Arial"/>
                <w:sz w:val="18"/>
                <w:szCs w:val="18"/>
                <w:u w:val="single" w:color="auto"/>
                <w:color w:val="auto"/>
              </w:rPr>
              <w:t>$</w:t>
            </w:r>
            <w:r>
              <w:rPr>
                <w:rFonts w:ascii="Arial" w:cs="Arial" w:eastAsia="Arial" w:hAnsi="Arial"/>
                <w:sz w:val="18"/>
                <w:szCs w:val="18"/>
                <w:color w:val="auto"/>
              </w:rPr>
              <w:t>300,294</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443,250</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153,802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23,899</w:t>
            </w:r>
          </w:p>
        </w:tc>
        <w:tc>
          <w:tcPr>
            <w:tcW w:w="104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176,901</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354,602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16"/>
          </w:tcPr>
          <w:p>
            <w:pPr>
              <w:ind w:left="440"/>
              <w:spacing w:after="0"/>
              <w:rPr>
                <w:sz w:val="20"/>
                <w:szCs w:val="20"/>
                <w:color w:val="auto"/>
              </w:rPr>
            </w:pPr>
            <w:r>
              <w:rPr>
                <w:rFonts w:ascii="Arial" w:cs="Arial" w:eastAsia="Arial" w:hAnsi="Arial"/>
                <w:sz w:val="18"/>
                <w:szCs w:val="18"/>
                <w:color w:val="auto"/>
                <w:w w:val="93"/>
              </w:rPr>
              <w:t xml:space="preserve">As of December 31, 2020, the Company’s debt liabilities are scheduled to mature as follows </w:t>
            </w:r>
            <w:r>
              <w:rPr>
                <w:rFonts w:ascii="Arial" w:cs="Arial" w:eastAsia="Arial" w:hAnsi="Arial"/>
                <w:sz w:val="15"/>
                <w:szCs w:val="15"/>
                <w:color w:val="auto"/>
                <w:w w:val="93"/>
              </w:rPr>
              <w:t>(1)</w:t>
            </w:r>
            <w:r>
              <w:rPr>
                <w:rFonts w:ascii="Arial" w:cs="Arial" w:eastAsia="Arial" w:hAnsi="Arial"/>
                <w:sz w:val="18"/>
                <w:szCs w:val="18"/>
                <w:color w:val="auto"/>
                <w:w w:val="93"/>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vMerge w:val="restart"/>
          </w:tcPr>
          <w:p>
            <w:pPr>
              <w:spacing w:after="0"/>
              <w:rPr>
                <w:sz w:val="24"/>
                <w:szCs w:val="2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36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SBA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Credit</w:t>
            </w:r>
          </w:p>
        </w:tc>
        <w:tc>
          <w:tcPr>
            <w:tcW w:w="200" w:type="dxa"/>
            <w:vAlign w:val="bottom"/>
          </w:tcPr>
          <w:p>
            <w:pPr>
              <w:spacing w:after="0"/>
              <w:rPr>
                <w:sz w:val="24"/>
                <w:szCs w:val="24"/>
                <w:color w:val="auto"/>
              </w:rPr>
            </w:pPr>
          </w:p>
        </w:tc>
        <w:tc>
          <w:tcPr>
            <w:tcW w:w="7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Facility</w:t>
            </w: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right w:val="single" w:sz="8" w:color="CCEEFF"/>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6"/>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jc w:val="right"/>
              <w:ind w:right="55"/>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132,250</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132,250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39,200</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107,800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232,800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147,000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307,250</w:t>
            </w:r>
          </w:p>
        </w:tc>
        <w:tc>
          <w:tcPr>
            <w:tcW w:w="11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40" w:hanging="424"/>
        <w:spacing w:after="0" w:line="255"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2"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Credit Facility matures on April 24, 2023. As of December 31, 2020, there were no outstanding borrowings under the Credit Facility.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our senior securities is shown in the following table for the years indicated in the table, unless otherwise noted.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 Amount</w:t>
            </w: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Asset Coverage per</w:t>
            </w:r>
          </w:p>
        </w:tc>
        <w:tc>
          <w:tcPr>
            <w:tcW w:w="208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Involuntary Liquidation</w:t>
            </w:r>
          </w:p>
        </w:tc>
        <w:tc>
          <w:tcPr>
            <w:tcW w:w="17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97"/>
              </w:rPr>
              <w:t>Average Market Value</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300" w:type="dxa"/>
            <w:vAlign w:val="bottom"/>
            <w:gridSpan w:val="2"/>
          </w:tcPr>
          <w:p>
            <w:pPr>
              <w:jc w:val="right"/>
              <w:ind w:right="271"/>
              <w:spacing w:after="0" w:line="149" w:lineRule="exact"/>
              <w:rPr>
                <w:sz w:val="20"/>
                <w:szCs w:val="20"/>
                <w:color w:val="auto"/>
              </w:rPr>
            </w:pPr>
            <w:r>
              <w:rPr>
                <w:rFonts w:ascii="Arial" w:cs="Arial" w:eastAsia="Arial" w:hAnsi="Arial"/>
                <w:sz w:val="14"/>
                <w:szCs w:val="14"/>
                <w:b w:val="1"/>
                <w:bCs w:val="1"/>
                <w:color w:val="auto"/>
              </w:rPr>
              <w:t>Outstanding Exclusive</w:t>
            </w:r>
          </w:p>
        </w:tc>
        <w:tc>
          <w:tcPr>
            <w:tcW w:w="18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vMerge w:val="continue"/>
          </w:tcPr>
          <w:p>
            <w:pPr>
              <w:spacing w:after="0"/>
              <w:rPr>
                <w:sz w:val="13"/>
                <w:szCs w:val="13"/>
                <w:color w:val="auto"/>
              </w:rPr>
            </w:pPr>
          </w:p>
        </w:tc>
        <w:tc>
          <w:tcPr>
            <w:tcW w:w="230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 xml:space="preserve">of Treasury Securities </w:t>
            </w:r>
            <w:r>
              <w:rPr>
                <w:rFonts w:ascii="Arial" w:cs="Arial" w:eastAsia="Arial" w:hAnsi="Arial"/>
                <w:sz w:val="12"/>
                <w:szCs w:val="12"/>
                <w:b w:val="1"/>
                <w:bCs w:val="1"/>
                <w:color w:val="auto"/>
              </w:rPr>
              <w:t>(1)</w:t>
            </w:r>
          </w:p>
        </w:tc>
        <w:tc>
          <w:tcPr>
            <w:tcW w:w="540" w:type="dxa"/>
            <w:vAlign w:val="bottom"/>
          </w:tcPr>
          <w:p>
            <w:pPr>
              <w:spacing w:after="0"/>
              <w:rPr>
                <w:sz w:val="13"/>
                <w:szCs w:val="13"/>
                <w:color w:val="auto"/>
              </w:rPr>
            </w:pPr>
          </w:p>
        </w:tc>
        <w:tc>
          <w:tcPr>
            <w:tcW w:w="1320" w:type="dxa"/>
            <w:vAlign w:val="bottom"/>
          </w:tcPr>
          <w:p>
            <w:pPr>
              <w:jc w:val="right"/>
              <w:ind w:right="571"/>
              <w:spacing w:after="0" w:line="153"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2"/>
                <w:szCs w:val="12"/>
                <w:b w:val="1"/>
                <w:bCs w:val="1"/>
                <w:color w:val="auto"/>
              </w:rPr>
              <w:t>(2)(5)</w:t>
            </w:r>
          </w:p>
        </w:tc>
        <w:tc>
          <w:tcPr>
            <w:tcW w:w="2080" w:type="dxa"/>
            <w:vAlign w:val="bottom"/>
            <w:gridSpan w:val="2"/>
          </w:tcPr>
          <w:p>
            <w:pPr>
              <w:jc w:val="right"/>
              <w:ind w:right="270"/>
              <w:spacing w:after="0" w:line="153" w:lineRule="exact"/>
              <w:rPr>
                <w:sz w:val="20"/>
                <w:szCs w:val="20"/>
                <w:color w:val="auto"/>
              </w:rPr>
            </w:pPr>
            <w:r>
              <w:rPr>
                <w:rFonts w:ascii="Arial" w:cs="Arial" w:eastAsia="Arial" w:hAnsi="Arial"/>
                <w:sz w:val="14"/>
                <w:szCs w:val="14"/>
                <w:b w:val="1"/>
                <w:bCs w:val="1"/>
                <w:color w:val="auto"/>
              </w:rPr>
              <w:t xml:space="preserve">Preference per Unit </w:t>
            </w: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2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 xml:space="preserve">per Unit </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ind w:left="800"/>
              <w:spacing w:after="0"/>
              <w:rPr>
                <w:sz w:val="20"/>
                <w:szCs w:val="20"/>
                <w:color w:val="auto"/>
              </w:rPr>
            </w:pPr>
            <w:r>
              <w:rPr>
                <w:rFonts w:ascii="Arial" w:cs="Arial" w:eastAsia="Arial" w:hAnsi="Arial"/>
                <w:sz w:val="14"/>
                <w:szCs w:val="14"/>
                <w:i w:val="1"/>
                <w:iCs w:val="1"/>
                <w:color w:val="auto"/>
                <w:w w:val="98"/>
              </w:rPr>
              <w:t>(dollars in thousands)</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2011</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104,000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2,351</w:t>
            </w:r>
          </w:p>
        </w:tc>
        <w:tc>
          <w:tcPr>
            <w:tcW w:w="1020" w:type="dxa"/>
            <w:vAlign w:val="bottom"/>
          </w:tcPr>
          <w:p>
            <w:pPr>
              <w:jc w:val="right"/>
              <w:ind w:right="58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144,500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2013</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144,500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173,500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2015</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213,500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224,000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231,300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191,000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157,500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147,000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Credit Facility</w:t>
            </w: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25,326</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16,959</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35,198</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36,500</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5,659</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2,337</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50,000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5,659</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50,000</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2,337</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2024 Notes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69,000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2,989</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2,337</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November 2024 Notes</w:t>
            </w: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63,250</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63,250</w:t>
            </w:r>
          </w:p>
        </w:tc>
        <w:tc>
          <w:tcPr>
            <w:tcW w:w="540" w:type="dxa"/>
            <w:vAlign w:val="bottom"/>
          </w:tcPr>
          <w:p>
            <w:pPr>
              <w:spacing w:after="0"/>
              <w:rPr>
                <w:sz w:val="18"/>
                <w:szCs w:val="18"/>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2,337</w:t>
            </w:r>
          </w:p>
        </w:tc>
        <w:tc>
          <w:tcPr>
            <w:tcW w:w="10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2026 Notes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125,000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2,337</w:t>
            </w:r>
          </w:p>
        </w:tc>
        <w:tc>
          <w:tcPr>
            <w:tcW w:w="102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jc w:val="both"/>
        <w:ind w:left="540" w:right="220" w:hanging="424"/>
        <w:spacing w:after="0" w:line="250"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ind w:left="540" w:right="240" w:hanging="424"/>
        <w:spacing w:after="0" w:line="281"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 applicable to SBA debentures, Credit Facility, and 2026 Notes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 of indebtedness. The Public Notes were issued in $25 increments.</w:t>
      </w:r>
    </w:p>
    <w:p>
      <w:pPr>
        <w:spacing w:after="0" w:line="1" w:lineRule="exact"/>
        <w:rPr>
          <w:rFonts w:ascii="Arial" w:cs="Arial" w:eastAsia="Arial" w:hAnsi="Arial"/>
          <w:sz w:val="16"/>
          <w:szCs w:val="16"/>
          <w:color w:val="auto"/>
        </w:rPr>
      </w:pPr>
    </w:p>
    <w:p>
      <w:pPr>
        <w:ind w:left="540" w:right="160" w:hanging="424"/>
        <w:spacing w:after="0" w:line="277"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have excluded our SBA-guaranteed debentures from the asset coverage calculation (**) as of December 31, 2012 pursuant to the exemptive relief granted by the SEC in March 2012 that permits us to exclude such debentures from the definition of senior securities in the 200% asset coverage ratio (or 150% if we satisfy certain requirements) we are required to maintain under the 1940 Act.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$5,645 and $4,757 as of December 31, 2020 and 2019, respectively. Such outstanding commitments are summarized in the following table:</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w w:val="98"/>
              </w:rPr>
              <w:t>Unfunded</w:t>
            </w:r>
          </w:p>
        </w:tc>
        <w:tc>
          <w:tcPr>
            <w:tcW w:w="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Unfunded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14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14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4,000</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1,050</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Elements Brands, LLC - Revolving Loan</w:t>
            </w:r>
          </w:p>
        </w:tc>
        <w:tc>
          <w:tcPr>
            <w:tcW w:w="16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838</w:t>
            </w:r>
          </w:p>
        </w:tc>
        <w:tc>
          <w:tcPr>
            <w:tcW w:w="18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French Transit, LLC- Revolving Loan</w:t>
            </w:r>
          </w:p>
        </w:tc>
        <w:tc>
          <w:tcPr>
            <w:tcW w:w="1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875</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16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10,977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5,645</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4,977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right="100" w:hanging="424"/>
        <w:spacing w:after="0" w:line="253"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9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Cumulative</w:t>
            </w:r>
          </w:p>
        </w:tc>
        <w:tc>
          <w:tcPr>
            <w:tcW w:w="32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Cumulative Gross</w:t>
            </w:r>
          </w:p>
        </w:tc>
        <w:tc>
          <w:tcPr>
            <w:tcW w:w="340" w:type="dxa"/>
            <w:vAlign w:val="bottom"/>
          </w:tcPr>
          <w:p>
            <w:pPr>
              <w:spacing w:after="0"/>
              <w:rPr>
                <w:sz w:val="14"/>
                <w:szCs w:val="14"/>
                <w:color w:val="auto"/>
              </w:rPr>
            </w:pPr>
          </w:p>
        </w:tc>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Cumulative Underwriting Fees and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4"/>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14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gridSpan w:val="3"/>
          </w:tcPr>
          <w:p>
            <w:pPr>
              <w:jc w:val="center"/>
              <w:ind w:right="700"/>
              <w:spacing w:after="0" w:line="145" w:lineRule="exact"/>
              <w:rPr>
                <w:sz w:val="20"/>
                <w:szCs w:val="20"/>
                <w:color w:val="auto"/>
              </w:rPr>
            </w:pPr>
            <w:r>
              <w:rPr>
                <w:rFonts w:ascii="Arial" w:cs="Arial" w:eastAsia="Arial" w:hAnsi="Arial"/>
                <w:sz w:val="14"/>
                <w:szCs w:val="14"/>
                <w:b w:val="1"/>
                <w:bCs w:val="1"/>
                <w:color w:val="auto"/>
                <w:w w:val="90"/>
              </w:rPr>
              <w:t>Commissions and Offering Costs</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0" w:type="dxa"/>
            <w:vAlign w:val="bottom"/>
            <w:tcBorders>
              <w:bottom w:val="single" w:sz="8" w:color="auto"/>
            </w:tcBorders>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Proceeds</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953"/>
              <w:spacing w:after="0"/>
              <w:rPr>
                <w:sz w:val="20"/>
                <w:szCs w:val="20"/>
                <w:color w:val="auto"/>
              </w:rPr>
            </w:pPr>
            <w:r>
              <w:rPr>
                <w:rFonts w:ascii="Arial" w:cs="Arial" w:eastAsia="Arial" w:hAnsi="Arial"/>
                <w:sz w:val="12"/>
                <w:szCs w:val="12"/>
                <w:b w:val="1"/>
                <w:bCs w:val="1"/>
                <w:color w:val="auto"/>
              </w:rPr>
              <w:t>(1)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135"/>
        </w:trPr>
        <w:tc>
          <w:tcPr>
            <w:tcW w:w="25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Cumulative since IPO</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14,388,414</w:t>
            </w:r>
          </w:p>
        </w:tc>
        <w:tc>
          <w:tcPr>
            <w:tcW w:w="3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236,597</w:t>
            </w: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8,989</w:t>
            </w: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16.44</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60" w:hanging="424"/>
        <w:spacing w:after="0" w:line="253"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shares have been issued for the last three years ended December 31, 2020, 2019, and 2018.</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years ended December 31, 2020, 2019, and 2018.</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During the years ended December 31, 2020 and 2018, the Company repurchased 25,719 and 44,821 shares of common stock, respectively, on the open market for $268 and $582, respectively. The Company did not make any repurchases of common stock during the year ended December 31, 2019. The Company’s NAV per share increased by approximately $0.01 and $0.01 for the years ended December 31, 2020 and 2018, respectively, as a result of the share repurchases. The following table summarizes the Company’s share repurchases under the Stock Repurchase Program for the years ended December 31, 2020, 2019 and 2018:</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Repurchases of Common Stock</w:t>
            </w:r>
          </w:p>
        </w:tc>
        <w:tc>
          <w:tcPr>
            <w:tcW w:w="416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25,719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44,821</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w w:val="94"/>
              </w:rPr>
              <w:t>Weighted average discount to net asset value at quarter end prior to repurchases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had 24,437,400 and 24,463,119 shares of common stock outstanding as of December 31, 2020 and 2019,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three fiscal years.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Record</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Payment</w:t>
            </w:r>
          </w:p>
        </w:tc>
        <w:tc>
          <w:tcPr>
            <w:tcW w:w="120" w:type="dxa"/>
            <w:vAlign w:val="bottom"/>
          </w:tcPr>
          <w:p>
            <w:pPr>
              <w:spacing w:after="0"/>
              <w:rPr>
                <w:sz w:val="14"/>
                <w:szCs w:val="14"/>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Cash</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DRIP</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DRIP</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4"/>
        </w:trPr>
        <w:tc>
          <w:tcPr>
            <w:tcW w:w="37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Declared</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Issue Price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2018:</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2/13/2018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3/9/2018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3/23/2018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9,558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4/30/2018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6/8/2018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7/30/2018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9/7/2018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9/21/2018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12/7/2018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12/21/2018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12/7/2018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12/21/2018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39,158</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1/31/2019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3/22/2019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4/29/2019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6/7/2019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6/21/2019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7/29/2019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9/6/2019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10/29/2019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12/6/2019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12/20/2019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9,541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10/29/2019 </w:t>
            </w:r>
            <w:r>
              <w:rPr>
                <w:rFonts w:ascii="Arial" w:cs="Arial" w:eastAsia="Arial" w:hAnsi="Arial"/>
                <w:sz w:val="15"/>
                <w:szCs w:val="15"/>
                <w:color w:val="auto"/>
              </w:rPr>
              <w:t>(1)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12/6/2019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12/20/2019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2/14/2020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3/13/2020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3/27/2020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9,537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6/12/2020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8/03/2020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9/11/2020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9/25/2020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7,331</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7,331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10/26/2020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12/4/2020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12/18/2020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10/26/2020 </w:t>
            </w:r>
            <w:r>
              <w:rPr>
                <w:rFonts w:ascii="Arial" w:cs="Arial" w:eastAsia="Arial" w:hAnsi="Arial"/>
                <w:sz w:val="15"/>
                <w:szCs w:val="15"/>
                <w:color w:val="auto"/>
              </w:rPr>
              <w:t>(2)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12/4/2020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12/18/2020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32,508</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Supplemental dividend</w:t>
      </w:r>
    </w:p>
    <w:p>
      <w:pPr>
        <w:spacing w:after="0" w:line="9"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During the the years ended December 31, 2020, 2019 and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ectPr>
          <w:pgSz w:w="11900" w:h="16838" w:orient="portrait"/>
          <w:cols w:equalWidth="0" w:num="1">
            <w:col w:w="11140"/>
          </w:cols>
          <w:pgMar w:left="320" w:top="459" w:right="439" w:bottom="1440" w:gutter="0" w:footer="0" w:header="0"/>
        </w:sectPr>
      </w:pP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40"/>
          </w:cols>
          <w:pgMar w:left="320" w:top="459" w:right="4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116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2840" w:type="dxa"/>
            <w:vAlign w:val="bottom"/>
            <w:gridSpan w:val="4"/>
          </w:tcPr>
          <w:p>
            <w:pPr>
              <w:jc w:val="right"/>
              <w:ind w:right="40"/>
              <w:spacing w:after="0" w:line="158" w:lineRule="exact"/>
              <w:rPr>
                <w:sz w:val="20"/>
                <w:szCs w:val="20"/>
                <w:color w:val="auto"/>
              </w:rPr>
            </w:pPr>
            <w:r>
              <w:rPr>
                <w:rFonts w:ascii="Arial" w:cs="Arial" w:eastAsia="Arial" w:hAnsi="Arial"/>
                <w:sz w:val="14"/>
                <w:szCs w:val="14"/>
                <w:b w:val="1"/>
                <w:bCs w:val="1"/>
                <w:color w:val="auto"/>
              </w:rPr>
              <w:t>and Reissued</w:t>
            </w:r>
          </w:p>
        </w:tc>
        <w:tc>
          <w:tcPr>
            <w:tcW w:w="500" w:type="dxa"/>
            <w:vAlign w:val="bottom"/>
          </w:tcPr>
          <w:p>
            <w:pPr>
              <w:spacing w:after="0"/>
              <w:rPr>
                <w:sz w:val="13"/>
                <w:szCs w:val="13"/>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20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12.97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April 1, 2018 through June 30, 2018</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16,216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88"/>
              </w:rPr>
              <w:t>14.48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14.83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October 1, 2018 through December 31, 2018</w:t>
            </w:r>
          </w:p>
        </w:tc>
        <w:tc>
          <w:tcPr>
            <w:tcW w:w="20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29,152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11.85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78,078</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13.25</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2019:</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Purchased</w:t>
            </w:r>
          </w:p>
        </w:tc>
        <w:tc>
          <w:tcPr>
            <w:tcW w:w="116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2840" w:type="dxa"/>
            <w:vAlign w:val="bottom"/>
            <w:gridSpan w:val="4"/>
          </w:tcPr>
          <w:p>
            <w:pPr>
              <w:jc w:val="right"/>
              <w:ind w:right="40"/>
              <w:spacing w:after="0" w:line="158" w:lineRule="exact"/>
              <w:rPr>
                <w:sz w:val="20"/>
                <w:szCs w:val="20"/>
                <w:color w:val="auto"/>
              </w:rPr>
            </w:pPr>
            <w:r>
              <w:rPr>
                <w:rFonts w:ascii="Arial" w:cs="Arial" w:eastAsia="Arial" w:hAnsi="Arial"/>
                <w:sz w:val="14"/>
                <w:szCs w:val="14"/>
                <w:b w:val="1"/>
                <w:bCs w:val="1"/>
                <w:color w:val="auto"/>
              </w:rPr>
              <w:t>and Reissued</w:t>
            </w:r>
          </w:p>
        </w:tc>
        <w:tc>
          <w:tcPr>
            <w:tcW w:w="500" w:type="dxa"/>
            <w:vAlign w:val="bottom"/>
          </w:tcPr>
          <w:p>
            <w:pPr>
              <w:spacing w:after="0"/>
              <w:rPr>
                <w:sz w:val="13"/>
                <w:szCs w:val="13"/>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20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15.25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April 1, 2019 through June 30, 2019</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14,067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88"/>
              </w:rPr>
              <w:t>16.23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15.35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October 1, 2019 through December 31, 2019</w:t>
            </w:r>
          </w:p>
        </w:tc>
        <w:tc>
          <w:tcPr>
            <w:tcW w:w="20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17,525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15.27</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15.48</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2020:</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Purchased</w:t>
            </w:r>
          </w:p>
        </w:tc>
        <w:tc>
          <w:tcPr>
            <w:tcW w:w="50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and Reissued</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March 31, 2020</w:t>
            </w:r>
          </w:p>
        </w:tc>
        <w:tc>
          <w:tcPr>
            <w:tcW w:w="202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31,586</w:t>
            </w:r>
          </w:p>
        </w:tc>
        <w:tc>
          <w:tcPr>
            <w:tcW w:w="5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85"/>
              </w:rPr>
              <w:t>7.58</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April 1, 2020 through June 30, 2020</w:t>
            </w:r>
          </w:p>
        </w:tc>
        <w:tc>
          <w:tcPr>
            <w:tcW w:w="2840" w:type="dxa"/>
            <w:vAlign w:val="bottom"/>
            <w:gridSpan w:val="4"/>
          </w:tcPr>
          <w:p>
            <w:pPr>
              <w:jc w:val="right"/>
              <w:spacing w:after="0"/>
              <w:rPr>
                <w:sz w:val="20"/>
                <w:szCs w:val="20"/>
                <w:color w:val="auto"/>
              </w:rPr>
            </w:pPr>
            <w:r>
              <w:rPr>
                <w:rFonts w:ascii="Arial" w:cs="Arial" w:eastAsia="Arial" w:hAnsi="Arial"/>
                <w:sz w:val="18"/>
                <w:szCs w:val="18"/>
                <w:color w:val="auto"/>
              </w:rPr>
              <w:t>21,904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85"/>
              </w:rPr>
              <w:t>9.04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through September 30, 2020</w:t>
            </w:r>
          </w:p>
        </w:tc>
        <w:tc>
          <w:tcPr>
            <w:tcW w:w="2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10.18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October 1, 2020 through December 31, 2020</w:t>
            </w:r>
          </w:p>
        </w:tc>
        <w:tc>
          <w:tcPr>
            <w:tcW w:w="202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4"/>
              </w:rPr>
              <w:t>12.91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102,583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9.67</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vMerge w:val="restart"/>
          </w:tcPr>
          <w:p>
            <w:pPr>
              <w:jc w:val="right"/>
              <w:ind w:right="1014"/>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schedule of financial highlights for the years ended December 31, 2020, 2019, 2018, 2017 and 2016:</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rPr>
              <w:t>16.47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4780" w:type="dxa"/>
            <w:vAlign w:val="bottom"/>
          </w:tcPr>
          <w:p>
            <w:pPr>
              <w:spacing w:after="0" w:line="203" w:lineRule="exact"/>
              <w:rPr>
                <w:sz w:val="20"/>
                <w:szCs w:val="20"/>
                <w:color w:val="auto"/>
              </w:rPr>
            </w:pPr>
            <w:r>
              <w:rPr>
                <w:rFonts w:ascii="Arial" w:cs="Arial" w:eastAsia="Arial" w:hAnsi="Arial"/>
                <w:sz w:val="18"/>
                <w:szCs w:val="18"/>
                <w:color w:val="auto"/>
                <w:w w:val="98"/>
              </w:rPr>
              <w:t>Net realized gain (loss) on investments, net of tax (provision)</w:t>
            </w:r>
          </w:p>
        </w:tc>
        <w:tc>
          <w:tcPr>
            <w:tcW w:w="8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118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7"/>
                <w:szCs w:val="17"/>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7"/>
                <w:szCs w:val="17"/>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75"/>
        </w:trPr>
        <w:tc>
          <w:tcPr>
            <w:tcW w:w="4780" w:type="dxa"/>
            <w:vAlign w:val="bottom"/>
          </w:tcPr>
          <w:p>
            <w:pPr>
              <w:ind w:left="18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Net unrealized appreciation (depreciation) on investments </w:t>
            </w:r>
            <w:r>
              <w:rPr>
                <w:rFonts w:ascii="Arial" w:cs="Arial" w:eastAsia="Arial" w:hAnsi="Arial"/>
                <w:sz w:val="15"/>
                <w:szCs w:val="15"/>
                <w:color w:val="auto"/>
                <w:w w:val="98"/>
              </w:rPr>
              <w:t>(1)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180" w:type="dxa"/>
            <w:vAlign w:val="bottom"/>
            <w:gridSpan w:val="2"/>
          </w:tcPr>
          <w:p>
            <w:pPr>
              <w:jc w:val="right"/>
              <w:ind w:right="248"/>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7"/>
              </w:rPr>
              <w:t>Accretive (dilutive) effect of share issuances and repurchases</w:t>
            </w: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Market value at end of period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24,437,400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6"/>
              </w:rPr>
              <w:t>24,463,119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24,463,119</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24,507,940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22,446,076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24,442,431</w:t>
            </w:r>
          </w:p>
        </w:tc>
        <w:tc>
          <w:tcPr>
            <w:tcW w:w="100" w:type="dxa"/>
            <w:vAlign w:val="bottom"/>
          </w:tcPr>
          <w:p>
            <w:pPr>
              <w:spacing w:after="0"/>
              <w:rPr>
                <w:sz w:val="18"/>
                <w:szCs w:val="18"/>
                <w:color w:val="auto"/>
              </w:rPr>
            </w:pP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w w:val="86"/>
              </w:rPr>
              <w:t>24,463,119</w:t>
            </w: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24,471,730</w:t>
            </w: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23,527,188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18,283,715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412,310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402,985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353,785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392,866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rPr>
              <w:t>404,284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398,440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376,292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289,453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(4)(10)</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385,350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8"/>
              <w:spacing w:after="0"/>
              <w:rPr>
                <w:sz w:val="20"/>
                <w:szCs w:val="20"/>
                <w:color w:val="auto"/>
              </w:rPr>
            </w:pPr>
            <w:r>
              <w:rPr>
                <w:rFonts w:ascii="Arial" w:cs="Arial" w:eastAsia="Arial" w:hAnsi="Arial"/>
                <w:sz w:val="18"/>
                <w:szCs w:val="18"/>
                <w:color w:val="auto"/>
              </w:rPr>
              <w:t>319,050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271,560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219,920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221,200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 return based on market value for the years ended December 31, 2020, 2019, 2018, 2017 and 2016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net of income incentive fee waiver caption as presented on the consolidated statements of operations, which includes incentive fee and excludes the income tax provision.</w:t>
      </w:r>
    </w:p>
    <w:p>
      <w:pPr>
        <w:ind w:left="540" w:right="48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540" w:hanging="424"/>
        <w:spacing w:after="0"/>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540" w:right="2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ratio of waived incentive fees to average net assets was (0.11%) and zero for the years ended December 31, 2020 and 2019 through 2016, respectively.</w:t>
      </w:r>
    </w:p>
    <w:p>
      <w:pPr>
        <w:ind w:left="540" w:hanging="424"/>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0" w:type="dxa"/>
            <w:vAlign w:val="bottom"/>
            <w:gridSpan w:val="2"/>
            <w:vMerge w:val="continue"/>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2017</w:t>
            </w:r>
          </w:p>
        </w:tc>
        <w:tc>
          <w:tcPr>
            <w:tcW w:w="3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(4)</w:t>
            </w:r>
          </w:p>
        </w:tc>
        <w:tc>
          <w:tcPr>
            <w:tcW w:w="6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9.7%</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7.1%</w:t>
            </w:r>
          </w:p>
        </w:tc>
        <w:tc>
          <w:tcPr>
            <w:tcW w:w="6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6.3%</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 xml:space="preserve">Incentive fee, net of incentive fee waiver </w:t>
            </w:r>
            <w:r>
              <w:rPr>
                <w:rFonts w:ascii="Arial" w:cs="Arial" w:eastAsia="Arial" w:hAnsi="Arial"/>
                <w:sz w:val="15"/>
                <w:szCs w:val="15"/>
                <w:color w:val="auto"/>
              </w:rPr>
              <w:t>(4)(9)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153" w:gutter="0" w:footer="0" w:header="0"/>
        </w:sectPr>
      </w:pPr>
    </w:p>
    <w:p>
      <w:pPr>
        <w:jc w:val="center"/>
        <w:ind w:right="-1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140"/>
          </w:cols>
          <w:pgMar w:left="320" w:top="459" w:right="439" w:bottom="1153"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Selected Quarterly Financial Data (unaudited)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$ 19,983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$20,433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17,417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9,291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6,038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(26,971)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29,517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0.71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15.37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15.39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15.94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16.81</w:t>
            </w:r>
          </w:p>
        </w:tc>
      </w:tr>
      <w:tr>
        <w:trPr>
          <w:trHeight w:val="354"/>
        </w:trPr>
        <w:tc>
          <w:tcPr>
            <w:tcW w:w="4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$ 20,330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$18,068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9,643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5,365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11,372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0.31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0.82</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16.55</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16.29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16.47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16.85</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has elected to be treated for federal income tax purposes as a RIC, whereby the Company generally will not pay corporate-level federal income taxes on any net ordinary income or capital gains that the Company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later of the due date for filing of the federal income tax return (including extensions) for the prior year or the 15th day of the 10th month following the prior tax year. Such taxable income carried forward to the next tax year will be subject to excise tax equal to 4% of the amount by which (i) 98% of the Company’s ordinary income recognized during a calendar year and (ii) 98.2% of the Company’s long term capital gains, as defined by Subchapter M of the Code, recognized for the one year period ending October 31</w:t>
      </w:r>
      <w:r>
        <w:rPr>
          <w:rFonts w:ascii="Arial" w:cs="Arial" w:eastAsia="Arial" w:hAnsi="Arial"/>
          <w:sz w:val="13"/>
          <w:szCs w:val="13"/>
          <w:color w:val="auto"/>
        </w:rPr>
        <w:t>st</w:t>
      </w:r>
      <w:r>
        <w:rPr>
          <w:rFonts w:ascii="Arial" w:cs="Arial" w:eastAsia="Arial" w:hAnsi="Arial"/>
          <w:sz w:val="16"/>
          <w:szCs w:val="16"/>
          <w:color w:val="auto"/>
        </w:rPr>
        <w:t xml:space="preserve"> of a calendar year exceeds the respective distributions for the year.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16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federal income tax purposes in order to comply with the “source-of-income” requirements contained in the RIC tax provisions of Subchapter M of the Code. The Taxable Subsidiaries are not consolidated with the Company for U.S. federal corporate income tax purposes, and each Taxable Subsidiary is subject to U.S. federal corporate income tax on its taxable income. The Taxable Subsidiaries are taxed as corporations and do not intend to qualify as a RIC pursuant to Subchapter M of the Code. As corporations, the Taxable Subsidiaries are obligated to pay federal, state and local income tax on taxable income, as applicable. Income earned and gains realized on the investment or investments held by the Taxable Subsidiary are taxable to such subsidiary.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2020, 2019 and 2018, the Taxable Subsidiaries were subject to a 21% federal income tax rate.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2020, 2019 and 2018, income tax expense at the Taxable Subsidiaries was $628, $233, and $1,103, respectively.</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and the Taxable Subsidiaries are also subject to various state and local income taxes.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The following table is a reconciliation of net increase in net assets resulting from operations on the consolidated statements of operations to taxable income and to total distributions declared to common stockholders for the years ended December 31, 2020, 2019 and 2018.</w:t>
      </w:r>
    </w:p>
    <w:p>
      <w:pPr>
        <w:spacing w:after="0" w:line="57" w:lineRule="exact"/>
        <w:rPr>
          <w:sz w:val="20"/>
          <w:szCs w:val="20"/>
          <w:color w:val="auto"/>
        </w:rPr>
      </w:pPr>
    </w:p>
    <w:tbl>
      <w:tblPr>
        <w:tblLayout w:type="fixed"/>
        <w:tblInd w:w="1000" w:type="dxa"/>
        <w:tblCellMar>
          <w:top w:w="0" w:type="dxa"/>
          <w:left w:w="0" w:type="dxa"/>
          <w:bottom w:w="0" w:type="dxa"/>
          <w:right w:w="0" w:type="dxa"/>
        </w:tblCellMar>
      </w:tblPr>
      <w:tr>
        <w:trPr>
          <w:trHeight w:val="310"/>
        </w:trPr>
        <w:tc>
          <w:tcPr>
            <w:tcW w:w="66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 xml:space="preserve">2020 </w:t>
            </w:r>
            <w:r>
              <w:rPr>
                <w:rFonts w:ascii="Arial" w:cs="Arial" w:eastAsia="Arial" w:hAnsi="Arial"/>
                <w:sz w:val="27"/>
                <w:szCs w:val="27"/>
                <w:b w:val="1"/>
                <w:bCs w:val="1"/>
                <w:color w:val="auto"/>
                <w:w w:val="86"/>
                <w:vertAlign w:val="superscript"/>
              </w:rPr>
              <w:t>(1)</w:t>
            </w:r>
          </w:p>
        </w:tc>
        <w:tc>
          <w:tcPr>
            <w:tcW w:w="220" w:type="dxa"/>
            <w:vAlign w:val="bottom"/>
          </w:tcPr>
          <w:p>
            <w:pPr>
              <w:spacing w:after="0"/>
              <w:rPr>
                <w:sz w:val="24"/>
                <w:szCs w:val="2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4"/>
                <w:szCs w:val="2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$ 31,226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$ 48,466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$ 49,452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Net change in unrealized (appreciation) depreciation on investments</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6,578</w:t>
            </w:r>
          </w:p>
        </w:tc>
        <w:tc>
          <w:tcPr>
            <w:tcW w:w="2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(18,188)</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(25,718)</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Permanent book income and tax income differences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Temporary book income and tax income differences</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(5,219)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6,439</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Capital loss carry forward (utilization)</w:t>
            </w: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80" w:type="dxa"/>
            <w:vAlign w:val="bottom"/>
          </w:tcPr>
          <w:p>
            <w:pPr>
              <w:spacing w:after="0"/>
              <w:rPr>
                <w:sz w:val="20"/>
                <w:szCs w:val="20"/>
                <w:color w:val="auto"/>
              </w:rPr>
            </w:pPr>
            <w:r>
              <w:rPr>
                <w:rFonts w:ascii="Arial" w:cs="Arial" w:eastAsia="Arial" w:hAnsi="Arial"/>
                <w:sz w:val="16"/>
                <w:szCs w:val="16"/>
                <w:color w:val="auto"/>
              </w:rPr>
              <w:t>Taxable income</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38,891</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38,939</w:t>
            </w:r>
          </w:p>
        </w:tc>
        <w:tc>
          <w:tcPr>
            <w:tcW w:w="2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39,518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Taxable income earned in prior year and carried forward for distribution in current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15,432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15,634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20"/>
                <w:szCs w:val="20"/>
                <w:color w:val="auto"/>
              </w:rPr>
            </w:pPr>
            <w:r>
              <w:rPr>
                <w:rFonts w:ascii="Arial" w:cs="Arial" w:eastAsia="Arial" w:hAnsi="Arial"/>
                <w:sz w:val="16"/>
                <w:szCs w:val="16"/>
                <w:color w:val="auto"/>
              </w:rPr>
              <w:t>Taxable Subsidiaries liquidating distributions</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Taxable income earned in current period and carried forward for distribution in following year</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(22,046)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(15,432)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(15,634)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Total distributions to common stockholders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vMerge w:val="continue"/>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89"/>
              </w:rPr>
              <w:t>$ 32,508</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$ 39,141</w:t>
            </w:r>
          </w:p>
        </w:tc>
        <w:tc>
          <w:tcPr>
            <w:tcW w:w="2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$ 39,158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63"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taxable income for 2020 is an estimate and will not be finalized until the Company files its 2020 federal income tax returns in 2021. Therefore, the Company’s actual taxable income, and the Company’s actual taxable income that was earned in 2020 and carried forward for distribution in 2021, may be different than this estimate.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tax purposes, distributions paid to stockholders are reported as ordinary income, long term capital gains and return of capital, or a combination thereof. The tax character of distributions paid for the years ended December 31, 2020, 2019 and 2018 was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9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$32,508</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$39,141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$39,158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Long term capital gains</w:t>
            </w: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distributions to common stockholders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32,508</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39,141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39,158</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estimates that it generated undistributed ordinary taxable income of approximately $22,046, or a total of $0.90 per share, during 2020 that will be carried forward and distributed in 2021. Ordinary dividend distributions from a RIC do not qualify for the preferential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7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years ended December 31, 2020, 2019 and 2018, the Company did not elect to designate retained net capital gains as a deemed distribution.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the tax basis components of distributable earnings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Undistributed long term capital gains</w:t>
            </w:r>
          </w:p>
        </w:tc>
        <w:tc>
          <w:tcPr>
            <w:tcW w:w="14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Unrealized appreciation (depreciation)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62,420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Temporary book/tax differences</w:t>
            </w:r>
          </w:p>
        </w:tc>
        <w:tc>
          <w:tcPr>
            <w:tcW w:w="14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(4,768)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(9,988)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(21,639)</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distributable earnings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80" w:hanging="424"/>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distributable earnings for 2020 is an estimate and will not be finally determined until the Company files its 2020 federal income tax returns in 2021. Therefore, the Company’s actual distributable earnings may be different than this estimate.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federal income tax purposes, the cost of investments owned at December 31, 2020 and 2019 was approximately $685,825 and $700,264, respectively.</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120"/>
          </w:cols>
          <w:pgMar w:left="320" w:top="459" w:right="4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Tax-basis amortized cost of investments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700,264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Tax-basis gross unrealized appreciation on investments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74,929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83,301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Tax-basis gross unrealized depreciation on investments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Tax-basis net unrealized appreciation on investments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57,044</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66,655</w:t>
            </w:r>
          </w:p>
        </w:tc>
        <w:tc>
          <w:tcPr>
            <w:tcW w:w="100" w:type="dxa"/>
            <w:vAlign w:val="bottom"/>
          </w:tcPr>
          <w:p>
            <w:pPr>
              <w:spacing w:after="0"/>
              <w:rPr>
                <w:sz w:val="20"/>
                <w:szCs w:val="20"/>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investments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742,869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766,919</w:t>
            </w:r>
          </w:p>
        </w:tc>
      </w:tr>
      <w:tr>
        <w:trPr>
          <w:trHeight w:val="20"/>
        </w:trPr>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63"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tax-basis amortized cost of investments for 2020 is an estimate and will not be finally determined until 2021 when the Company receives the relevant tax forms from portfolio companies with equity investments. Therefore, the Company’s actual tax-basis amortized cost of investments may be different than this estimate.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2020, 2019 and 2018.</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23"/>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15"/>
                <w:szCs w:val="15"/>
                <w:color w:val="auto"/>
              </w:rPr>
              <w:t>(2)</w:t>
            </w:r>
          </w:p>
        </w:tc>
        <w:tc>
          <w:tcPr>
            <w:tcW w:w="24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$(2,042)</w:t>
            </w:r>
          </w:p>
        </w:tc>
        <w:tc>
          <w:tcPr>
            <w:tcW w:w="2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$(627)</w:t>
            </w:r>
          </w:p>
        </w:tc>
        <w:tc>
          <w:tcPr>
            <w:tcW w:w="2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$(3,526)</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Total distributable earnings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2,042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540" w:right="40" w:hanging="424"/>
        <w:spacing w:after="0" w:line="254"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permanent book-to-tax reclassifications for 2020 are an estimate and will not be finalized until the Company files its 2020 federal income tax returns in 2021.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 w:lineRule="exact"/>
        <w:rPr>
          <w:rFonts w:ascii="Arial" w:cs="Arial" w:eastAsia="Arial" w:hAnsi="Arial"/>
          <w:sz w:val="18"/>
          <w:szCs w:val="18"/>
          <w:color w:val="auto"/>
        </w:rPr>
      </w:pPr>
    </w:p>
    <w:p>
      <w:pPr>
        <w:ind w:left="540" w:right="340" w:hanging="424"/>
        <w:spacing w:after="0" w:line="26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the reversal of unrealized (appreciation) depreciation that was recognized prior to the IPO of zero, $504, and zero for the years ended December 31, 2020, 2019 and 2018,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January 11, 2021, we exited our debt investment in Bandon Fitness (Texas), Inc. We received payment in full of $15,592 on our first lien debt, which includes a prepayment fee.</w:t>
      </w:r>
    </w:p>
    <w:p>
      <w:pPr>
        <w:spacing w:after="0" w:line="14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January 14, 2021, we exited our debt investment in Alzheimer’s Research and Treatment Center, LLC. We received payment in full of $6,585 on our first lien debt, which includes a prepayment fee.</w:t>
      </w:r>
    </w:p>
    <w:p>
      <w:pPr>
        <w:spacing w:after="0" w:line="13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January 19, 2021, we redeemed $50,000 of the aggregate principal amount on the 2023 Notes, resulting in a realized loss on extinguishment of debt of approximately $794.</w:t>
      </w:r>
    </w:p>
    <w:p>
      <w:pPr>
        <w:spacing w:after="0" w:line="13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January 22, 2021, we invested $11,000 in first lien debt and $516 in common equity of GP&amp;C Operations, LLC (dba Garlock Printing and Converting), a converter of plastic film into flexible packaging solutions.</w:t>
      </w:r>
    </w:p>
    <w:p>
      <w:pPr>
        <w:spacing w:after="0" w:line="143"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26, 2021, we exited our debt investment in Ohio Medical, LLC. We received payment in full of $10,000 on our second lien debt. We subsequently invested $5,000 in a new second lien debt investment in Ohio Medical, LLC.</w:t>
      </w:r>
    </w:p>
    <w:p>
      <w:pPr>
        <w:spacing w:after="0" w:line="13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February 9, 2021, the Board declared a regular quarterly dividend of $0.31 per share and a supplemental dividend of $0.07 per share payable March 26, 2021 to stockholders of record as of March 12, 2021.</w:t>
      </w:r>
    </w:p>
    <w:p>
      <w:pPr>
        <w:spacing w:after="0" w:line="13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On February 10, 2021, we invested $6,500 in first lien debt and made a commitment up to $2,000 of additional first lien debt of Wonderware Holdings, LLC (dba CORE Business Technologies), a provider of revenue management and payments solutions for government, healthcare and education.</w:t>
      </w:r>
    </w:p>
    <w:p>
      <w:pPr>
        <w:spacing w:after="0" w:line="15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February 11, 2021, we invested $8,900 in first lien debt and made a commitment up to $400 of additional first lien debt of Xeeva, Inc., a global provider of intelligent, cloud-based indirect spend management software solutions.</w:t>
      </w:r>
    </w:p>
    <w:p>
      <w:pPr>
        <w:spacing w:after="0" w:line="13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February 12, 2021, we exited our debt and equity investments in FDS Avionics Corp. (dba Flight Display Systems). Flight Display Systems was acquired and combined with Calculex Inc. and Argon Corporation under a new holding company, Spectra A&amp;D Holdings (“Spectra”). We received payment in full of $5,122 on our second lien and revolving debt. We sold our preferred and a portion of our common equity investments for a realized gain of approximately $958. In conjunction with the transaction, we invested $8,000 in first lien debt and $4,129 in preferred equity, of which $1,997 was rolled over from our original common equity investment in Flight Display Systems.</w:t>
      </w:r>
    </w:p>
    <w:p>
      <w:pPr>
        <w:sectPr>
          <w:pgSz w:w="11900" w:h="16838" w:orient="portrait"/>
          <w:cols w:equalWidth="0" w:num="1">
            <w:col w:w="11120"/>
          </w:cols>
          <w:pgMar w:left="320" w:top="459" w:right="459" w:bottom="1440" w:gutter="0" w:footer="0" w:header="0"/>
        </w:sectPr>
      </w:pP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February 16, 2021, we redeemed $50,000 of the $69,000 aggregate principal amount on the February 2024 Notes, resulting in a realized loss on extinguishment of debt of approximately $1,081.</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February 19, 2021, we exited our debt investment in Wheel Pros, Inc. We received payment in full of $20,400 on our second lien debt, which includes a prepayment fee.</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Subsequent to December 31, 2020, the global outbreak of the COVID-19 pandemic has adversely affected some of the Company’s investments and continues to have adverse consequences on the U.S. and global economies. The ultimate economic fallout from the pandemic, and the long-term impact on economies, markets, industries and individual portfolio companies, remains uncertain. At the time of this filing, there is no indication of a reportable subsequent event impacting the Company’s financial statements for the year ended December 31, 2020. The Company cannot predict the extent to which its financial condition and results of operations will be adversely affected at this time. The potential impact to our results will depend to a large extent on future developments and new information that may emerge regarding the duration and severity of COVID-19. The Company continues to observe and respond to the evolving COVID-19 environment and its potential impact on areas across its business.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Management’s Annual Report on Internal Control over Financial Reporting and Attestation Report of the Registered Public Accounting Firm</w:t>
      </w:r>
    </w:p>
    <w:p>
      <w:pPr>
        <w:spacing w:after="0" w:line="12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our financial statements for external reporting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 issued by the Committee of</w:t>
      </w:r>
      <w:r>
        <w:rPr>
          <w:rFonts w:ascii="Arial" w:cs="Arial" w:eastAsia="Arial" w:hAnsi="Arial"/>
          <w:sz w:val="18"/>
          <w:szCs w:val="18"/>
          <w:color w:val="auto"/>
        </w:rPr>
        <w:t xml:space="preserve"> </w:t>
      </w:r>
      <w:r>
        <w:rPr>
          <w:rFonts w:ascii="Arial" w:cs="Arial" w:eastAsia="Arial" w:hAnsi="Arial"/>
          <w:sz w:val="18"/>
          <w:szCs w:val="18"/>
          <w:i w:val="1"/>
          <w:iCs w:val="1"/>
          <w:color w:val="auto"/>
        </w:rPr>
        <w:t>Sponsoring Organizations of the Treadway Commission in 2013. Based on this evaluation, management concluded that our internal control over financial reporting was effective as of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Attestation Report of the Registered Public Accounting Firm</w:t>
      </w:r>
    </w:p>
    <w:p>
      <w:pPr>
        <w:spacing w:after="0" w:line="11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Our internal control over financial reporting as of December 31, 2020 has been audited by RSM US LLP, an independent registered public accounting firm, as stated in their report, which is included in Item 8 of Part II of this Annual Report under the heading Report of Independent Registered Public Accounting Firm.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2020 that have materially affected, or are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board of directors has five members and is divided into three classes. Each class has a three-year term. Each director holds office for the term to which he or she is elected and until his or her successor is duly elected and qualified. Vacancies on the board of directors may be filled by persons elected by a majority of the remaining directors. A director elected by the board of directors to fill a vacancy in a class, including any vacancies created by an increase in the number of directors, shall serve for the remainder of the full term of that class or until the director’s successor is duly elected and qualified.</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of our directors who are also officers of the Company may serve as directors of, or on the boards of managers of, certain of our portfolio companies. In addition, the board of directors of Fidus Mezzanine Capital, L.P., or Fund I, a wholly-owned consolidated subsidiary that has elected to be treated as a BDC under the 1940 Act, is composed of all of the Company’s directors.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address of each director listed below is 1603 Orrington Avenue, Suite 1005, Evanston, Illinois 60201.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information as of February 23, 2021 with respect to the directors is set forth below.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Interested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Background Information</w:t>
            </w:r>
          </w:p>
        </w:tc>
        <w:tc>
          <w:tcPr>
            <w:tcW w:w="2580" w:type="dxa"/>
            <w:vAlign w:val="bottom"/>
          </w:tcPr>
          <w:p>
            <w:pPr>
              <w:spacing w:after="0"/>
              <w:rPr>
                <w:sz w:val="14"/>
                <w:szCs w:val="14"/>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Edward H. Ross</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420" w:type="dxa"/>
            <w:vAlign w:val="bottom"/>
          </w:tcPr>
          <w:p>
            <w:pPr>
              <w:spacing w:after="0"/>
              <w:rPr>
                <w:sz w:val="16"/>
                <w:szCs w:val="16"/>
                <w:color w:val="auto"/>
              </w:rPr>
            </w:pPr>
          </w:p>
        </w:tc>
        <w:tc>
          <w:tcPr>
            <w:tcW w:w="2960" w:type="dxa"/>
            <w:vAlign w:val="bottom"/>
          </w:tcPr>
          <w:p>
            <w:pPr>
              <w:ind w:left="380"/>
              <w:spacing w:after="0" w:line="195" w:lineRule="exact"/>
              <w:rPr>
                <w:sz w:val="20"/>
                <w:szCs w:val="20"/>
                <w:color w:val="auto"/>
              </w:rPr>
            </w:pPr>
            <w:r>
              <w:rPr>
                <w:rFonts w:ascii="Arial" w:cs="Arial" w:eastAsia="Arial" w:hAnsi="Arial"/>
                <w:sz w:val="18"/>
                <w:szCs w:val="18"/>
                <w:color w:val="auto"/>
                <w:w w:val="88"/>
              </w:rPr>
              <w:t>Mr. Ross has served as chairman of</w:t>
            </w: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89"/>
              </w:rPr>
              <w:t>our board of directors</w:t>
            </w:r>
          </w:p>
        </w:tc>
        <w:tc>
          <w:tcPr>
            <w:tcW w:w="2580" w:type="dxa"/>
            <w:vAlign w:val="bottom"/>
          </w:tcPr>
          <w:p>
            <w:pPr>
              <w:ind w:left="60"/>
              <w:spacing w:after="0" w:line="195" w:lineRule="exact"/>
              <w:rPr>
                <w:sz w:val="20"/>
                <w:szCs w:val="20"/>
                <w:color w:val="auto"/>
              </w:rPr>
            </w:pPr>
            <w:r>
              <w:rPr>
                <w:rFonts w:ascii="Arial" w:cs="Arial" w:eastAsia="Arial" w:hAnsi="Arial"/>
                <w:sz w:val="18"/>
                <w:szCs w:val="18"/>
                <w:color w:val="auto"/>
              </w:rPr>
              <w:t>and our chief executive officer,</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and as chairman of our investment advisor’s investment committees, since our initial public</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offering in June 2011. Additionally, Mr. Ross is the chief executive officer and a manager of</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8"/>
              </w:rPr>
              <w:t>our investment advisor. Mr. Ross is an interested director due to his positions with the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Company and our investment advisor. Mr. Ross has more than 30 years of debt and equity</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capital investing experience with lower middle-market companies. Mr. Ross co-founded</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Fidus Capital, LLC, the predecessor firm to our investment advisor, in 2005. From February</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5"/>
              </w:rPr>
              <w:t>2007 to June 2011, Mr. Ross served as a member of the investment committee of Fidus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Mezzanine Capital GP, LLC, Fund I’s former general partner. From 2002 to 2005, Mr. Ross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1"/>
              </w:rPr>
              <w:t>was a managing director and the head of the Chicago office for Allied Capital Corporation, a</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publicly-traded business development company, where he focused on making debt and</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3"/>
              </w:rPr>
              <w:t>equity investments in middle-market companies. Prior to joining Allied Capital Corporation,</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rPr>
              <w:t>Mr. Ross co-founded Middle Market Capital, a merchant banking group of Wachovia</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0"/>
              </w:rPr>
              <w:t>Securities and its predecessor, First Union Securities, Inc., a retail brokerage and institutional</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8"/>
              </w:rPr>
              <w:t>capital markets and investment banking firm. Mr. Ross earned a bachelor of arts from</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3"/>
              </w:rPr>
              <w:t>Southern Methodist University and a master of business administration from the University</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1"/>
              </w:rPr>
              <w:t>of Notre Dame’s Mendoza College of Business. Mr. Ross is the brother of John J. Ross, II, a</w:t>
            </w: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rPr>
              <w:t>manager of our investment advisor and a member of its investment committee.</w:t>
            </w:r>
          </w:p>
        </w:tc>
      </w:tr>
      <w:tr>
        <w:trPr>
          <w:trHeight w:val="364"/>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Background Information</w:t>
            </w:r>
          </w:p>
        </w:tc>
        <w:tc>
          <w:tcPr>
            <w:tcW w:w="2580" w:type="dxa"/>
            <w:vAlign w:val="bottom"/>
          </w:tcPr>
          <w:p>
            <w:pPr>
              <w:spacing w:after="0"/>
              <w:rPr>
                <w:sz w:val="24"/>
                <w:szCs w:val="24"/>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Thomas C. Lauer</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420" w:type="dxa"/>
            <w:vAlign w:val="bottom"/>
          </w:tcPr>
          <w:p>
            <w:pPr>
              <w:spacing w:after="0"/>
              <w:rPr>
                <w:sz w:val="16"/>
                <w:szCs w:val="16"/>
                <w:color w:val="auto"/>
              </w:rPr>
            </w:pPr>
          </w:p>
        </w:tc>
        <w:tc>
          <w:tcPr>
            <w:tcW w:w="2960" w:type="dxa"/>
            <w:vAlign w:val="bottom"/>
          </w:tcPr>
          <w:p>
            <w:pPr>
              <w:ind w:left="380"/>
              <w:spacing w:after="0" w:line="195" w:lineRule="exact"/>
              <w:rPr>
                <w:sz w:val="20"/>
                <w:szCs w:val="20"/>
                <w:color w:val="auto"/>
              </w:rPr>
            </w:pPr>
            <w:r>
              <w:rPr>
                <w:rFonts w:ascii="Arial" w:cs="Arial" w:eastAsia="Arial" w:hAnsi="Arial"/>
                <w:sz w:val="18"/>
                <w:szCs w:val="18"/>
                <w:color w:val="auto"/>
                <w:w w:val="88"/>
              </w:rPr>
              <w:t>Mr. Lauer has served as our director</w:t>
            </w: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87"/>
              </w:rPr>
              <w:t>and as a member of</w:t>
            </w:r>
          </w:p>
        </w:tc>
        <w:tc>
          <w:tcPr>
            <w:tcW w:w="2580" w:type="dxa"/>
            <w:vAlign w:val="bottom"/>
          </w:tcPr>
          <w:p>
            <w:pPr>
              <w:spacing w:after="0" w:line="195" w:lineRule="exact"/>
              <w:rPr>
                <w:sz w:val="20"/>
                <w:szCs w:val="20"/>
                <w:color w:val="auto"/>
              </w:rPr>
            </w:pPr>
            <w:r>
              <w:rPr>
                <w:rFonts w:ascii="Arial" w:cs="Arial" w:eastAsia="Arial" w:hAnsi="Arial"/>
                <w:sz w:val="18"/>
                <w:szCs w:val="18"/>
                <w:color w:val="auto"/>
              </w:rPr>
              <w:t>our investment advisor’s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5"/>
              </w:rPr>
              <w:t>investment committees since our initial public offering in June 2011 and as our President</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7"/>
              </w:rPr>
              <w:t>since September 2016. Additionally, Mr. Lauer is a manager of our investment advisor.</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1"/>
              </w:rPr>
              <w:t>Mr. Lauer is an interested director due to his position with the investment advisor. Mr. Lauer</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has more than 25 years of experience investing debt and equity capital in lower middle-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0"/>
              </w:rPr>
              <w:t>market companies. Mr. Lauer was a managing partner of Fidus Partners, LLC, an investment</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8"/>
              </w:rPr>
              <w:t>banking firm, from 2008 to June 2011. From 2004 to 2008, Mr. Lauer was a managing</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5"/>
              </w:rPr>
              <w:t>director of Allied Capital Corporation, a publicly-traded business development company,</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and member of that firm’s Management Committee from 2006 to 2008, Private Finance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Investment Committee from 2005 to 2008,and Senior Debt Fund Investment Committee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6"/>
              </w:rPr>
              <w:t>from 2007 to 2008. Prior to joining Allied Capital Corporation, Mr. Lauer worked with the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1"/>
              </w:rPr>
              <w:t>Global Sponsor Finance Group of GE Capital, the financial services unit of General Electric,</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8"/>
              </w:rPr>
              <w:t>the Leveraged Capital Group at Wachovia Securities and its predecessor, First Union</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3"/>
              </w:rPr>
              <w:t>Securities, Inc., a retail brokerage and institutional capital markets and investment banking</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rPr>
              <w:t>firm, and the Platform Components Division of Intel Corporation. Mr. Lauer earned a</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9"/>
              </w:rPr>
              <w:t>bachelor of business administration from the University of Notre Dame and master of</w:t>
            </w: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00" w:type="dxa"/>
            <w:vAlign w:val="bottom"/>
            <w:gridSpan w:val="3"/>
          </w:tcPr>
          <w:p>
            <w:pPr>
              <w:ind w:left="380"/>
              <w:spacing w:after="0"/>
              <w:rPr>
                <w:sz w:val="20"/>
                <w:szCs w:val="20"/>
                <w:color w:val="auto"/>
              </w:rPr>
            </w:pPr>
            <w:r>
              <w:rPr>
                <w:rFonts w:ascii="Arial" w:cs="Arial" w:eastAsia="Arial" w:hAnsi="Arial"/>
                <w:sz w:val="18"/>
                <w:szCs w:val="18"/>
                <w:color w:val="auto"/>
                <w:w w:val="92"/>
              </w:rPr>
              <w:t>business administration from the University of Notre Dame’s Mendoza College of Business.</w:t>
            </w:r>
          </w:p>
        </w:tc>
      </w:tr>
    </w:tbl>
    <w:p>
      <w:pPr>
        <w:spacing w:after="0" w:line="134"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40"/>
          </w:cols>
          <w:pgMar w:left="320" w:top="459" w:right="4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Independent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14"/>
                <w:szCs w:val="14"/>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gridSpan w:val="2"/>
          </w:tcPr>
          <w:p>
            <w:pPr>
              <w:spacing w:after="0"/>
              <w:rPr>
                <w:sz w:val="14"/>
                <w:szCs w:val="14"/>
                <w:color w:val="auto"/>
              </w:rPr>
            </w:pPr>
          </w:p>
        </w:tc>
        <w:tc>
          <w:tcPr>
            <w:tcW w:w="2960" w:type="dxa"/>
            <w:vAlign w:val="bottom"/>
            <w:vMerge w:val="restart"/>
          </w:tcPr>
          <w:p>
            <w:pPr>
              <w:ind w:left="380"/>
              <w:spacing w:after="0"/>
              <w:rPr>
                <w:sz w:val="20"/>
                <w:szCs w:val="20"/>
                <w:color w:val="auto"/>
              </w:rPr>
            </w:pPr>
            <w:r>
              <w:rPr>
                <w:rFonts w:ascii="Arial" w:cs="Arial" w:eastAsia="Arial" w:hAnsi="Arial"/>
                <w:sz w:val="18"/>
                <w:szCs w:val="18"/>
                <w:color w:val="auto"/>
                <w:w w:val="88"/>
              </w:rPr>
              <w:t>Mr. Anstiss has served on our board</w:t>
            </w: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Background Information</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Raymond L. Anstiss, Jr.</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w w:val="71"/>
              </w:rPr>
              <w:t>54</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12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2"/>
              </w:rPr>
              <w:t>of directors since September 2011 and is the chairman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8"/>
              </w:rPr>
              <w:t>of our audit committee and a member of our nominating committee. Mr. Anstiss is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rPr>
              <w:t>President of Anstiss &amp; Co., an accounting, audit, tax and financial consulting firm</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2"/>
              </w:rPr>
              <w:t>headquartered in Lowell, Massachusetts. Prior to joining Anstiss &amp; Co. in 1993, Mr. Anstiss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1"/>
              </w:rPr>
              <w:t>served on the audit staff of KPMG Peat Marwick from 1988 to 1992. Mr. Anstiss has served</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rPr>
              <w:t>on the board of directors for several not-for-profit companies.</w:t>
            </w:r>
          </w:p>
        </w:tc>
        <w:tc>
          <w:tcPr>
            <w:tcW w:w="0" w:type="dxa"/>
            <w:vAlign w:val="bottom"/>
          </w:tcPr>
          <w:p>
            <w:pPr>
              <w:spacing w:after="0"/>
              <w:rPr>
                <w:sz w:val="1"/>
                <w:szCs w:val="1"/>
                <w:color w:val="auto"/>
              </w:rPr>
            </w:pPr>
          </w:p>
        </w:tc>
      </w:tr>
      <w:tr>
        <w:trPr>
          <w:trHeight w:val="364"/>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Background Information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Charles D. Hyman</w:t>
            </w:r>
          </w:p>
        </w:tc>
        <w:tc>
          <w:tcPr>
            <w:tcW w:w="40" w:type="dxa"/>
            <w:vAlign w:val="bottom"/>
          </w:tcPr>
          <w:p>
            <w:pPr>
              <w:spacing w:after="0"/>
              <w:rPr>
                <w:sz w:val="16"/>
                <w:szCs w:val="16"/>
                <w:color w:val="auto"/>
              </w:rPr>
            </w:pPr>
          </w:p>
        </w:tc>
        <w:tc>
          <w:tcPr>
            <w:tcW w:w="26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79"/>
              </w:rPr>
              <w:t>62</w:t>
            </w:r>
          </w:p>
        </w:tc>
        <w:tc>
          <w:tcPr>
            <w:tcW w:w="380" w:type="dxa"/>
            <w:vAlign w:val="bottom"/>
          </w:tcPr>
          <w:p>
            <w:pPr>
              <w:spacing w:after="0"/>
              <w:rPr>
                <w:sz w:val="16"/>
                <w:szCs w:val="16"/>
                <w:color w:val="auto"/>
              </w:rPr>
            </w:pPr>
          </w:p>
        </w:tc>
        <w:tc>
          <w:tcPr>
            <w:tcW w:w="2960" w:type="dxa"/>
            <w:vAlign w:val="bottom"/>
          </w:tcPr>
          <w:p>
            <w:pPr>
              <w:ind w:left="380"/>
              <w:spacing w:after="0" w:line="195" w:lineRule="exact"/>
              <w:rPr>
                <w:sz w:val="20"/>
                <w:szCs w:val="20"/>
                <w:color w:val="auto"/>
              </w:rPr>
            </w:pPr>
            <w:r>
              <w:rPr>
                <w:rFonts w:ascii="Arial" w:cs="Arial" w:eastAsia="Arial" w:hAnsi="Arial"/>
                <w:sz w:val="18"/>
                <w:szCs w:val="18"/>
                <w:color w:val="auto"/>
                <w:w w:val="88"/>
              </w:rPr>
              <w:t>Mr. Hyman has served on our board</w:t>
            </w:r>
          </w:p>
        </w:tc>
        <w:tc>
          <w:tcPr>
            <w:tcW w:w="1560" w:type="dxa"/>
            <w:vAlign w:val="bottom"/>
          </w:tcPr>
          <w:p>
            <w:pPr>
              <w:ind w:left="60"/>
              <w:spacing w:after="0" w:line="195" w:lineRule="exact"/>
              <w:rPr>
                <w:sz w:val="20"/>
                <w:szCs w:val="20"/>
                <w:color w:val="auto"/>
              </w:rPr>
            </w:pPr>
            <w:r>
              <w:rPr>
                <w:rFonts w:ascii="Arial" w:cs="Arial" w:eastAsia="Arial" w:hAnsi="Arial"/>
                <w:sz w:val="18"/>
                <w:szCs w:val="18"/>
                <w:color w:val="auto"/>
                <w:w w:val="88"/>
              </w:rPr>
              <w:t>of directors since our</w:t>
            </w:r>
          </w:p>
        </w:tc>
        <w:tc>
          <w:tcPr>
            <w:tcW w:w="2560" w:type="dxa"/>
            <w:vAlign w:val="bottom"/>
          </w:tcPr>
          <w:p>
            <w:pPr>
              <w:ind w:left="60"/>
              <w:spacing w:after="0" w:line="195" w:lineRule="exact"/>
              <w:rPr>
                <w:sz w:val="20"/>
                <w:szCs w:val="20"/>
                <w:color w:val="auto"/>
              </w:rPr>
            </w:pPr>
            <w:r>
              <w:rPr>
                <w:rFonts w:ascii="Arial" w:cs="Arial" w:eastAsia="Arial" w:hAnsi="Arial"/>
                <w:sz w:val="18"/>
                <w:szCs w:val="18"/>
                <w:color w:val="auto"/>
                <w:w w:val="93"/>
              </w:rPr>
              <w:t>initial public offering in June 2011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5"/>
              </w:rPr>
              <w:t>and is the chairman of our nominating committee and a member of our audit committee.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2"/>
              </w:rPr>
              <w:t>Mr. Hyman is the founder and chief executive officer of Charles D. Hyman &amp; Co., a private,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6"/>
              </w:rPr>
              <w:t>registered investment management firm located in Ponte Vedra Beach, Florida. Prior to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3"/>
              </w:rPr>
              <w:t>forming Charles D. Hyman &amp; Co. in 1994, Mr. Hyman served as a senior vice president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8"/>
              </w:rPr>
              <w:t>St. Johns Investment Management Company. Mr. Hyman has served on the board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4"/>
              </w:rPr>
              <w:t>directors for several not-for-profit companies and currently serves on the board of Patriot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rPr>
              <w:t>Transportation Holding, Inc. (NASDAQ: PATI).</w:t>
            </w:r>
          </w:p>
        </w:tc>
        <w:tc>
          <w:tcPr>
            <w:tcW w:w="0" w:type="dxa"/>
            <w:vAlign w:val="bottom"/>
          </w:tcPr>
          <w:p>
            <w:pPr>
              <w:spacing w:after="0"/>
              <w:rPr>
                <w:sz w:val="1"/>
                <w:szCs w:val="1"/>
                <w:color w:val="auto"/>
              </w:rPr>
            </w:pPr>
          </w:p>
        </w:tc>
      </w:tr>
      <w:tr>
        <w:trPr>
          <w:trHeight w:val="364"/>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Background Information</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Edward X. Tune</w:t>
            </w:r>
          </w:p>
        </w:tc>
        <w:tc>
          <w:tcPr>
            <w:tcW w:w="40" w:type="dxa"/>
            <w:vAlign w:val="bottom"/>
          </w:tcPr>
          <w:p>
            <w:pPr>
              <w:spacing w:after="0"/>
              <w:rPr>
                <w:sz w:val="16"/>
                <w:szCs w:val="16"/>
                <w:color w:val="auto"/>
              </w:rPr>
            </w:pPr>
          </w:p>
        </w:tc>
        <w:tc>
          <w:tcPr>
            <w:tcW w:w="26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79"/>
              </w:rPr>
              <w:t>51</w:t>
            </w:r>
          </w:p>
        </w:tc>
        <w:tc>
          <w:tcPr>
            <w:tcW w:w="380" w:type="dxa"/>
            <w:vAlign w:val="bottom"/>
          </w:tcPr>
          <w:p>
            <w:pPr>
              <w:spacing w:after="0"/>
              <w:rPr>
                <w:sz w:val="16"/>
                <w:szCs w:val="16"/>
                <w:color w:val="auto"/>
              </w:rPr>
            </w:pPr>
          </w:p>
        </w:tc>
        <w:tc>
          <w:tcPr>
            <w:tcW w:w="4520" w:type="dxa"/>
            <w:vAlign w:val="bottom"/>
            <w:gridSpan w:val="2"/>
          </w:tcPr>
          <w:p>
            <w:pPr>
              <w:ind w:left="380"/>
              <w:spacing w:after="0" w:line="195" w:lineRule="exact"/>
              <w:rPr>
                <w:sz w:val="20"/>
                <w:szCs w:val="20"/>
                <w:color w:val="auto"/>
              </w:rPr>
            </w:pPr>
            <w:r>
              <w:rPr>
                <w:rFonts w:ascii="Arial" w:cs="Arial" w:eastAsia="Arial" w:hAnsi="Arial"/>
                <w:sz w:val="18"/>
                <w:szCs w:val="18"/>
                <w:color w:val="auto"/>
                <w:w w:val="87"/>
              </w:rPr>
              <w:t>Mr. Tune has served on our board of directors since March</w:t>
            </w:r>
          </w:p>
        </w:tc>
        <w:tc>
          <w:tcPr>
            <w:tcW w:w="2560" w:type="dxa"/>
            <w:vAlign w:val="bottom"/>
          </w:tcPr>
          <w:p>
            <w:pPr>
              <w:ind w:left="140"/>
              <w:spacing w:after="0" w:line="195" w:lineRule="exact"/>
              <w:rPr>
                <w:sz w:val="20"/>
                <w:szCs w:val="20"/>
                <w:color w:val="auto"/>
              </w:rPr>
            </w:pPr>
            <w:r>
              <w:rPr>
                <w:rFonts w:ascii="Arial" w:cs="Arial" w:eastAsia="Arial" w:hAnsi="Arial"/>
                <w:sz w:val="18"/>
                <w:szCs w:val="18"/>
                <w:color w:val="auto"/>
              </w:rPr>
              <w:t>2019 and is a member of our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4"/>
              </w:rPr>
              <w:t>audit committee and our nominating committee. Mr. Tune is a Partner of Brown Advisory,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4"/>
              </w:rPr>
              <w:t>an investment management firm with offices in North America, Europe, and Asia. Prior to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5"/>
              </w:rPr>
              <w:t>joining Brown Advisory, Mr. Tune was a Managing Director at Brown Brothers Harriman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7"/>
              </w:rPr>
              <w:t>(BBH) where for 14 years he served in a variety of client-facing and leadership roles in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7"/>
              </w:rPr>
              <w:t>Charlotte and Chicago including Chief Operating Officer and Chief Financial Officer for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6"/>
              </w:rPr>
              <w:t>BBH’s wealth management unit. Prior to that, Mr. Tune served as a Vice President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1"/>
              </w:rPr>
              <w:t>investment advisor with Stein Roe &amp; Farnham in Chicago for 8 years. Mr. Tune brings to the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rPr>
              <w:t>board of directors extensive investment management experience.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EXECUTIVE OFFICER WHO IS NOT A DIRECTOR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biography of our executive officer, Shelby E. Sherard, who is not a director of the Company.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Background Information</w:t>
            </w:r>
          </w:p>
        </w:tc>
        <w:tc>
          <w:tcPr>
            <w:tcW w:w="2560" w:type="dxa"/>
            <w:vAlign w:val="bottom"/>
          </w:tcPr>
          <w:p>
            <w:pPr>
              <w:spacing w:after="0"/>
              <w:rPr>
                <w:sz w:val="14"/>
                <w:szCs w:val="14"/>
                <w:color w:val="auto"/>
              </w:rPr>
            </w:pPr>
          </w:p>
        </w:tc>
      </w:tr>
      <w:tr>
        <w:trPr>
          <w:trHeight w:val="195"/>
        </w:trPr>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Shelby E. Sherard</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420" w:type="dxa"/>
            <w:vAlign w:val="bottom"/>
          </w:tcPr>
          <w:p>
            <w:pPr>
              <w:spacing w:after="0"/>
              <w:rPr>
                <w:sz w:val="16"/>
                <w:szCs w:val="16"/>
                <w:color w:val="auto"/>
              </w:rPr>
            </w:pPr>
          </w:p>
        </w:tc>
        <w:tc>
          <w:tcPr>
            <w:tcW w:w="2960" w:type="dxa"/>
            <w:vAlign w:val="bottom"/>
          </w:tcPr>
          <w:p>
            <w:pPr>
              <w:ind w:left="380"/>
              <w:spacing w:after="0" w:line="195" w:lineRule="exact"/>
              <w:rPr>
                <w:sz w:val="20"/>
                <w:szCs w:val="20"/>
                <w:color w:val="auto"/>
              </w:rPr>
            </w:pPr>
            <w:r>
              <w:rPr>
                <w:rFonts w:ascii="Arial" w:cs="Arial" w:eastAsia="Arial" w:hAnsi="Arial"/>
                <w:sz w:val="18"/>
                <w:szCs w:val="18"/>
                <w:color w:val="auto"/>
                <w:w w:val="87"/>
              </w:rPr>
              <w:t>Shelby E. Sherard has served as our</w:t>
            </w:r>
          </w:p>
        </w:tc>
        <w:tc>
          <w:tcPr>
            <w:tcW w:w="1560" w:type="dxa"/>
            <w:vAlign w:val="bottom"/>
          </w:tcPr>
          <w:p>
            <w:pPr>
              <w:ind w:left="60"/>
              <w:spacing w:after="0" w:line="195" w:lineRule="exact"/>
              <w:rPr>
                <w:sz w:val="20"/>
                <w:szCs w:val="20"/>
                <w:color w:val="auto"/>
              </w:rPr>
            </w:pPr>
            <w:r>
              <w:rPr>
                <w:rFonts w:ascii="Arial" w:cs="Arial" w:eastAsia="Arial" w:hAnsi="Arial"/>
                <w:sz w:val="18"/>
                <w:szCs w:val="18"/>
                <w:color w:val="auto"/>
                <w:w w:val="90"/>
              </w:rPr>
              <w:t>chief financial officer</w:t>
            </w:r>
          </w:p>
        </w:tc>
        <w:tc>
          <w:tcPr>
            <w:tcW w:w="2560" w:type="dxa"/>
            <w:vAlign w:val="bottom"/>
          </w:tcPr>
          <w:p>
            <w:pPr>
              <w:ind w:left="100"/>
              <w:spacing w:after="0" w:line="195" w:lineRule="exact"/>
              <w:rPr>
                <w:sz w:val="20"/>
                <w:szCs w:val="20"/>
                <w:color w:val="auto"/>
              </w:rPr>
            </w:pPr>
            <w:r>
              <w:rPr>
                <w:rFonts w:ascii="Arial" w:cs="Arial" w:eastAsia="Arial" w:hAnsi="Arial"/>
                <w:sz w:val="18"/>
                <w:szCs w:val="18"/>
                <w:color w:val="auto"/>
              </w:rPr>
              <w:t>and secretary since joining the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1"/>
              </w:rPr>
              <w:t>Company on June 2, 2014 and chief compliance officer since August 11, 2014. Ms. Sherard</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0"/>
              </w:rPr>
              <w:t>has more than 25 years of finance experience most recently as a financial officer at Prologis,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2"/>
              </w:rPr>
              <w:t>Inc., a leading owner, operator and developer of industrial real estate, first serving as Chief</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3"/>
              </w:rPr>
              <w:t>Financial Officer, Americas, and then overseeing the U.S. tax department. Previously, she</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3"/>
              </w:rPr>
              <w:t>served as the Finance Director for Chicago Union Station Development Company, LLC, a</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9"/>
              </w:rPr>
              <w:t>real estate development company. From 2005 through 2006, Ms. Sherard served as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2"/>
              </w:rPr>
              <w:t>Executive Vice President and Chief Financial Officer of Grubb &amp; Ellis Company, a publicly-</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2"/>
              </w:rPr>
              <w:t>traded real estate services company. From 2002 through 2005, Ms. Sherard was the Chief</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8"/>
              </w:rPr>
              <w:t>Financial Officer and Senior Vice President of SiteStuff, Inc., a procurement solutions</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9"/>
              </w:rPr>
              <w:t>provider for the commercial real estate industry. Ms. Sherard is a CPA and earned a</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3"/>
              </w:rPr>
              <w:t>bachelor’s degree from Northwestern University, a master of business administration from</w:t>
            </w: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w w:val="96"/>
              </w:rPr>
              <w:t>the University of Pennsylvania’s Wharton School and a master’s degree in tax from the</w:t>
            </w: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80" w:type="dxa"/>
            <w:vAlign w:val="bottom"/>
            <w:gridSpan w:val="3"/>
          </w:tcPr>
          <w:p>
            <w:pPr>
              <w:ind w:left="380"/>
              <w:spacing w:after="0"/>
              <w:rPr>
                <w:sz w:val="20"/>
                <w:szCs w:val="20"/>
                <w:color w:val="auto"/>
              </w:rPr>
            </w:pPr>
            <w:r>
              <w:rPr>
                <w:rFonts w:ascii="Arial" w:cs="Arial" w:eastAsia="Arial" w:hAnsi="Arial"/>
                <w:sz w:val="18"/>
                <w:szCs w:val="18"/>
                <w:color w:val="auto"/>
              </w:rPr>
              <w:t>University of Illinois.</w:t>
            </w:r>
          </w:p>
        </w:tc>
      </w:tr>
      <w:tr>
        <w:trPr>
          <w:trHeight w:val="364"/>
        </w:trPr>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ind w:left="1440"/>
              <w:spacing w:after="0"/>
              <w:rPr>
                <w:sz w:val="20"/>
                <w:szCs w:val="20"/>
                <w:color w:val="auto"/>
              </w:rPr>
            </w:pPr>
            <w:r>
              <w:rPr>
                <w:rFonts w:ascii="Arial" w:cs="Arial" w:eastAsia="Arial" w:hAnsi="Arial"/>
                <w:sz w:val="18"/>
                <w:szCs w:val="18"/>
                <w:color w:val="auto"/>
              </w:rPr>
              <w:t>124</w:t>
            </w:r>
          </w:p>
        </w:tc>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Board Committees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of directors has established the audit committee and nominating and corporate governance committee (“nominating committee”). The Company does not have a separate compensation committee because its executive officers do not receive any direct compensation from the Company; however, the audit committee has been charged with carrying out the duties that would typically be addressed by a compensation committee. During 2020, the board of directors held ten meetings, the audit committee held nine meetings and the nominating committee held two meetings. The Company encourages, but does not require, the directors to attend the Company’s annual meeting of its stockholders. During 2020, all of our current directors attended 100% of the aggregate number of meetings of the board of directors and of the respective committees on which they served. All of our directors attended the 2020 annual meeting.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board of directors monitors and performs an oversight role with respect to the business and affairs of the Company. Among other things, the board of directors approves the appointment of our investment advisor, administrator and officers, reviews and monitors the services and activities performed by our investment advisor, administrator and officers, approves annually the renewal of any investment advisory agreement with our investment advisor and approves the engagement, and reviews the performance of, the Company’s independent registered public accounting firm.</w:t>
      </w:r>
    </w:p>
    <w:p>
      <w:pPr>
        <w:spacing w:after="0" w:line="15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the bylaws, the board of directors may designate a chairman to preside over the meetings of the board of directors and meetings of the stockholders and to perform such other duties as may be assigned to him by the board of directors. The Company does not have a fixed policy as to whether the chairman of the board of directors should be an independent director and believes that its flexibility to select its chairman and reorganize its leadership structure from time to time is in the best interests of the Company and its stockholders.</w:t>
      </w:r>
    </w:p>
    <w:p>
      <w:pPr>
        <w:spacing w:after="0" w:line="17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Presently, Mr. Ross serves as the chairman of the board of directors. Mr. Ross is an interested director because he is the Chief Executive Officer of the Company, serves on our investment advisor’s investment committee and is a manager of our investment advisor. The Company believes that</w:t>
      </w:r>
    </w:p>
    <w:p>
      <w:pPr>
        <w:ind w:left="120" w:right="100"/>
        <w:spacing w:after="0" w:line="273" w:lineRule="auto"/>
        <w:rPr>
          <w:sz w:val="20"/>
          <w:szCs w:val="20"/>
          <w:color w:val="auto"/>
        </w:rPr>
      </w:pPr>
      <w:r>
        <w:rPr>
          <w:rFonts w:ascii="Arial" w:cs="Arial" w:eastAsia="Arial" w:hAnsi="Arial"/>
          <w:sz w:val="17"/>
          <w:szCs w:val="17"/>
          <w:color w:val="auto"/>
        </w:rPr>
        <w:t>Mr. Ross’s history with the Company, familiarity with the Fidus investment platform and extensive experience in the management of private equity and debt investments qualifies him to serve as chairman of the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board of directors does not have a lead independent director. We are aware of the potential conflicts that may arise when a non-independent director is Chairman of the board of directors,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and compensation committee and a nominating committee, each of which is comprised solely of independent directors, and the appointment of a Chief Compliance Officer, with whom the independent directors meet without the presence of interested directors and other members of management, for administering our compliance policies and procedures. Additionally, Mr. Anstiss, an independent director and the chairman of the audit committee, acts as a liaison between the independent directors and management between meetings of our board of directors and presides over regular executive sessions of the board of directors.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Specifically, the board of directors believes that the relationship of Messrs. Ross and Lauer with our Adviser provides an effective bridge between the board of directors and management, and encourages an open dialogue between management and our board of directors, ensuring that these groups act with a common purpose.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board of directors performs its risk oversight function primarily through (a) its two standing committees, which report to the entire board of directors and are comprised solely of independent directors and (b) monitoring by the Company’s Chief Compliance Officer in accordance with its compliance policies and procedures.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described below in more detail under “Audit and Compensation Committee” and “Nominating and Corporate Governance Committee,” the audit committee and the nominating committee assist the board of directors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and discussing with management the Company’s major financial risk exposures and the steps management has taken to monitor and control such exposures, including the Company’s risk assessment and risk management policies. The nominating committee’s risk oversight responsibilities include selecting, researching and nominating directors for election by the Company’s stockholders, developing and recommending to the board of directors a set of corporate governance principles and overseeing the evaluation of the board of directors and its committees. Both the audit committee and the nominating committee consist solely of independent directors.</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board of directors is assisted in its risk oversight responsibilities by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w:t>
      </w:r>
    </w:p>
    <w:p>
      <w:pPr>
        <w:spacing w:after="0" w:line="165"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The Company believes that the board of directors’ role in risk oversight is effective and appropriate given the extensive regulation to which it is already subject as a BDC. Specifically, as a BDC, the Company must comply with certain regulatory requirements that control the levels of risk in its business and operations. For example, the Company’s ability to incur indebtedness is limited such that its asset coverage must equal at least 150% immediately after each time it incurs indebtedness and the Company generally has to invest at least 70% of its total assets in “qualifying assets” as described in section 55 of the 1940 Act. In addition, the Company has elected to be treated as a regulated investment company, or RIC, under Subchapter M of the Internal Revenue Code of 1986, as amended. As a RIC, the Company must, among other things, meet certain income source and asset diversification requirements.</w:t>
      </w:r>
    </w:p>
    <w:p>
      <w:pPr>
        <w:spacing w:after="0" w:line="19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Company believes that the board of directors’ existing role in risk oversight is appropriate. However, the Company reexamines the manner in which the board of directors administers its oversight function on an ongoing basis to ensure that it continues to meet the Company’s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and Compensation Committee</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The members of the audit committee are Messrs. Anstiss, Hyman and Tune,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Arial" w:cs="Arial" w:eastAsia="Arial" w:hAnsi="Arial"/>
          <w:sz w:val="18"/>
          <w:szCs w:val="18"/>
          <w:i w:val="1"/>
          <w:iCs w:val="1"/>
          <w:color w:val="auto"/>
        </w:rPr>
        <w:t>http://investor.fdus.com/governance.cfm</w:t>
      </w:r>
      <w:r>
        <w:rPr>
          <w:rFonts w:ascii="Arial" w:cs="Arial" w:eastAsia="Arial" w:hAnsi="Arial"/>
          <w:sz w:val="18"/>
          <w:szCs w:val="18"/>
          <w:color w:val="auto"/>
        </w:rPr>
        <w:t>.</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board of directors has determined that Mr. Anstiss is an “audit committee financial expert” within the meaning of the rules of the SEC. Mr. Anstiss acquired his financial expertise from his education and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 Mr. Anstiss has consented to be named as an audit committee financial expert.</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Because the audit committee is charged with approving our related-party transactions, the board of directors has determined not to create a separate compensation committee and instead has charged the audit committee with overseeing amounts payable to our advisor pursuant to the Advisory Agreement and the Administration Agreement, and making a recommendation to the board of directors with respect to the Board of Director’s approval (including the approval of a majority of the directors who are not “interested persons” of the Company within the meaning of Section 2(a)(19) of the 1940 Act, as amended) of the renewal of the Advisory Agreement and the Administration Agreement.</w:t>
      </w:r>
    </w:p>
    <w:p>
      <w:pPr>
        <w:spacing w:after="0" w:line="176"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 xml:space="preserve">The board of directors has determined not to create a separate compensation committee charter and instead has included applicable compensation charter provisions in the charter of the audit committee, which is available on our website at </w:t>
      </w:r>
      <w:r>
        <w:rPr>
          <w:rFonts w:ascii="Arial" w:cs="Arial" w:eastAsia="Arial" w:hAnsi="Arial"/>
          <w:sz w:val="16"/>
          <w:szCs w:val="16"/>
          <w:i w:val="1"/>
          <w:iCs w:val="1"/>
          <w:u w:val="single" w:color="auto"/>
          <w:color w:val="auto"/>
        </w:rPr>
        <w:t>http://investor.fdus.com/governance.cfm</w:t>
      </w:r>
      <w:r>
        <w:rPr>
          <w:rFonts w:ascii="Arial" w:cs="Arial" w:eastAsia="Arial" w:hAnsi="Arial"/>
          <w:sz w:val="16"/>
          <w:szCs w:val="16"/>
          <w:color w:val="auto"/>
        </w:rPr>
        <w:t>. The audit committee charter sets forth the responsibilities of a compensation committee, including overseeing the Company’s compensation policies, evaluating executive officer performance and reviewing and approving the compensation, if any, by the Company of its executive officers.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reviewing and approving the compensation, if any, by the Company for each of the Company’s executive officers, the audit committee will, among other things, consider corporate goals and objectives relevant to executive officer compensation, evaluate each executive officer’s performance in light of such goals and objectives, and set each executive officer’s compensation based on such evaluation and such other factors as the audit committee deems appropriate and in the best interests of the Company (including the cost to the Company of such compensation). Notwithstanding the foregoing, currently none of the Company’s executive officers are directly compensated by the Company.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Committee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The members of the nominating committee are Messrs. Anstiss, Hyman and Tune, each of whom is not an interested person and is otherwise independent for purposes of the 1940 Act and Nasdaq’s corporate governance regulations. Mr. Hyman currently serves as chairman of the nominating committee. The board of directors has adopted a charter for the nominating committee, which is available on the Company’s website at </w:t>
      </w:r>
      <w:r>
        <w:rPr>
          <w:rFonts w:ascii="Arial" w:cs="Arial" w:eastAsia="Arial" w:hAnsi="Arial"/>
          <w:sz w:val="18"/>
          <w:szCs w:val="18"/>
          <w:i w:val="1"/>
          <w:iCs w:val="1"/>
          <w:u w:val="single" w:color="auto"/>
          <w:color w:val="auto"/>
        </w:rPr>
        <w:t>http://investor.fdus.com/governance.cfm</w:t>
      </w:r>
      <w:r>
        <w:rPr>
          <w:rFonts w:ascii="Arial" w:cs="Arial" w:eastAsia="Arial" w:hAnsi="Arial"/>
          <w:sz w:val="18"/>
          <w:szCs w:val="18"/>
          <w:i w:val="1"/>
          <w:iCs w:val="1"/>
          <w:color w:val="auto"/>
        </w:rPr>
        <w:t>.</w:t>
      </w:r>
    </w:p>
    <w:p>
      <w:pPr>
        <w:spacing w:after="0" w:line="18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nominating committee is responsible for selecting, researching and nominating directors for election by the Company’s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w:t>
      </w:r>
    </w:p>
    <w:p>
      <w:pPr>
        <w:spacing w:after="0" w:line="14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nominating committee identifies potential nominees based on suggestions from members of the nominating committee, other members of the board of directors, other executive officers and by other means, and evaluates such persons as a committee. The nominating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w:t>
      </w:r>
    </w:p>
    <w:p>
      <w:pPr>
        <w:spacing w:after="0" w:line="18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considering which persons to nominate as directors for election by stockholders, the board of directors and its nominating committee consider the experience, qualifications, attributes and skills of candidates, in light of the Company’s then existing business and structure. Additionally, the committee generally will hire an outside firm to perform a background check on potential nominees. On an annual basis, the nominating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committee has adopted a policy that it will seek to enhance the perspectives and experiences of the members of the board of directors through diversity in gender, ethnic background, geographic origin and professional experience. The nominating committee recommends to the board of directors for its approval the slate of directors to be nominated for election at the annual meeting of the Company’s stockholders. The board of directors and its nominating committee periodically review board composition and the policies with respect thereto and as part of this review, the nominating committee evaluates the effectiveness of its policies, including the provisions with respect to diversity.</w:t>
      </w:r>
    </w:p>
    <w:p>
      <w:pPr>
        <w:spacing w:after="0" w:line="16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considering possible candidates for nomination as a director, the nominating committee takes into account, in addition to such other factors as it deems relevant, the desirability of selecting directors who:</w:t>
      </w:r>
    </w:p>
    <w:p>
      <w:pPr>
        <w:spacing w:after="0" w:line="76"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have strength of character;</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have mature judgment;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have industry knowledge or experience;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have an ability to work collegially with the other members of the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nominating committee also considers all applicable legal and regulatory requirements that govern the composition of the board of directors.</w:t>
      </w:r>
    </w:p>
    <w:p>
      <w:pPr>
        <w:spacing w:after="0" w:line="248"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All nominees properly submitted to the Company (or which the nominating committee otherwise elects to consider) will be evaluated and considered by the members of the nominating committee using the same criteria as nominees identified by the nominating committee itself.</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Between Stockholders and the Board of Directors</w:t>
      </w:r>
    </w:p>
    <w:p>
      <w:pPr>
        <w:spacing w:after="0" w:line="12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Stockholders with questions about Fidus Investment Corporation are encouraged to contact Shelby E. Sherard at Fidus Investment Corporation, 1603 Orrington Avenue, Suite 1005, Evanston, Illinois 60201. In addition, if stockholders feel their questions have not been addressed, they may communicate with our board of directors by sending their communications to: Fidus Investment Corporation, board of directors, c/o Edward H. Ross at the address listed above. In addition, stockholders may communicate with the board of directors by clicking “Contact the Board” on the Investor Relations section of our website at the following URL: </w:t>
      </w:r>
      <w:r>
        <w:rPr>
          <w:rFonts w:ascii="Arial" w:cs="Arial" w:eastAsia="Arial" w:hAnsi="Arial"/>
          <w:sz w:val="16"/>
          <w:szCs w:val="16"/>
          <w:i w:val="1"/>
          <w:iCs w:val="1"/>
          <w:u w:val="single" w:color="auto"/>
          <w:color w:val="auto"/>
        </w:rPr>
        <w:t>http://investor.fdus.com/contactBoard.com</w:t>
      </w:r>
      <w:r>
        <w:rPr>
          <w:rFonts w:ascii="Arial" w:cs="Arial" w:eastAsia="Arial" w:hAnsi="Arial"/>
          <w:sz w:val="16"/>
          <w:szCs w:val="16"/>
          <w:i w:val="1"/>
          <w:iCs w:val="1"/>
          <w:color w:val="auto"/>
        </w:rPr>
        <w:t>.</w:t>
      </w:r>
      <w:r>
        <w:rPr>
          <w:rFonts w:ascii="Arial" w:cs="Arial" w:eastAsia="Arial" w:hAnsi="Arial"/>
          <w:sz w:val="16"/>
          <w:szCs w:val="16"/>
          <w:color w:val="auto"/>
        </w:rPr>
        <w:t xml:space="preserve"> Communications are distributed to the board of directors as appropriate, depending on the facts and circumstances outlined 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Sessions and Communication with the Board of Directors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independent directors serving on our board of directors intend to meet in executive sessions at the conclusion of each regularly scheduled meeting of the board of directors, and additionally as needed, without the presence of any directors or other persons who are part of the Company’s management. These executive sessions of our board of directors will be presided over by Mr. Anstiss or one of the other independent directors serving on the board of directors selected on an ad-hoc basis.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Corporate Governance Guidelines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The Company has adopted a code of ethics (which we call our “Code of Business Conduct”) which all officers, directors and employees of the Company and its investment advisor are expected to observe. The Company intends to disclose any amendments to or waivers of required provisions of the Code of Business Conduct on the Company’s website. The Company also has adopted corporate governance guidelines (which we call our “Corporate Governance Guidelines”) which apply to our board of directors. The Company’s Code of Business Conduct and Corporate Governance Guidelines can be accessed via the Company’s website at </w:t>
      </w:r>
      <w:r>
        <w:rPr>
          <w:rFonts w:ascii="Arial" w:cs="Arial" w:eastAsia="Arial" w:hAnsi="Arial"/>
          <w:sz w:val="17"/>
          <w:szCs w:val="17"/>
          <w:i w:val="1"/>
          <w:iCs w:val="1"/>
          <w:u w:val="single" w:color="auto"/>
          <w:color w:val="auto"/>
        </w:rPr>
        <w:t>http://investor.fdus.com/governance.cfm</w:t>
      </w:r>
      <w:r>
        <w:rPr>
          <w:rFonts w:ascii="Arial" w:cs="Arial" w:eastAsia="Arial" w:hAnsi="Arial"/>
          <w:sz w:val="17"/>
          <w:szCs w:val="17"/>
          <w:color w:val="auto"/>
        </w:rPr>
        <w:t>. We will also provide any person, without charge, upon request, a copy of our Code of Business Conduct or Corporate Governance Guidelines. To receive a copy of either or both documents, please provide a written request to: Fidus Investment Corporation, Attn: Shelby E. Sherard, Chief Compliance Officer, 1603 Orrington Avenue, Suite 1005, Evanston, Illinois 60201.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executive officers do not receive any direct compensation from us. We do not currently have any employees and currently do not expect to have any employees. Services necessary for our business are provided by individuals who are employees or other affiliates of our investment advisor, pursuant to the terms of our Investment Advisory Agreement and our administration agreement. Each of our executive officers is an employee or other affiliate of our investment advisor. Our day-to-day investment operations are managed by our investment advisor. All of the services necessary for the origination and administration of our investment portfolio are provided by investment professionals employed by our investment advisor. In addition, we reimburse our investment advisor, as administrator, for its allocable portion of expenses incurred by it in performing its obligations under the administration agreement, including its allocable portion of the cost related to certain of our officers and their respective staffs, and for certain expenses under the administration agreement.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Investment Advisory Agreement, our investment advisor earned and was paid approximately $21.5 million in fees for the year ended December 31, 2020, consisting of a base management fee of $12.9 million and an income incentive fee of $8.6 million. For the year ended December 31, 2020, we accrued, but did not receive, $1.7 million of capital gains incentive fees reversed in accordance with generally accepted accounting principles. During 2020, our investment advisor incurred approximately $1.7 million of allocable expenses that are payable by the Company under the administration agreement.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DIRECTOR COMPENSATION TABLE</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shows information regarding the compensation received by the Company’s directors, none of whom is an employee of the Company, for the fiscal year ended December 31, 2020.</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60" w:type="dxa"/>
            <w:vAlign w:val="bottom"/>
            <w:vMerge w:val="restart"/>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98"/>
              </w:rPr>
              <w:t>Fees Earned or Paid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Cash</w:t>
            </w: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Raymond L. Anstiss, Jr.</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105,000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D. Hyman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100,000</w:t>
            </w: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Edward X. Tune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Edward H. Ross</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Thomas C. Lauer</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a discussion of the independent directors’ compensation, see below.</w:t>
      </w:r>
    </w:p>
    <w:p>
      <w:pPr>
        <w:spacing w:after="0" w:line="22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independent directors receive an annual fee of $60,000. They receive $5,000 plus reimbursement of reasonable and authorized business expenses incurred in connection with attending each regularly scheduled board of directors meeting which consists of quarterly meetings and a meeting held in conjunction with the annual shareholders meeting. In addition, the chairperson of the audit committee receives an additional annual fee of $10,000 and the chairperson of the nominating committee receives an additional annual fee of $5,000 for his or her additional services in these capacities. They also receive $2,500 per each additional audit committee meeting to review quarterly investment valuations.</w:t>
      </w:r>
    </w:p>
    <w:p>
      <w:pPr>
        <w:spacing w:after="0" w:line="16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No compensation is paid by the Company to interested directors. No information has been provided with respect to executive officers of the Company who are not directors since its executive officers do not receive any direct compensation from the Company.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February 23, 2021 by each of our executive officers and independent directors and all of our directors and executive officers as a group. As of February 23, 2021, we are not aware of any five percent beneficial owners of our common stock.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February 23, 2021. Percentage of beneficial ownership is based on 24,437,400 shares of common stock outstanding as of February 23, 2021.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3"/>
            <w:vMerge w:val="restart"/>
          </w:tcPr>
          <w:p>
            <w:pPr>
              <w:jc w:val="center"/>
              <w:ind w:left="99"/>
              <w:spacing w:after="0"/>
              <w:rPr>
                <w:sz w:val="20"/>
                <w:szCs w:val="20"/>
                <w:color w:val="auto"/>
              </w:rPr>
            </w:pPr>
            <w:r>
              <w:rPr>
                <w:rFonts w:ascii="Arial" w:cs="Arial" w:eastAsia="Arial" w:hAnsi="Arial"/>
                <w:sz w:val="14"/>
                <w:szCs w:val="14"/>
                <w:b w:val="1"/>
                <w:bCs w:val="1"/>
                <w:color w:val="auto"/>
                <w:w w:val="95"/>
              </w:rPr>
              <w:t>Dollar Range of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vMerge w:val="restart"/>
          </w:tcPr>
          <w:p>
            <w:pPr>
              <w:jc w:val="center"/>
              <w:ind w:left="233"/>
              <w:spacing w:after="0"/>
              <w:rPr>
                <w:sz w:val="20"/>
                <w:szCs w:val="20"/>
                <w:color w:val="auto"/>
              </w:rPr>
            </w:pPr>
            <w:r>
              <w:rPr>
                <w:rFonts w:ascii="Arial" w:cs="Arial" w:eastAsia="Arial" w:hAnsi="Arial"/>
                <w:sz w:val="14"/>
                <w:szCs w:val="14"/>
                <w:b w:val="1"/>
                <w:bCs w:val="1"/>
                <w:color w:val="auto"/>
                <w:w w:val="90"/>
              </w:rPr>
              <w:t>Percentage</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860" w:type="dxa"/>
            <w:vAlign w:val="bottom"/>
            <w:gridSpan w:val="2"/>
          </w:tcPr>
          <w:p>
            <w:pPr>
              <w:jc w:val="center"/>
              <w:ind w:left="105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Securities Beneficially</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xml:space="preserve">Owned </w:t>
            </w:r>
            <w:r>
              <w:rPr>
                <w:rFonts w:ascii="Arial" w:cs="Arial" w:eastAsia="Arial" w:hAnsi="Arial"/>
                <w:sz w:val="12"/>
                <w:szCs w:val="12"/>
                <w:b w:val="1"/>
                <w:bCs w:val="1"/>
                <w:color w:val="auto"/>
                <w:w w:val="94"/>
              </w:rPr>
              <w:t>(1)</w:t>
            </w:r>
          </w:p>
        </w:tc>
        <w:tc>
          <w:tcPr>
            <w:tcW w:w="34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of Class</w:t>
            </w:r>
          </w:p>
        </w:tc>
        <w:tc>
          <w:tcPr>
            <w:tcW w:w="240" w:type="dxa"/>
            <w:vAlign w:val="bottom"/>
          </w:tcPr>
          <w:p>
            <w:pPr>
              <w:spacing w:after="0"/>
              <w:rPr>
                <w:sz w:val="13"/>
                <w:szCs w:val="13"/>
                <w:color w:val="auto"/>
              </w:rPr>
            </w:pP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Edward H. Ross</w:t>
            </w:r>
          </w:p>
        </w:tc>
        <w:tc>
          <w:tcPr>
            <w:tcW w:w="1860" w:type="dxa"/>
            <w:vAlign w:val="bottom"/>
            <w:gridSpan w:val="2"/>
          </w:tcPr>
          <w:p>
            <w:pPr>
              <w:jc w:val="center"/>
              <w:ind w:left="1113"/>
              <w:spacing w:after="0"/>
              <w:rPr>
                <w:sz w:val="20"/>
                <w:szCs w:val="20"/>
                <w:color w:val="auto"/>
              </w:rPr>
            </w:pPr>
            <w:r>
              <w:rPr>
                <w:rFonts w:ascii="Arial" w:cs="Arial" w:eastAsia="Arial" w:hAnsi="Arial"/>
                <w:sz w:val="18"/>
                <w:szCs w:val="18"/>
                <w:color w:val="auto"/>
                <w:w w:val="89"/>
              </w:rPr>
              <w:t>177,788</w:t>
            </w:r>
          </w:p>
        </w:tc>
        <w:tc>
          <w:tcPr>
            <w:tcW w:w="1040" w:type="dxa"/>
            <w:vAlign w:val="bottom"/>
            <w:gridSpan w:val="2"/>
          </w:tcPr>
          <w:p>
            <w:pPr>
              <w:jc w:val="center"/>
              <w:ind w:left="3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C. Lauer</w:t>
            </w:r>
          </w:p>
        </w:tc>
        <w:tc>
          <w:tcPr>
            <w:tcW w:w="1860" w:type="dxa"/>
            <w:vAlign w:val="bottom"/>
            <w:gridSpan w:val="2"/>
            <w:shd w:val="clear" w:color="auto" w:fill="CCEEFF"/>
          </w:tcPr>
          <w:p>
            <w:pPr>
              <w:jc w:val="center"/>
              <w:ind w:left="1113"/>
              <w:spacing w:after="0"/>
              <w:rPr>
                <w:sz w:val="20"/>
                <w:szCs w:val="20"/>
                <w:color w:val="auto"/>
              </w:rPr>
            </w:pPr>
            <w:r>
              <w:rPr>
                <w:rFonts w:ascii="Arial" w:cs="Arial" w:eastAsia="Arial" w:hAnsi="Arial"/>
                <w:sz w:val="18"/>
                <w:szCs w:val="18"/>
                <w:color w:val="auto"/>
                <w:w w:val="90"/>
              </w:rPr>
              <w:t>81,600</w:t>
            </w:r>
          </w:p>
        </w:tc>
        <w:tc>
          <w:tcPr>
            <w:tcW w:w="10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L. Anstiss, Jr.</w:t>
            </w:r>
          </w:p>
        </w:tc>
        <w:tc>
          <w:tcPr>
            <w:tcW w:w="1860" w:type="dxa"/>
            <w:vAlign w:val="bottom"/>
            <w:gridSpan w:val="2"/>
            <w:shd w:val="clear" w:color="auto" w:fill="CCEEFF"/>
          </w:tcPr>
          <w:p>
            <w:pPr>
              <w:jc w:val="center"/>
              <w:ind w:left="1113"/>
              <w:spacing w:after="0"/>
              <w:rPr>
                <w:sz w:val="20"/>
                <w:szCs w:val="20"/>
                <w:color w:val="auto"/>
              </w:rPr>
            </w:pPr>
            <w:r>
              <w:rPr>
                <w:rFonts w:ascii="Arial" w:cs="Arial" w:eastAsia="Arial" w:hAnsi="Arial"/>
                <w:sz w:val="18"/>
                <w:szCs w:val="18"/>
                <w:color w:val="auto"/>
                <w:w w:val="90"/>
              </w:rPr>
              <w:t>25,896</w:t>
            </w:r>
          </w:p>
        </w:tc>
        <w:tc>
          <w:tcPr>
            <w:tcW w:w="10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Charles D. Hyman</w:t>
            </w:r>
          </w:p>
        </w:tc>
        <w:tc>
          <w:tcPr>
            <w:tcW w:w="1860" w:type="dxa"/>
            <w:vAlign w:val="bottom"/>
            <w:gridSpan w:val="2"/>
          </w:tcPr>
          <w:p>
            <w:pPr>
              <w:jc w:val="center"/>
              <w:ind w:left="1113"/>
              <w:spacing w:after="0"/>
              <w:rPr>
                <w:sz w:val="20"/>
                <w:szCs w:val="20"/>
                <w:color w:val="auto"/>
              </w:rPr>
            </w:pPr>
            <w:r>
              <w:rPr>
                <w:rFonts w:ascii="Arial" w:cs="Arial" w:eastAsia="Arial" w:hAnsi="Arial"/>
                <w:sz w:val="18"/>
                <w:szCs w:val="18"/>
                <w:color w:val="auto"/>
                <w:w w:val="90"/>
              </w:rPr>
              <w:t>25,200</w:t>
            </w:r>
          </w:p>
        </w:tc>
        <w:tc>
          <w:tcPr>
            <w:tcW w:w="1040" w:type="dxa"/>
            <w:vAlign w:val="bottom"/>
            <w:gridSpan w:val="2"/>
          </w:tcPr>
          <w:p>
            <w:pPr>
              <w:jc w:val="center"/>
              <w:ind w:left="3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X. Tune</w:t>
            </w:r>
          </w:p>
        </w:tc>
        <w:tc>
          <w:tcPr>
            <w:tcW w:w="1860" w:type="dxa"/>
            <w:vAlign w:val="bottom"/>
            <w:gridSpan w:val="2"/>
            <w:shd w:val="clear" w:color="auto" w:fill="CCEEFF"/>
          </w:tcPr>
          <w:p>
            <w:pPr>
              <w:jc w:val="center"/>
              <w:ind w:left="1093"/>
              <w:spacing w:after="0"/>
              <w:rPr>
                <w:sz w:val="20"/>
                <w:szCs w:val="20"/>
                <w:color w:val="auto"/>
              </w:rPr>
            </w:pPr>
            <w:r>
              <w:rPr>
                <w:rFonts w:ascii="Arial" w:cs="Arial" w:eastAsia="Arial" w:hAnsi="Arial"/>
                <w:sz w:val="18"/>
                <w:szCs w:val="18"/>
                <w:color w:val="auto"/>
                <w:w w:val="88"/>
              </w:rPr>
              <w:t>6,000</w:t>
            </w:r>
          </w:p>
        </w:tc>
        <w:tc>
          <w:tcPr>
            <w:tcW w:w="10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90"/>
              </w:rPr>
              <w:t>$50,001-$100,000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Who Are Not</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Shelby E. Sherard</w:t>
            </w:r>
          </w:p>
        </w:tc>
        <w:tc>
          <w:tcPr>
            <w:tcW w:w="11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31,660</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Over $100,000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1860" w:type="dxa"/>
            <w:vAlign w:val="bottom"/>
            <w:gridSpan w:val="2"/>
            <w:shd w:val="clear" w:color="auto" w:fill="CCEEFF"/>
          </w:tcPr>
          <w:p>
            <w:pPr>
              <w:jc w:val="center"/>
              <w:ind w:left="1113"/>
              <w:spacing w:after="0"/>
              <w:rPr>
                <w:sz w:val="20"/>
                <w:szCs w:val="20"/>
                <w:color w:val="auto"/>
              </w:rPr>
            </w:pPr>
            <w:r>
              <w:rPr>
                <w:rFonts w:ascii="Arial" w:cs="Arial" w:eastAsia="Arial" w:hAnsi="Arial"/>
                <w:sz w:val="18"/>
                <w:szCs w:val="18"/>
                <w:color w:val="auto"/>
                <w:w w:val="89"/>
              </w:rPr>
              <w:t>348,144</w:t>
            </w:r>
          </w:p>
        </w:tc>
        <w:tc>
          <w:tcPr>
            <w:tcW w:w="104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2"/>
              </w:rPr>
              <w:t>1.4%</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less than 1.0%.</w:t>
      </w:r>
    </w:p>
    <w:p>
      <w:pPr>
        <w:spacing w:after="0" w:line="23"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13d-3 of the Exchange Act.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16a-1(a)(2) of the Exchange Act.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by our directors is based on a stock price of $14.40 per share as of February 23, 2021.</w:t>
      </w:r>
    </w:p>
    <w:p>
      <w:pPr>
        <w:spacing w:after="0" w:line="23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our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February 23, 2021:</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w w:val="93"/>
              </w:rPr>
              <w:t>Member of our Investment Advisor’s Investment Committee</w:t>
            </w:r>
          </w:p>
        </w:tc>
        <w:tc>
          <w:tcPr>
            <w:tcW w:w="1460" w:type="dxa"/>
            <w:vAlign w:val="bottom"/>
          </w:tcPr>
          <w:p>
            <w:pPr>
              <w:spacing w:after="0"/>
              <w:rPr>
                <w:sz w:val="14"/>
                <w:szCs w:val="14"/>
                <w:color w:val="auto"/>
              </w:rPr>
            </w:pPr>
          </w:p>
        </w:tc>
        <w:tc>
          <w:tcPr>
            <w:tcW w:w="2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Dollar Range of Equity Securities in</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228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w w:val="97"/>
              </w:rPr>
              <w:t>Fidus Investment Corporation (1)</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Edward H. Ross</w:t>
            </w:r>
          </w:p>
        </w:tc>
        <w:tc>
          <w:tcPr>
            <w:tcW w:w="1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Over $1,000,000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John J. Ross, II</w:t>
            </w: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Thomas C. Lauer</w:t>
            </w: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 Andrew Worth</w:t>
            </w:r>
          </w:p>
        </w:tc>
        <w:tc>
          <w:tcPr>
            <w:tcW w:w="20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500,001 - $1,000,000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John H. Grigg</w:t>
            </w:r>
          </w:p>
        </w:tc>
        <w:tc>
          <w:tcPr>
            <w:tcW w:w="2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$500,000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Robert G. Lesley</w:t>
            </w:r>
          </w:p>
        </w:tc>
        <w:tc>
          <w:tcPr>
            <w:tcW w:w="20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$500,000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Thomas J. Steiglehner</w:t>
            </w:r>
          </w:p>
        </w:tc>
        <w:tc>
          <w:tcPr>
            <w:tcW w:w="2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20" w:hanging="424"/>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$100,001 - $500,000, $500,001 - $1,000,000, or Over $1,000,000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CERTAIN RELATIONSHIPS, RELATED TRANSACTIONS AND DIRECTOR INDEPENDENCE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Policy and Procedure</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has procedures in place for the review, approval and monitoring of transactions involving the Company and certain related persons of the Company. The Company has a written Code of Business Conduct that generally prohibits any officer, director and employee of the Company and employees of its investment advisor from engaging in any transaction where there is a conflict between such individual’s personal interest and the interests of the Company. Certain actions or relationships that might give rise to a conflict of interest are reviewed and approved by the board of directors. Waivers to the Code of Business Conduct for directors and executive officers can be obtained from the board of directors under certain circumstances and will be publicly disclosed as required by applicable law and regulations. In addition, the audit committee reviews and preapproves all related-party transactions (as defined in Item 404 of Regulation S-K).</w:t>
      </w:r>
    </w:p>
    <w:p>
      <w:pPr>
        <w:spacing w:after="0" w:line="177"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Moreover, our investment advisor has enacted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Where co-investments can be made, or where an investment opportunity becomes available to one investment vehicle managed by our investment advisor, then an equitable allocation must be made with respect to the investment.</w:t>
      </w:r>
    </w:p>
    <w:p>
      <w:pPr>
        <w:sectPr>
          <w:pgSz w:w="11900" w:h="16838" w:orient="portrait"/>
          <w:cols w:equalWidth="0" w:num="1">
            <w:col w:w="11080"/>
          </w:cols>
          <w:pgMar w:left="320" w:top="459" w:right="499" w:bottom="1440" w:gutter="0" w:footer="0" w:header="0"/>
        </w:sectPr>
      </w:pP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080"/>
          </w:cols>
          <w:pgMar w:left="320" w:top="459" w:right="49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has obtained exemptive relief allowing us to engage in certain transactions with our affiliates that would otherwise be prohibited by the 1940 Act, as applicable to BDCs. The relief permits the Company and a wholly-owned subsidiary that is licensed by the U.S. Small Business Administration (the “SBA”) as a small business investment company (an “SBIC”) to operate effectively as one company, specifically allowing them to:</w:t>
      </w:r>
    </w:p>
    <w:p>
      <w:pPr>
        <w:spacing w:after="0" w:line="2" w:lineRule="exact"/>
        <w:rPr>
          <w:sz w:val="20"/>
          <w:szCs w:val="20"/>
          <w:color w:val="auto"/>
        </w:rPr>
      </w:pPr>
    </w:p>
    <w:p>
      <w:pPr>
        <w:ind w:left="120" w:right="60" w:hanging="4"/>
        <w:spacing w:after="0" w:line="270" w:lineRule="auto"/>
        <w:tabs>
          <w:tab w:leader="none" w:pos="3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engage in certain transactions with each other; (2) invest in securities in which the other is or proposes to be an investor; (3) file consolidated reports with the Commission; and (4) be subject to modified consolidated asset coverage requirements for senior securities issued by a BDC and its SBIC subsidiary. Our second and third wholly-owned SBIC subsidiaries have not elected to be treated as a BDC and is not party to this exemptive relief. The fourth exemption described above allows us to exclude any indebtedness guaranteed by the SBA and issued by Fund I from the 150.0% asset coverage requirements applicable to us. Effective June 30, 2014, any SBA debentures issued by our second and third wholly-owned SBIC subsidiaries are not considered senior securities for purposes of the 150.0% asset coverage requirements.</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we invest alongside other accounts managed by our investment advisor, our investment advisor will seek to ensure the equitable allocation of investment opportunities between us and the other relevant accounts. If we invest alongside such other accounts as permitted by the 1940 Act and related rules, such investments will be made consistent with our investment advisor’s allocation policy. Under this allocation policy, a fixed percentage of each opportunity, which may vary based on asset class and from time to time, will be offered to us and similar eligible accounts, as periodically determined by our investment advisor and approved by our board of directors, including our Independent Directors. The allocation policy provides that allocations among us and other accounts will generally be made pro rata based on each account’s capital available for investment, as determined, in our case, by our board of directors, including our Independent Directors. It is our policy to make our determinations as to the amount of capital available for investment based on such factors as the amount of cash on hand, existing commitments and reserves, if any, the targeted leverage level, the targeted asset mix and diversification requirements and other investment policies and restrictions set by our board of directors, or imposed by applicable laws, rules, regulations or interpretations. We expect that these determinations will be made similarly for other accounts. On January 4, 2017, the SEC granted us relief sought in an exemptive application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w:t>
      </w:r>
    </w:p>
    <w:p>
      <w:pPr>
        <w:spacing w:after="0" w:line="39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situations where co-investment with other entities managed by our investment advisor is not permitted or appropriate, such as when there is an opportunity to invest in different securities of the same issuer, our investment advisor will need to decide whether we or such other entity or entities will proceed with the investment. Our investment advisor will make these determinations based on our allocation policy that generally requires that such opportunities be offered to eligible accounts on a basis that will be fair and equitable over time, including, for example, through random or rotational methods.</w:t>
      </w:r>
    </w:p>
    <w:p>
      <w:pPr>
        <w:spacing w:after="0" w:line="18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In addition, certain members of our investment advisor and its investment committees are also members of Fidus Partners, LLC (“Partners”), an investment banking firm. Partners may in the future serve as an advisor to our portfolio companies and we may invest in companies that Partners is advising. Partners may receive fees in connection with these advisory services, subject to regulatory restrictions imposed by the 1940 Act.</w:t>
      </w:r>
    </w:p>
    <w:p>
      <w:pPr>
        <w:spacing w:after="0" w:line="14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May 2015, our investment advisor entered into a combination with Partners (the “Combination”), by which members of Fidus Investment Advisors LLC and Partners contributed all of their respective membership interest in Fidus Investment Advisors LLC and Partners to a newly formed limited liability company, Fidus Group Holdings, LLC (“Holdings”). As a result, our investment adviser is a wholly-owned subsidiary of Holdings, which is a limited liability company organized under the laws of Delaware.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Transactions With or Involving Related Persons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Advisory Agreement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Investment Advisory Agreement with our investment advisor, we pay our investment advisor a management fee and incentive fee that consists of an income incentive fee and a capital gains incentive fee. The incentive fee is computed and paid on income that we may not have yet received in cash. This fee structure may create an incentive for our investment advisor to invest in certain types of securities that may have a high degree of risk. Additionally, we rely on investment professionals from our investment advisor to assist our board of directors with the valuation of our portfolio investments. Our investment advisor’s management fee and incentive fee are based on the value of our investments and there may be a conflict of interest when personnel of our investment advisor are involved in the valuation process for our portfolio investments. The base management fee under the Investment Advisory Agreement for the year ended December 31, 2020 totaled $12.9 million. The income incentive fee expense for the year ended December 31, 2020 totaled $8.6 million. For the year ended December 31, 2020, we accrued, but did not receive, $1.7 million of capital gains incentive fees reversed in accordance with generally accepted accounting principles.</w:t>
      </w:r>
    </w:p>
    <w:p>
      <w:pPr>
        <w:sectPr>
          <w:pgSz w:w="11900" w:h="16838" w:orient="portrait"/>
          <w:cols w:equalWidth="0" w:num="1">
            <w:col w:w="11120"/>
          </w:cols>
          <w:pgMar w:left="320" w:top="459" w:right="459" w:bottom="1440" w:gutter="0" w:footer="0" w:header="0"/>
        </w:sectPr>
      </w:pP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20"/>
          </w:cols>
          <w:pgMar w:left="320" w:top="459" w:right="45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Mr. E. Ross is the chairman of the board of directors of the Company and Fund I and the chairman of our investment advisor’s investment committees. Moreover, Mr. E. Ross is the Chief Executive Officer of our investment advisor. The board of managers of our investment advisor, the manager of Fidus Investment GP, LLC, the general partner of the Funds, currently controls the Funds. The following people are members of the board of managers of our investment advisor: Messrs. E. Ross, Lauer, J. Ross, John H. Grigg and Andrew W. Worth. Officers and members of the board of managers of our investment advisor receive a benefit from the fees paid to our investment advisor pursuant to the Investment Advisory Agreement. Our board of directors, which consists of a majority of non-interested directors, has approved the Investment Advisory Agreement, including the fees paid pursuant to such agreement.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administration agreement, our investment advisor furnishes us with office facilities and equipment and clerical, bookkeeping and record 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related to certain of our officers, including our Chief Financial Officer and Chief Compliance Officer and their respective staffs. Under the administration agreement, administrative expenses for services provided for the year ended December 31, 2020 totaled $1.7 million.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board of directors has a majority of directors who are independent under the listing standards of the Nasdaq Global Select Market, or Nasdaq. The Nasdaq Marketplace Rules provide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board of directors has determined that the following directors are independent: Messrs. Anstiss, Hyman and Tune. Messrs. Ross and Lauer are “interested persons” due to their positions with the Company and/or our investment advisor, as discussed in their respective biographies. Based upon information requested and received from each director concerning their respective background, employment and affiliations, the board of directors has affirmatively determined that none of the independent directors has a material business or professional relationship with the Company, other than in his capacity as a member of the board of directors or any committee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audit committee of the board of directors has selected RSM US LLP as our independent registered public accounting firm for the fiscal year ending December 31, 2021. RSM US LLP also will serve as the independent registered public accounting firm for all of our wholly-owned subsidiaries.</w:t>
      </w:r>
    </w:p>
    <w:p>
      <w:pPr>
        <w:spacing w:after="0" w:line="12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RSM US LLP has advised us that neither the firm nor any present member or associate of it has any material financial interest, direct or indirect, in us or our wholly-owned subsidiaries. It is expected that a representative of RSM US LLP will be present at the Annual Meeting and will have an opportunity to make a statement if he or she chooses and will be available to answer appropriate questions.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have paid or expect to pay the following fees to RSM US LLP for work performed in 2020 and 2019 or attributable to the audit of our 2020 and 2019 financial statements: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74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 xml:space="preserve">December 31, 2020 </w:t>
            </w:r>
            <w:r>
              <w:rPr>
                <w:rFonts w:ascii="Arial" w:cs="Arial" w:eastAsia="Arial" w:hAnsi="Arial"/>
                <w:sz w:val="12"/>
                <w:szCs w:val="12"/>
                <w:b w:val="1"/>
                <w:bCs w:val="1"/>
                <w:color w:val="auto"/>
                <w:w w:val="91"/>
              </w:rPr>
              <w:t>(1)</w:t>
            </w:r>
          </w:p>
        </w:tc>
        <w:tc>
          <w:tcPr>
            <w:tcW w:w="9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200" w:type="dxa"/>
            <w:vAlign w:val="bottom"/>
            <w:tcBorders>
              <w:bottom w:val="single" w:sz="8" w:color="CCEEFF"/>
            </w:tcBorders>
          </w:tcPr>
          <w:p>
            <w:pPr>
              <w:spacing w:after="0"/>
              <w:rPr>
                <w:sz w:val="12"/>
                <w:szCs w:val="12"/>
                <w:color w:val="auto"/>
              </w:rPr>
            </w:pPr>
          </w:p>
        </w:tc>
      </w:tr>
      <w:tr>
        <w:trPr>
          <w:trHeight w:val="142"/>
        </w:trPr>
        <w:tc>
          <w:tcPr>
            <w:tcW w:w="7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Audit Fees</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654,051</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2"/>
                <w:szCs w:val="12"/>
                <w:color w:val="auto"/>
                <w:w w:val="81"/>
              </w:rPr>
              <w:t>(2)</w:t>
            </w: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645,087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(3)</w:t>
            </w:r>
          </w:p>
        </w:tc>
      </w:tr>
      <w:tr>
        <w:trPr>
          <w:trHeight w:val="148"/>
        </w:trPr>
        <w:tc>
          <w:tcPr>
            <w:tcW w:w="7400" w:type="dxa"/>
            <w:vAlign w:val="bottom"/>
          </w:tcPr>
          <w:p>
            <w:pPr>
              <w:spacing w:after="0" w:line="149" w:lineRule="exact"/>
              <w:rPr>
                <w:sz w:val="20"/>
                <w:szCs w:val="20"/>
                <w:color w:val="auto"/>
              </w:rPr>
            </w:pPr>
            <w:r>
              <w:rPr>
                <w:rFonts w:ascii="Arial" w:cs="Arial" w:eastAsia="Arial" w:hAnsi="Arial"/>
                <w:sz w:val="14"/>
                <w:szCs w:val="14"/>
                <w:color w:val="auto"/>
              </w:rPr>
              <w:t>Audit Related Fees</w:t>
            </w:r>
          </w:p>
        </w:tc>
        <w:tc>
          <w:tcPr>
            <w:tcW w:w="80" w:type="dxa"/>
            <w:vAlign w:val="bottom"/>
          </w:tcPr>
          <w:p>
            <w:pPr>
              <w:spacing w:after="0"/>
              <w:rPr>
                <w:sz w:val="12"/>
                <w:szCs w:val="12"/>
                <w:color w:val="auto"/>
              </w:rPr>
            </w:pPr>
          </w:p>
        </w:tc>
        <w:tc>
          <w:tcPr>
            <w:tcW w:w="218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Fees</w:t>
            </w:r>
          </w:p>
        </w:tc>
        <w:tc>
          <w:tcPr>
            <w:tcW w:w="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r>
      <w:tr>
        <w:trPr>
          <w:trHeight w:val="156"/>
        </w:trPr>
        <w:tc>
          <w:tcPr>
            <w:tcW w:w="7400" w:type="dxa"/>
            <w:vAlign w:val="bottom"/>
          </w:tcPr>
          <w:p>
            <w:pPr>
              <w:spacing w:after="0" w:line="149" w:lineRule="exact"/>
              <w:rPr>
                <w:sz w:val="20"/>
                <w:szCs w:val="20"/>
                <w:color w:val="auto"/>
              </w:rPr>
            </w:pPr>
            <w:r>
              <w:rPr>
                <w:rFonts w:ascii="Arial" w:cs="Arial" w:eastAsia="Arial" w:hAnsi="Arial"/>
                <w:sz w:val="14"/>
                <w:szCs w:val="14"/>
                <w:color w:val="auto"/>
              </w:rPr>
              <w:t>All Other Fees</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10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Fees: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859"/>
              <w:spacing w:after="0" w:line="149" w:lineRule="exact"/>
              <w:rPr>
                <w:sz w:val="20"/>
                <w:szCs w:val="20"/>
                <w:color w:val="auto"/>
              </w:rPr>
            </w:pPr>
            <w:r>
              <w:rPr>
                <w:rFonts w:ascii="Arial" w:cs="Arial" w:eastAsia="Arial" w:hAnsi="Arial"/>
                <w:sz w:val="14"/>
                <w:szCs w:val="14"/>
                <w:color w:val="auto"/>
              </w:rPr>
              <w:t>654,051</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645,087</w:t>
            </w: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estimated billings for fiscal year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fees of $69,641 related to our offerings of notes under our universal shelf registration statement on Form N-2.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fees of $107,600 related to our public offerings of notes under our universal shelf registration statement on Form N-2.</w:t>
      </w:r>
    </w:p>
    <w:p>
      <w:pPr>
        <w:spacing w:after="0" w:line="2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include fees for services that normally would be provided by the accountant in connection with statutory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filings or engagements and that generally only the independent accountant can provide. In addition to fees for the audit of our annual financial statements, the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are assurance related services that traditionally are performed by the independent accountant, such as attest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that are not required by statute or regulation.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corporate and subsidiary compliance and consulting.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Fees for other services would include fees for products and services other than the services reported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audit committee has established, and our board of directors has approved a pre-approval policy that describes the permitted audit, audit-related, tax and other services to be provided by RSM US LLP, the Company’s independent registered accounting firm. The policy requires that the audit committee pre-approve the audit and non-audit services performed by the independent registered accounting firm in order to assure that the provision of such service does not impair the firm’s independence. The audit committee has pre-approved all services by RSM US LLP that were performed during the fiscal year ended December 31, 2020.</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Before the Company engages the independent registered public accounting firm to render a service, the engagement must be either (i) specifically approved by the audit committee or (ii) entered into pursuant to the pre-approval policy.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accounting firm to management.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600" w:type="dxa"/>
            <w:vAlign w:val="bottom"/>
          </w:tcPr>
          <w:p>
            <w:pPr>
              <w:spacing w:after="0"/>
              <w:rPr>
                <w:sz w:val="20"/>
                <w:szCs w:val="20"/>
                <w:color w:val="auto"/>
              </w:rPr>
            </w:pPr>
          </w:p>
        </w:tc>
      </w:tr>
      <w:tr>
        <w:trPr>
          <w:trHeight w:val="513"/>
        </w:trPr>
        <w:tc>
          <w:tcPr>
            <w:tcW w:w="94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1600" w:type="dxa"/>
            <w:vAlign w:val="bottom"/>
          </w:tcPr>
          <w:p>
            <w:pPr>
              <w:spacing w:after="0"/>
              <w:rPr>
                <w:sz w:val="24"/>
                <w:szCs w:val="24"/>
                <w:color w:val="auto"/>
              </w:rPr>
            </w:pPr>
          </w:p>
        </w:tc>
      </w:tr>
      <w:tr>
        <w:trPr>
          <w:trHeight w:val="324"/>
        </w:trPr>
        <w:tc>
          <w:tcPr>
            <w:tcW w:w="9480" w:type="dxa"/>
            <w:vAlign w:val="bottom"/>
          </w:tcPr>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600" w:type="dxa"/>
            <w:vAlign w:val="bottom"/>
          </w:tcPr>
          <w:p>
            <w:pPr>
              <w:spacing w:after="0"/>
              <w:rPr>
                <w:sz w:val="24"/>
                <w:szCs w:val="24"/>
                <w:color w:val="auto"/>
              </w:rPr>
            </w:pPr>
          </w:p>
        </w:tc>
      </w:tr>
      <w:tr>
        <w:trPr>
          <w:trHeight w:val="324"/>
        </w:trPr>
        <w:tc>
          <w:tcPr>
            <w:tcW w:w="9480" w:type="dxa"/>
            <w:vAlign w:val="bottom"/>
          </w:tcPr>
          <w:p>
            <w:pPr>
              <w:ind w:left="56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tc>
        <w:tc>
          <w:tcPr>
            <w:tcW w:w="1600" w:type="dxa"/>
            <w:vAlign w:val="bottom"/>
          </w:tcPr>
          <w:p>
            <w:pPr>
              <w:spacing w:after="0"/>
              <w:rPr>
                <w:sz w:val="24"/>
                <w:szCs w:val="24"/>
                <w:color w:val="auto"/>
              </w:rPr>
            </w:pPr>
          </w:p>
        </w:tc>
      </w:tr>
      <w:tr>
        <w:trPr>
          <w:trHeight w:val="432"/>
        </w:trPr>
        <w:tc>
          <w:tcPr>
            <w:tcW w:w="9480" w:type="dxa"/>
            <w:vAlign w:val="bottom"/>
          </w:tcPr>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Consolidated Financial Statements</w:t>
            </w:r>
          </w:p>
        </w:tc>
        <w:tc>
          <w:tcPr>
            <w:tcW w:w="1600" w:type="dxa"/>
            <w:vAlign w:val="bottom"/>
          </w:tcPr>
          <w:p>
            <w:pPr>
              <w:spacing w:after="0"/>
              <w:rPr>
                <w:sz w:val="24"/>
                <w:szCs w:val="24"/>
                <w:color w:val="auto"/>
              </w:rPr>
            </w:pPr>
          </w:p>
        </w:tc>
      </w:tr>
      <w:tr>
        <w:trPr>
          <w:trHeight w:val="445"/>
        </w:trPr>
        <w:tc>
          <w:tcPr>
            <w:tcW w:w="9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Reports of Independent Registered Public Accounting Firm</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Financial Statements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80" w:type="dxa"/>
            <w:vAlign w:val="bottom"/>
          </w:tcPr>
          <w:p>
            <w:pPr>
              <w:ind w:left="4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Assets and Liabilities as of December 31, 2020 and 2019</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80" w:type="dxa"/>
            <w:vAlign w:val="bottom"/>
          </w:tcPr>
          <w:p>
            <w:pPr>
              <w:ind w:left="4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Operations for the Years Ended December 31, 2020, 2019 and 2018</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80" w:type="dxa"/>
            <w:vAlign w:val="bottom"/>
          </w:tcPr>
          <w:p>
            <w:pPr>
              <w:ind w:left="4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Statements of Changes in Net Assets for the Years Ended December 31, 2020, 2019 and 2018</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80" w:type="dxa"/>
            <w:vAlign w:val="bottom"/>
          </w:tcPr>
          <w:p>
            <w:pPr>
              <w:ind w:left="4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Cash Flows for the Years Ended December 31, 2020, 2019 and 2018</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80" w:type="dxa"/>
            <w:vAlign w:val="bottom"/>
          </w:tcPr>
          <w:p>
            <w:pPr>
              <w:ind w:left="4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Consolidated Schedules of Investments as of December 31, 2020 and 2019</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480" w:type="dxa"/>
            <w:vAlign w:val="bottom"/>
          </w:tcPr>
          <w:p>
            <w:pPr>
              <w:ind w:left="48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Notes to Consolidated Financial Statements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100" w:right="7920" w:hanging="544"/>
        <w:spacing w:after="0" w:line="407" w:lineRule="auto"/>
        <w:tabs>
          <w:tab w:leader="none" w:pos="80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820" w:hanging="264"/>
        <w:spacing w:after="0"/>
        <w:tabs>
          <w:tab w:leader="none" w:pos="8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Unless otherwise noted, the following exhibits are filed as part of this report or hereby incorporated by reference to exhibits previously filed with the SEC: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80" w:type="dxa"/>
            <w:vAlign w:val="bottom"/>
            <w:gridSpan w:val="12"/>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Articles of Amendment and Restatement of the Registrant (Filed as Exhibit (a)(1) to Pre-Effective Amendment No. 2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2"/>
          </w:tcPr>
          <w:p>
            <w:pPr>
              <w:ind w:left="20"/>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Registration Statement on Form N-2 (File No. 333-172550) filed with the U.S. Securities and Exchange Commission on April 29, 2011</w:t>
              </w:r>
            </w:hyperlink>
          </w:p>
        </w:tc>
        <w:tc>
          <w:tcPr>
            <w:tcW w:w="4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gridSpan w:val="15"/>
          </w:tcPr>
          <w:p>
            <w:pPr>
              <w:ind w:left="20"/>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82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Bylaws of the Registrant (Filed as Exhibit (b)(1) to Pre-Effective Amendment No. 2 to the Registrant’s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4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N-2 (File No. 333-172550) filed with the U.S. Securities and Exchange Commission on April 29, 2011 and incorporated herein by</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gridSpan w:val="15"/>
          </w:tcPr>
          <w:p>
            <w:pPr>
              <w:ind w:left="20"/>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Form of Stock Certificate of the Registrant (Filed as Exhibit (d) to Pre-Effective Amendment No. 2 to the Registrant’s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top w:val="single" w:sz="8" w:color="0000EE"/>
            </w:tcBorders>
            <w:gridSpan w:val="9"/>
          </w:tcPr>
          <w:p>
            <w:pPr>
              <w:ind w:left="20"/>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Statement on Form N-2 (File No. 333-172550) filed with the U.S. Securities and Exchange Commission on April 29, 2011 and</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incorporated herein by reference).</w:t>
              </w:r>
            </w:hyperlink>
          </w:p>
        </w:tc>
        <w:tc>
          <w:tcPr>
            <w:tcW w:w="6720" w:type="dxa"/>
            <w:vAlign w:val="bottom"/>
            <w:tcBorders>
              <w:top w:val="single" w:sz="8" w:color="0000EE"/>
            </w:tcBorders>
            <w:gridSpan w:val="5"/>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Agreement to Furnish Certain Instruments (Filed as Exhibit (f)(2) to Pre-Effective Amendment No. 3 to the Registrant’s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Statement on Form N-2 (File No. 333-172550) filed with the U.S. Securities and Exchange Commission on May 26, 2011 and</w:t>
              </w:r>
            </w:hyperlink>
          </w:p>
        </w:tc>
        <w:tc>
          <w:tcPr>
            <w:tcW w:w="480" w:type="dxa"/>
            <w:vAlign w:val="bottom"/>
            <w:tcBorders>
              <w:top w:val="single" w:sz="8" w:color="0000EE"/>
            </w:tcBorders>
            <w:gridSpan w:val="4"/>
          </w:tcPr>
          <w:p>
            <w:pPr>
              <w:spacing w:after="0"/>
              <w:rPr>
                <w:sz w:val="17"/>
                <w:szCs w:val="17"/>
                <w:color w:val="auto"/>
              </w:rPr>
            </w:pP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incorporated herein by reference).</w:t>
              </w:r>
            </w:hyperlink>
          </w:p>
        </w:tc>
        <w:tc>
          <w:tcPr>
            <w:tcW w:w="7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Form of Indenture (Filed as Exhibit (d)(5) to Post-Effective Amendment No. 2 to the Registrant’s Registration Statement on Form N-2</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tcBorders>
              <w:top w:val="single" w:sz="8" w:color="0000EE"/>
            </w:tcBorders>
            <w:gridSpan w:val="11"/>
          </w:tcPr>
          <w:p>
            <w:pPr>
              <w:ind w:left="20"/>
              <w:spacing w:after="0"/>
              <w:rPr>
                <w:rFonts w:ascii="Arial" w:cs="Arial" w:eastAsia="Arial" w:hAnsi="Arial"/>
                <w:sz w:val="18"/>
                <w:szCs w:val="18"/>
                <w:u w:val="single" w:color="auto"/>
                <w:color w:val="0000EE"/>
                <w:w w:val="93"/>
              </w:rPr>
            </w:pPr>
            <w:hyperlink r:id="rId170">
              <w:r>
                <w:rPr>
                  <w:rFonts w:ascii="Arial" w:cs="Arial" w:eastAsia="Arial" w:hAnsi="Arial"/>
                  <w:sz w:val="18"/>
                  <w:szCs w:val="18"/>
                  <w:u w:val="single" w:color="auto"/>
                  <w:color w:val="0000EE"/>
                  <w:w w:val="93"/>
                </w:rPr>
                <w:t>(File No. 333-202531) filed with the Securities and Exchange Commission on April 29, 2016 and incorporated herein by reference).</w:t>
              </w:r>
            </w:hyperlink>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840" w:type="dxa"/>
            <w:vAlign w:val="bottom"/>
            <w:tcBorders>
              <w:bottom w:val="single" w:sz="8" w:color="0000EE"/>
            </w:tcBorders>
            <w:gridSpan w:val="15"/>
          </w:tcPr>
          <w:p>
            <w:pPr>
              <w:ind w:left="20"/>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First Supplemental Indenture dated as of February 2, 2018, between Fidus Investment Corporation and U.S. Bank National Association,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gridSpan w:val="15"/>
          </w:tcPr>
          <w:p>
            <w:pPr>
              <w:ind w:left="20"/>
              <w:spacing w:after="0" w:line="196" w:lineRule="exact"/>
              <w:rPr>
                <w:rFonts w:ascii="Arial" w:cs="Arial" w:eastAsia="Arial" w:hAnsi="Arial"/>
                <w:sz w:val="18"/>
                <w:szCs w:val="18"/>
                <w:color w:val="0000EE"/>
                <w:w w:val="95"/>
              </w:rPr>
            </w:pPr>
            <w:hyperlink r:id="rId171">
              <w:r>
                <w:rPr>
                  <w:rFonts w:ascii="Arial" w:cs="Arial" w:eastAsia="Arial" w:hAnsi="Arial"/>
                  <w:sz w:val="18"/>
                  <w:szCs w:val="18"/>
                  <w:color w:val="0000EE"/>
                  <w:w w:val="95"/>
                </w:rPr>
                <w:t>as trustee (Filed as Exhibit (d)(9) to Post-Effective Amendment No. 4 to the Registrant’s Registration Statement on Form N-2 (File</w:t>
              </w:r>
            </w:hyperlink>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80" w:type="dxa"/>
            <w:vAlign w:val="bottom"/>
            <w:tcBorders>
              <w:top w:val="single" w:sz="8" w:color="0000EE"/>
            </w:tcBorders>
            <w:gridSpan w:val="9"/>
          </w:tcPr>
          <w:p>
            <w:pPr>
              <w:ind w:left="20"/>
              <w:spacing w:after="0"/>
              <w:rPr>
                <w:rFonts w:ascii="Arial" w:cs="Arial" w:eastAsia="Arial" w:hAnsi="Arial"/>
                <w:sz w:val="18"/>
                <w:szCs w:val="18"/>
                <w:u w:val="single" w:color="auto"/>
                <w:color w:val="0000EE"/>
                <w:w w:val="94"/>
              </w:rPr>
            </w:pPr>
            <w:hyperlink r:id="rId171">
              <w:r>
                <w:rPr>
                  <w:rFonts w:ascii="Arial" w:cs="Arial" w:eastAsia="Arial" w:hAnsi="Arial"/>
                  <w:sz w:val="18"/>
                  <w:szCs w:val="18"/>
                  <w:u w:val="single" w:color="auto"/>
                  <w:color w:val="0000EE"/>
                  <w:w w:val="94"/>
                </w:rPr>
                <w:t>No. 333-202531) filed with the Securities and Exchange Commission on April 18, 2017 and incorporated herein by reference).</w:t>
              </w:r>
            </w:hyperlink>
          </w:p>
        </w:tc>
        <w:tc>
          <w:tcPr>
            <w:tcW w:w="3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Form of 5.875% Notes due 2023 (Incorporated by reference to Exhibit 4.4 hereto and Exhibit A therein).</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4"/>
                <w:szCs w:val="24"/>
                <w:color w:val="auto"/>
              </w:rPr>
            </w:pPr>
          </w:p>
        </w:tc>
        <w:tc>
          <w:tcPr>
            <w:tcW w:w="9840" w:type="dxa"/>
            <w:vAlign w:val="bottom"/>
            <w:gridSpan w:val="15"/>
          </w:tcPr>
          <w:p>
            <w:pPr>
              <w:ind w:left="20"/>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Second Supplemental Indenture dated as of February 8, 2019, between Fidus Investment Corporation and U.S. Bank National</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100" w:type="dxa"/>
            <w:vAlign w:val="bottom"/>
            <w:gridSpan w:val="6"/>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gridSpan w:val="15"/>
          </w:tcPr>
          <w:p>
            <w:pPr>
              <w:ind w:left="20"/>
              <w:spacing w:after="0" w:line="19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Association, as trustee (Filed as Exhibit (d)(11) to the Registrant’s post-effective Amendment No. 1 to the Registration Statement 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260" w:right="460"/>
        <w:spacing w:after="0" w:line="277"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Form N-2 (File No. 333-223350) filed with the Securities and Exchange Commission on May 1, 2018 and incorporated herein by</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reference).</w:t>
        </w:r>
      </w:hyperlink>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72">
        <w:r>
          <w:rPr>
            <w:rFonts w:ascii="Arial" w:cs="Arial" w:eastAsia="Arial" w:hAnsi="Arial"/>
            <w:sz w:val="16"/>
            <w:szCs w:val="16"/>
            <w:u w:val="single" w:color="auto"/>
            <w:color w:val="0000EE"/>
          </w:rPr>
          <w:t>Form of 6.00% Notes due 2024 (Incorporated by reference to Exhibit 4.6 hereto and Exhibit A therein).</w:t>
        </w:r>
      </w:hyperlink>
    </w:p>
    <w:p>
      <w:pPr>
        <w:spacing w:after="0" w:line="117" w:lineRule="exact"/>
        <w:rPr>
          <w:sz w:val="20"/>
          <w:szCs w:val="20"/>
          <w:color w:val="auto"/>
        </w:rPr>
      </w:pPr>
    </w:p>
    <w:p>
      <w:pPr>
        <w:ind w:left="900" w:right="8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74">
        <w:r>
          <w:rPr>
            <w:rFonts w:ascii="Arial" w:cs="Arial" w:eastAsia="Arial" w:hAnsi="Arial"/>
            <w:sz w:val="18"/>
            <w:szCs w:val="18"/>
            <w:u w:val="single" w:color="auto"/>
            <w:color w:val="0000EE"/>
          </w:rPr>
          <w:t>Third Supplemental Indenture dated as of October 16, 2019, between Fidus Investment Corporation and U.S. Bank National Association, as</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trustee (Filed as Exhibit 4.2 to the Registrant’s current report on Form 8-K filed with the U.S. Securities and Exchange Commission on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October 16, 2019 and incorporated herein by reference).</w:t>
        </w:r>
      </w:hyperlink>
    </w:p>
    <w:p>
      <w:pPr>
        <w:spacing w:after="0" w:line="76" w:lineRule="exact"/>
        <w:rPr>
          <w:rFonts w:ascii="Arial" w:cs="Arial" w:eastAsia="Arial" w:hAnsi="Arial"/>
          <w:sz w:val="18"/>
          <w:szCs w:val="18"/>
          <w:u w:val="single" w:color="auto"/>
          <w:color w:val="0000EE"/>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174">
        <w:r>
          <w:rPr>
            <w:rFonts w:ascii="Arial" w:cs="Arial" w:eastAsia="Arial" w:hAnsi="Arial"/>
            <w:sz w:val="16"/>
            <w:szCs w:val="16"/>
            <w:u w:val="single" w:color="auto"/>
            <w:color w:val="0000EE"/>
          </w:rPr>
          <w:t>Form of 5.375% Notes due 2024 (Incorporated by reference to Exhibit 4.8 hereto and Exhibit A therein).</w:t>
        </w:r>
      </w:hyperlink>
    </w:p>
    <w:p>
      <w:pPr>
        <w:spacing w:after="0" w:line="117" w:lineRule="exact"/>
        <w:rPr>
          <w:rFonts w:ascii="Arial" w:cs="Arial" w:eastAsia="Arial" w:hAnsi="Arial"/>
          <w:sz w:val="18"/>
          <w:szCs w:val="18"/>
          <w:u w:val="single" w:color="auto"/>
          <w:color w:val="0000EE"/>
        </w:rPr>
      </w:pPr>
    </w:p>
    <w:p>
      <w:pPr>
        <w:ind w:left="900" w:right="8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75">
        <w:r>
          <w:rPr>
            <w:rFonts w:ascii="Arial" w:cs="Arial" w:eastAsia="Arial" w:hAnsi="Arial"/>
            <w:sz w:val="18"/>
            <w:szCs w:val="18"/>
            <w:u w:val="single" w:color="auto"/>
            <w:color w:val="0000EE"/>
          </w:rPr>
          <w:t>Fourth Supplemental Indenture dated as of December 23, 2020 between Fidus Investment Corporation and U.S. Bank National Association,</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as trustee (Filed as Exhibit 4.1 to the Registrant’s current report on Form 8-K filed with the U.S. Securities and Exchange Commission on</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December 23, 2020 and incorporated herein by reference).</w:t>
        </w:r>
      </w:hyperlink>
    </w:p>
    <w:p>
      <w:pPr>
        <w:spacing w:after="0" w:line="76" w:lineRule="exact"/>
        <w:rPr>
          <w:rFonts w:ascii="Arial" w:cs="Arial" w:eastAsia="Arial" w:hAnsi="Arial"/>
          <w:sz w:val="18"/>
          <w:szCs w:val="18"/>
          <w:u w:val="single" w:color="auto"/>
          <w:color w:val="0000EE"/>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75">
        <w:r>
          <w:rPr>
            <w:rFonts w:ascii="Arial" w:cs="Arial" w:eastAsia="Arial" w:hAnsi="Arial"/>
            <w:sz w:val="16"/>
            <w:szCs w:val="16"/>
            <w:u w:val="single" w:color="auto"/>
            <w:color w:val="0000EE"/>
          </w:rPr>
          <w:t>Form of 4.75% Notes due 2026 (Incorporated by reference to Exhibit 4.10 hereto and Exhibit A therein).</w:t>
        </w:r>
      </w:hyperlink>
    </w:p>
    <w:p>
      <w:pPr>
        <w:spacing w:after="0" w:line="117" w:lineRule="exact"/>
        <w:rPr>
          <w:rFonts w:ascii="Arial" w:cs="Arial" w:eastAsia="Arial" w:hAnsi="Arial"/>
          <w:sz w:val="18"/>
          <w:szCs w:val="18"/>
          <w:u w:val="single" w:color="auto"/>
          <w:color w:val="0000EE"/>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w:anchor="page145">
        <w:r>
          <w:rPr>
            <w:rFonts w:ascii="Arial" w:cs="Arial" w:eastAsia="Arial" w:hAnsi="Arial"/>
            <w:sz w:val="16"/>
            <w:szCs w:val="16"/>
            <w:u w:val="single" w:color="auto"/>
            <w:color w:val="0000EE"/>
          </w:rPr>
          <w:t>Description of Securities.*</w:t>
        </w:r>
      </w:hyperlink>
    </w:p>
    <w:p>
      <w:pPr>
        <w:spacing w:after="0" w:line="117" w:lineRule="exact"/>
        <w:rPr>
          <w:rFonts w:ascii="Arial" w:cs="Arial" w:eastAsia="Arial" w:hAnsi="Arial"/>
          <w:sz w:val="18"/>
          <w:szCs w:val="18"/>
          <w:u w:val="single" w:color="auto"/>
          <w:color w:val="0000EE"/>
        </w:rPr>
      </w:pPr>
    </w:p>
    <w:p>
      <w:pPr>
        <w:ind w:left="90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76">
        <w:r>
          <w:rPr>
            <w:rFonts w:ascii="Arial" w:cs="Arial" w:eastAsia="Arial" w:hAnsi="Arial"/>
            <w:sz w:val="18"/>
            <w:szCs w:val="18"/>
            <w:u w:val="single" w:color="auto"/>
            <w:color w:val="0000EE"/>
          </w:rPr>
          <w:t>Investment Advisory and Management Agreement between Registrant and Fidus Investment Advisors, LLC (Filed as Exhibit (g) to</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Pre-Effective Amendment No. 2 to the Registrant’s Registration Statement on Form N-2 (File No. 333-172550) filed with the U.S. Securities</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and Exchange Commission on April 29, 2011 and incorporated herein by reference).</w:t>
        </w:r>
      </w:hyperlink>
    </w:p>
    <w:p>
      <w:pPr>
        <w:spacing w:after="0" w:line="76" w:lineRule="exact"/>
        <w:rPr>
          <w:rFonts w:ascii="Arial" w:cs="Arial" w:eastAsia="Arial" w:hAnsi="Arial"/>
          <w:sz w:val="18"/>
          <w:szCs w:val="18"/>
          <w:u w:val="single" w:color="auto"/>
          <w:color w:val="0000EE"/>
        </w:rPr>
      </w:pPr>
    </w:p>
    <w:p>
      <w:pPr>
        <w:ind w:left="900" w:right="280" w:hanging="78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77">
        <w:r>
          <w:rPr>
            <w:rFonts w:ascii="Arial" w:cs="Arial" w:eastAsia="Arial" w:hAnsi="Arial"/>
            <w:sz w:val="16"/>
            <w:szCs w:val="16"/>
            <w:u w:val="single" w:color="auto"/>
            <w:color w:val="0000EE"/>
          </w:rPr>
          <w:t>Custody Agreement (Filed as Exhibit (j) to Pre-Effective Amendment No. 3 to the Registrant’s Registration Statement on Form N-2 (File</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No. 333-172550) filed with the U.S. Securities and Exchange Commission on May 26, 2011 and incorporated herein by reference).</w:t>
        </w:r>
      </w:hyperlink>
    </w:p>
    <w:p>
      <w:pPr>
        <w:spacing w:after="0" w:line="16" w:lineRule="exact"/>
        <w:rPr>
          <w:sz w:val="20"/>
          <w:szCs w:val="20"/>
          <w:color w:val="auto"/>
        </w:rPr>
      </w:pPr>
    </w:p>
    <w:p>
      <w:pPr>
        <w:ind w:left="900" w:right="30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78">
        <w:r>
          <w:rPr>
            <w:rFonts w:ascii="Arial" w:cs="Arial" w:eastAsia="Arial" w:hAnsi="Arial"/>
            <w:sz w:val="18"/>
            <w:szCs w:val="18"/>
            <w:u w:val="single" w:color="auto"/>
            <w:color w:val="0000EE"/>
          </w:rPr>
          <w:t>Administration Agreement between Registrant and Fidus Investment Advisors, LLC (Filed as Exhibit (k)(1) to Pre-Effective Amendment</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No. 2 to the Registrant’s Registration Statement on Form N-2 (File No. 333-172550) filed with the U.S. Securities and Exchange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Commission on April 29, 2011 and incorporated herein by reference).</w:t>
        </w:r>
      </w:hyperlink>
    </w:p>
    <w:p>
      <w:pPr>
        <w:spacing w:after="0" w:line="76" w:lineRule="exact"/>
        <w:rPr>
          <w:rFonts w:ascii="Arial" w:cs="Arial" w:eastAsia="Arial" w:hAnsi="Arial"/>
          <w:sz w:val="18"/>
          <w:szCs w:val="18"/>
          <w:u w:val="single" w:color="auto"/>
          <w:color w:val="0000EE"/>
        </w:rPr>
      </w:pPr>
    </w:p>
    <w:p>
      <w:pPr>
        <w:jc w:val="both"/>
        <w:ind w:left="90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79">
        <w:r>
          <w:rPr>
            <w:rFonts w:ascii="Arial" w:cs="Arial" w:eastAsia="Arial" w:hAnsi="Arial"/>
            <w:sz w:val="18"/>
            <w:szCs w:val="18"/>
            <w:u w:val="single" w:color="auto"/>
            <w:color w:val="0000EE"/>
          </w:rPr>
          <w:t>Trademark License Agreement between Registrant and Fidus Partners, LLC (Filed as Exhibit (k)(2) to Pre-Effective Amendment No. 3 to the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Registrant’s Registration Statement on Form N-2 (File No. 333-172550) filed with the U.S. Securities and Exchange Commission on May 26,</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2011 and incorporated herein by reference).</w:t>
        </w:r>
      </w:hyperlink>
    </w:p>
    <w:p>
      <w:pPr>
        <w:spacing w:after="0" w:line="76" w:lineRule="exact"/>
        <w:rPr>
          <w:rFonts w:ascii="Arial" w:cs="Arial" w:eastAsia="Arial" w:hAnsi="Arial"/>
          <w:sz w:val="18"/>
          <w:szCs w:val="18"/>
          <w:u w:val="single" w:color="auto"/>
          <w:color w:val="0000EE"/>
        </w:rPr>
      </w:pPr>
    </w:p>
    <w:p>
      <w:pPr>
        <w:ind w:left="900" w:right="2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80">
        <w:r>
          <w:rPr>
            <w:rFonts w:ascii="Arial" w:cs="Arial" w:eastAsia="Arial" w:hAnsi="Arial"/>
            <w:sz w:val="18"/>
            <w:szCs w:val="18"/>
            <w:u w:val="single" w:color="auto"/>
            <w:color w:val="0000EE"/>
          </w:rPr>
          <w:t>Form of Indemnification Agreement by and between Registrant and each of its directors (Filed as Exhibit (k)(3) to Pre-Effective Amendment</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No. 4 to the Registrant’s Registration Statement on Form N-2 (File No. 333-172550) filed with the U.S. Securities and Exchange</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Commission on June 10, 2011 and incorporated herein by reference).</w:t>
        </w:r>
      </w:hyperlink>
    </w:p>
    <w:p>
      <w:pPr>
        <w:spacing w:after="0" w:line="76" w:lineRule="exact"/>
        <w:rPr>
          <w:rFonts w:ascii="Arial" w:cs="Arial" w:eastAsia="Arial" w:hAnsi="Arial"/>
          <w:sz w:val="18"/>
          <w:szCs w:val="18"/>
          <w:u w:val="single" w:color="auto"/>
          <w:color w:val="0000EE"/>
        </w:rPr>
      </w:pPr>
    </w:p>
    <w:p>
      <w:pPr>
        <w:ind w:left="900" w:hanging="78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81">
        <w:r>
          <w:rPr>
            <w:rFonts w:ascii="Arial" w:cs="Arial" w:eastAsia="Arial" w:hAnsi="Arial"/>
            <w:sz w:val="16"/>
            <w:szCs w:val="16"/>
            <w:u w:val="single" w:color="auto"/>
            <w:color w:val="0000EE"/>
          </w:rPr>
          <w:t>Dividend Reinvestment Plan (Filed as Exhibit (e) to Pre-Effective Amendment No. 1 to the Registrant’s Registration Statement on Form N-2</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(File No. 333-182785) filed with the U.S. Securities and Exchange Commission on August 27, 2012 and incorporated herein by reference).</w:t>
        </w:r>
      </w:hyperlink>
    </w:p>
    <w:p>
      <w:pPr>
        <w:spacing w:after="0" w:line="16" w:lineRule="exact"/>
        <w:rPr>
          <w:sz w:val="20"/>
          <w:szCs w:val="20"/>
          <w:color w:val="auto"/>
        </w:rPr>
      </w:pPr>
    </w:p>
    <w:p>
      <w:pPr>
        <w:ind w:left="900" w:right="10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82">
        <w:r>
          <w:rPr>
            <w:rFonts w:ascii="Arial" w:cs="Arial" w:eastAsia="Arial" w:hAnsi="Arial"/>
            <w:sz w:val="18"/>
            <w:szCs w:val="18"/>
            <w:u w:val="single" w:color="auto"/>
            <w:color w:val="0000EE"/>
          </w:rPr>
          <w:t>First Amendment to Investment Advisory and Management Agreement between Registrant and Fidus Investment Advisors, LLC (Filed as</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exhibit 10.7 to the Registrant’s annual report on Form 10-K, filed with the U.S. Securities and Exchange Commission on March 6, 2014 and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incorporated herein by reference).</w:t>
        </w:r>
      </w:hyperlink>
    </w:p>
    <w:p>
      <w:pPr>
        <w:spacing w:after="0" w:line="76" w:lineRule="exact"/>
        <w:rPr>
          <w:rFonts w:ascii="Arial" w:cs="Arial" w:eastAsia="Arial" w:hAnsi="Arial"/>
          <w:sz w:val="18"/>
          <w:szCs w:val="18"/>
          <w:u w:val="single" w:color="auto"/>
          <w:color w:val="0000EE"/>
        </w:rPr>
      </w:pPr>
    </w:p>
    <w:p>
      <w:pPr>
        <w:ind w:left="900" w:right="180" w:hanging="78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83">
        <w:r>
          <w:rPr>
            <w:rFonts w:ascii="Arial" w:cs="Arial" w:eastAsia="Arial" w:hAnsi="Arial"/>
            <w:sz w:val="18"/>
            <w:szCs w:val="18"/>
            <w:u w:val="single" w:color="auto"/>
            <w:color w:val="0000EE"/>
          </w:rPr>
          <w:t>Senior Secured Revolving Credit Agreement, dated June 16, 2014, by and among the Registrant, the lenders party thereto and ING Capital</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LLC, as Administrative Agent, (Filed as exhibit 10.1 to the Registrant’s current report on Form 8-K filed with the U.S. Securities and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Exchange Commission on June 20, 2014 and incorporated herein by reference).</w:t>
        </w:r>
      </w:hyperlink>
    </w:p>
    <w:p>
      <w:pPr>
        <w:spacing w:after="0" w:line="116" w:lineRule="exact"/>
        <w:rPr>
          <w:rFonts w:ascii="Arial" w:cs="Arial" w:eastAsia="Arial" w:hAnsi="Arial"/>
          <w:sz w:val="18"/>
          <w:szCs w:val="18"/>
          <w:u w:val="single" w:color="auto"/>
          <w:color w:val="0000EE"/>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120" w:hanging="782"/>
        <w:spacing w:after="0" w:line="31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185">
        <w:r>
          <w:rPr>
            <w:rFonts w:ascii="Arial" w:cs="Arial" w:eastAsia="Arial" w:hAnsi="Arial"/>
            <w:sz w:val="16"/>
            <w:szCs w:val="16"/>
            <w:u w:val="single" w:color="auto"/>
            <w:color w:val="0000EE"/>
          </w:rPr>
          <w:t>Amendment No. 1, dated December 19, 2014, to the Senior Secured Revolving Credit Agreement dated June 16, 2014, by and among the</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Registrant, the lenders party thereto and ING Capital LLC as Administrative Agent filed as exhibit 10.1 to the Registrant’s current report on</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Form 8-K (Filed with the U.S. Securities and Exchange Commission on December 22, 2014 and incorporated herein by reference).</w:t>
        </w:r>
      </w:hyperlink>
    </w:p>
    <w:p>
      <w:pPr>
        <w:spacing w:after="0" w:line="41" w:lineRule="exact"/>
        <w:rPr>
          <w:rFonts w:ascii="Arial" w:cs="Arial" w:eastAsia="Arial" w:hAnsi="Arial"/>
          <w:sz w:val="16"/>
          <w:szCs w:val="16"/>
          <w:u w:val="single" w:color="auto"/>
          <w:color w:val="0000EE"/>
        </w:rPr>
      </w:pPr>
    </w:p>
    <w:p>
      <w:pPr>
        <w:ind w:left="900" w:right="120" w:hanging="782"/>
        <w:spacing w:after="0" w:line="31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86">
        <w:r>
          <w:rPr>
            <w:rFonts w:ascii="Arial" w:cs="Arial" w:eastAsia="Arial" w:hAnsi="Arial"/>
            <w:sz w:val="16"/>
            <w:szCs w:val="16"/>
            <w:u w:val="single" w:color="auto"/>
            <w:color w:val="0000EE"/>
          </w:rPr>
          <w:t>Amendment No. 2, dated December 29, 2017, to the Senior Secured Revolving Credit Agreement dated June 16, 2014, by and among the</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Registrant, the lenders party thereto and ING Capital LLC as Administrative Agent filed as exhibit 10.1 to the Registrant’s current report on</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Form 8-K (Filed with the U.S. Securities and Exchange Commission on January 2, 2018 and incorporated herein by reference).</w:t>
        </w:r>
      </w:hyperlink>
    </w:p>
    <w:p>
      <w:pPr>
        <w:spacing w:after="0" w:line="41" w:lineRule="exact"/>
        <w:rPr>
          <w:rFonts w:ascii="Arial" w:cs="Arial" w:eastAsia="Arial" w:hAnsi="Arial"/>
          <w:sz w:val="16"/>
          <w:szCs w:val="16"/>
          <w:u w:val="single" w:color="auto"/>
          <w:color w:val="0000EE"/>
        </w:rPr>
      </w:pPr>
    </w:p>
    <w:p>
      <w:pPr>
        <w:ind w:left="900" w:right="20" w:hanging="782"/>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87">
        <w:r>
          <w:rPr>
            <w:rFonts w:ascii="Arial" w:cs="Arial" w:eastAsia="Arial" w:hAnsi="Arial"/>
            <w:sz w:val="18"/>
            <w:szCs w:val="18"/>
            <w:u w:val="single" w:color="auto"/>
            <w:color w:val="0000EE"/>
          </w:rPr>
          <w:t>Incremental Commitment Agreement to Senior Secured Revolving Credit Agreement, dated June 5, 2018 by and among the Registrant, the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subsidiary guarantors party thereto and ING Capital LLC as Administrative Agent and increasing lender (Filed as exhibit 10.1 to the</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Registrant’s current report on Form 8-K filed with the U.S. Securities and Exchange Commission on June 5, 2018 and incorporated herein by</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reference).</w:t>
        </w:r>
      </w:hyperlink>
    </w:p>
    <w:p>
      <w:pPr>
        <w:spacing w:after="0" w:line="79" w:lineRule="exact"/>
        <w:rPr>
          <w:rFonts w:ascii="Arial" w:cs="Arial" w:eastAsia="Arial" w:hAnsi="Arial"/>
          <w:sz w:val="18"/>
          <w:szCs w:val="18"/>
          <w:u w:val="single" w:color="auto"/>
          <w:color w:val="0000EE"/>
        </w:rPr>
      </w:pPr>
    </w:p>
    <w:p>
      <w:pPr>
        <w:ind w:left="900" w:right="40" w:hanging="782"/>
        <w:spacing w:after="0" w:line="30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88">
        <w:r>
          <w:rPr>
            <w:rFonts w:ascii="Arial" w:cs="Arial" w:eastAsia="Arial" w:hAnsi="Arial"/>
            <w:sz w:val="16"/>
            <w:szCs w:val="16"/>
            <w:u w:val="single" w:color="auto"/>
            <w:color w:val="0000EE"/>
          </w:rPr>
          <w:t>Amendment No. 3 and Incremental Commitment Agreement to Senior Secured Revolving Credit Agreement, dated October 19, 2018, to the</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Senior Secured Revolving Credit Agreement dated June 16, 2014, by and among the Registrant, the lenders party thereto, TIAA, FSB, as</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increasing lender and a lender and ING Capital LLC as Administrative Agent and a lender (Filed as exhibit 10.1 to the Registrant’s current</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report on Form 8-K filed with the U.S. Securities and Exchange Commission on October 19, 2018 and incorporated herein by reference).</w:t>
        </w:r>
      </w:hyperlink>
    </w:p>
    <w:p>
      <w:pPr>
        <w:spacing w:after="0" w:line="49" w:lineRule="exact"/>
        <w:rPr>
          <w:rFonts w:ascii="Arial" w:cs="Arial" w:eastAsia="Arial" w:hAnsi="Arial"/>
          <w:sz w:val="16"/>
          <w:szCs w:val="16"/>
          <w:u w:val="single" w:color="auto"/>
          <w:color w:val="0000EE"/>
        </w:rPr>
      </w:pPr>
    </w:p>
    <w:p>
      <w:pPr>
        <w:ind w:left="900" w:right="20" w:hanging="782"/>
        <w:spacing w:after="0" w:line="28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89">
        <w:r>
          <w:rPr>
            <w:rFonts w:ascii="Arial" w:cs="Arial" w:eastAsia="Arial" w:hAnsi="Arial"/>
            <w:sz w:val="17"/>
            <w:szCs w:val="17"/>
            <w:u w:val="single" w:color="auto"/>
            <w:color w:val="0000EE"/>
          </w:rPr>
          <w:t>Amended &amp; Restated Senior Secured Revolving Credit Agreement, dated as of April 24, 2019, by and among the Company, as borrower, the</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lenders party thereto, and ING Capital LLC, as administrative agent (Filed as Exhibit 10.1 to the Registrant’s current report on Form 8-K</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filed with the U.S. Securities and Exchange Commission on April 24, 2019 and incorporated herein by reference).</w:t>
        </w:r>
      </w:hyperlink>
    </w:p>
    <w:p>
      <w:pPr>
        <w:spacing w:after="0" w:line="57" w:lineRule="exact"/>
        <w:rPr>
          <w:rFonts w:ascii="Arial" w:cs="Arial" w:eastAsia="Arial" w:hAnsi="Arial"/>
          <w:sz w:val="17"/>
          <w:szCs w:val="17"/>
          <w:u w:val="single" w:color="auto"/>
          <w:color w:val="0000EE"/>
        </w:rPr>
      </w:pPr>
    </w:p>
    <w:p>
      <w:pPr>
        <w:ind w:left="900" w:hanging="782"/>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90">
        <w:r>
          <w:rPr>
            <w:rFonts w:ascii="Arial" w:cs="Arial" w:eastAsia="Arial" w:hAnsi="Arial"/>
            <w:sz w:val="18"/>
            <w:szCs w:val="18"/>
            <w:u w:val="single" w:color="auto"/>
            <w:color w:val="0000EE"/>
          </w:rPr>
          <w:t>Amended and Restated Guarantee, Pledge and Security Agreement, dated as of April 24, 2019, by and among the Company, as borrower, the</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subsidiary guarantors party thereto, ING Capital LLC, as revolving administrative agent, and ING Capital LLC, as collateral agent (Filed as</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Exhibit 10.2 to the Registrant’s current report on Form 8-K filed with the U.S. Securities and Exchange Commission on April 24, 2019 and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incorporated herein by reference).</w:t>
        </w:r>
      </w:hyperlink>
    </w:p>
    <w:p>
      <w:pPr>
        <w:spacing w:after="0" w:line="79" w:lineRule="exact"/>
        <w:rPr>
          <w:rFonts w:ascii="Arial" w:cs="Arial" w:eastAsia="Arial" w:hAnsi="Arial"/>
          <w:sz w:val="18"/>
          <w:szCs w:val="18"/>
          <w:u w:val="single" w:color="auto"/>
          <w:color w:val="0000EE"/>
        </w:rPr>
      </w:pPr>
    </w:p>
    <w:p>
      <w:pPr>
        <w:ind w:left="900" w:right="80" w:hanging="782"/>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90">
        <w:r>
          <w:rPr>
            <w:rFonts w:ascii="Arial" w:cs="Arial" w:eastAsia="Arial" w:hAnsi="Arial"/>
            <w:sz w:val="18"/>
            <w:szCs w:val="18"/>
            <w:u w:val="single" w:color="auto"/>
            <w:color w:val="0000EE"/>
          </w:rPr>
          <w:t>Amendment No. 1, dated June 26, 2020, to the Amended &amp; Restated Senior Secured Revolving Credit Agreement dated April 24, 2019, by</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and among the Company, as borrower, the subsidiary guarantors party thereto, ING Capital LLC, as administrative agent, and the lenders</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party thereto (Filed as Exhibit 10.1 to the Registrant’s current report on Form 8-K filed with the U.S. Securities and Exchange Commission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on June 29, 2020 and incorporated herein by reference).</w:t>
        </w:r>
      </w:hyperlink>
    </w:p>
    <w:p>
      <w:pPr>
        <w:spacing w:after="0" w:line="79" w:lineRule="exact"/>
        <w:rPr>
          <w:rFonts w:ascii="Arial" w:cs="Arial" w:eastAsia="Arial" w:hAnsi="Arial"/>
          <w:sz w:val="18"/>
          <w:szCs w:val="18"/>
          <w:u w:val="single" w:color="auto"/>
          <w:color w:val="0000EE"/>
        </w:rPr>
      </w:pPr>
    </w:p>
    <w:p>
      <w:pPr>
        <w:ind w:left="900" w:right="320" w:hanging="782"/>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14.1</w:t>
      </w:r>
      <w:r>
        <w:rPr>
          <w:sz w:val="20"/>
          <w:szCs w:val="20"/>
          <w:color w:val="auto"/>
        </w:rPr>
        <w:tab/>
      </w:r>
      <w:hyperlink r:id="rId191">
        <w:r>
          <w:rPr>
            <w:rFonts w:ascii="Arial" w:cs="Arial" w:eastAsia="Arial" w:hAnsi="Arial"/>
            <w:sz w:val="17"/>
            <w:szCs w:val="17"/>
            <w:u w:val="single" w:color="auto"/>
            <w:color w:val="0000EE"/>
          </w:rPr>
          <w:t>Code of Business Conduct of the Registrant (Filed as Exhibit 14.1 to the Registrant’s Annual Report on Form 10-K (File No. 814-00861)</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filed with the U.S. Securities and Exchange Commission on March 8, 2012 and incorporated herein by reference).</w:t>
        </w:r>
      </w:hyperlink>
    </w:p>
    <w:p>
      <w:pPr>
        <w:spacing w:after="0" w:line="38"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58">
        <w:r>
          <w:rPr>
            <w:rFonts w:ascii="Arial" w:cs="Arial" w:eastAsia="Arial" w:hAnsi="Arial"/>
            <w:sz w:val="16"/>
            <w:szCs w:val="16"/>
            <w:u w:val="single" w:color="auto"/>
            <w:color w:val="0000EE"/>
          </w:rPr>
          <w:t>List of Subsidiaries.*</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59">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60">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61">
        <w:r>
          <w:rPr>
            <w:rFonts w:ascii="Arial" w:cs="Arial" w:eastAsia="Arial" w:hAnsi="Arial"/>
            <w:sz w:val="16"/>
            <w:szCs w:val="16"/>
            <w:u w:val="single" w:color="auto"/>
            <w:color w:val="0000EE"/>
          </w:rPr>
          <w:t>Certification of Chief Executive Officer and Chief Financial Officer pursuant to section 906 of The Sarbanes-Oxley Act of 2002.*</w:t>
        </w:r>
      </w:hyperlink>
    </w:p>
    <w:p>
      <w:pPr>
        <w:spacing w:after="0" w:line="252"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80" w:right="4800" w:hanging="5364"/>
        <w:spacing w:after="0" w:line="517" w:lineRule="auto"/>
        <w:tabs>
          <w:tab w:leader="none" w:pos="5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contract or arrangement. 137</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FIDUS INVESTMENT CORPORATION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Maryland Corporation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488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Edward H. Ross</w:t>
      </w:r>
    </w:p>
    <w:p>
      <w:pPr>
        <w:spacing w:after="0" w:line="23" w:lineRule="exact"/>
        <w:rPr>
          <w:sz w:val="20"/>
          <w:szCs w:val="20"/>
          <w:color w:val="auto"/>
        </w:rPr>
      </w:pPr>
    </w:p>
    <w:p>
      <w:pPr>
        <w:ind w:left="5640"/>
        <w:spacing w:after="0"/>
        <w:tabs>
          <w:tab w:leader="none" w:pos="626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H. ROSS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Chairman and Chief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Edward H. Ross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LAUER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Thomas C. Lauer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SHELBY E. SHERARD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Shelby E. Sherard</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 ANSTISS, JR.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Raymond L. Anstiss, Jr.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D. HYMAN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Charles D. Hyman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X. TUNE</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Edward X. Tune</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64"/>
        </w:trPr>
        <w:tc>
          <w:tcPr>
            <w:tcW w:w="3860" w:type="dxa"/>
            <w:vAlign w:val="bottom"/>
          </w:tcPr>
          <w:p>
            <w:pPr>
              <w:spacing w:after="0"/>
              <w:rPr>
                <w:sz w:val="24"/>
                <w:szCs w:val="24"/>
                <w:color w:val="auto"/>
              </w:rPr>
            </w:pPr>
          </w:p>
        </w:tc>
        <w:tc>
          <w:tcPr>
            <w:tcW w:w="3640" w:type="dxa"/>
            <w:vAlign w:val="bottom"/>
            <w:gridSpan w:val="2"/>
          </w:tcPr>
          <w:p>
            <w:pPr>
              <w:ind w:left="15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i w:val="1"/>
          <w:iCs w:val="1"/>
          <w:color w:val="auto"/>
        </w:rPr>
        <w:t>As of December 31, 2020, Fidus Investment Corporation (“we,” “our,” “us,” or the “Company”) has four classes of securities registered under Section 12 of the Securities Exchange Act of 1934, as amended (the “Exchange Act”): (i) its common stock, par value $0.001 per share (“common stock”); (ii) its 5.875% Notes due 2023 (the “2023 Notes”); (iii) its 6.000% Notes due 2024 (the “February 2024 Notes”); and (iv) its 5.375% Notes due 2024 (the “November 2024 Notes,” together with the 2023 Notes and the February 2024 Notes, the “Notes”).</w:t>
      </w:r>
    </w:p>
    <w:p>
      <w:pPr>
        <w:spacing w:after="0" w:line="171"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i w:val="1"/>
          <w:iCs w:val="1"/>
          <w:color w:val="auto"/>
        </w:rPr>
        <w:t>The following descriptions of the Company’s common stock and the Notes are as of December 31, 2020</w:t>
      </w:r>
      <w:r>
        <w:rPr>
          <w:rFonts w:ascii="Arial" w:cs="Arial" w:eastAsia="Arial" w:hAnsi="Arial"/>
          <w:sz w:val="14"/>
          <w:szCs w:val="14"/>
          <w:i w:val="1"/>
          <w:iCs w:val="1"/>
          <w:color w:val="auto"/>
        </w:rPr>
        <w:t>1</w:t>
      </w:r>
      <w:r>
        <w:rPr>
          <w:rFonts w:ascii="Arial" w:cs="Arial" w:eastAsia="Arial" w:hAnsi="Arial"/>
          <w:sz w:val="17"/>
          <w:szCs w:val="17"/>
          <w:i w:val="1"/>
          <w:iCs w:val="1"/>
          <w:color w:val="auto"/>
        </w:rPr>
        <w:t xml:space="preserve"> and based on, as applicable, the relevant portions of the Maryland General Corporation Law (“MGCL”), the Company’s articles of amendment and restatement (“charter”), our bylaws (“bylaws”), the first supplemental indenture, dated February 2, 2018 (the “First Supplemental Indenture), the second supplemental indenture, dated February 8, 2019 (the “Second Supplemental Indenture), and the third supplemental indenture, dated October 16, 2019 (the “Third Supplemental Indenture”), and the indenture, dated February 2, 2018 (the “Base Indenture” together with the First Supplemental Indenture, the Second Supplemental Indenture and the Third Supplemental Indenture, the “Indenture”), by and between the Company and U.S. Bank National Association, as trustee (the “Trustee”). This summary is a description of the material terms of, and is qualified in its entirety by, the charter, the bylaws and the indenture, each of which is incorporated by reference as an exhibit to this Annual Report on Form 10-K. As a result, this summary may not contain all of the information that is important to you. We refer you to the MGCL, the charter, the bylaws, and the indenture for a more detailed description of the provisions summarized below. Capitalized terms used but not defined herein shall have the meaning ascribed to them in the Annual Report on Form 10-K to which this Description of Securities is an exhibit.</w:t>
      </w:r>
    </w:p>
    <w:p>
      <w:pPr>
        <w:spacing w:after="0" w:line="326" w:lineRule="exact"/>
        <w:rPr>
          <w:sz w:val="20"/>
          <w:szCs w:val="20"/>
          <w:color w:val="auto"/>
        </w:rPr>
      </w:pPr>
    </w:p>
    <w:p>
      <w:pPr>
        <w:ind w:left="964" w:hanging="532"/>
        <w:spacing w:after="0"/>
        <w:tabs>
          <w:tab w:leader="none" w:pos="96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 $0.001 par value per share</w:t>
      </w:r>
    </w:p>
    <w:p>
      <w:pPr>
        <w:spacing w:after="0" w:line="121" w:lineRule="exact"/>
        <w:rPr>
          <w:sz w:val="20"/>
          <w:szCs w:val="20"/>
          <w:color w:val="auto"/>
        </w:rPr>
      </w:pPr>
    </w:p>
    <w:p>
      <w:pPr>
        <w:ind w:left="4" w:right="240" w:firstLine="440"/>
        <w:spacing w:after="0" w:line="301" w:lineRule="auto"/>
        <w:rPr>
          <w:sz w:val="20"/>
          <w:szCs w:val="20"/>
          <w:color w:val="auto"/>
        </w:rPr>
      </w:pPr>
      <w:r>
        <w:rPr>
          <w:rFonts w:ascii="Arial" w:cs="Arial" w:eastAsia="Arial" w:hAnsi="Arial"/>
          <w:sz w:val="16"/>
          <w:szCs w:val="16"/>
          <w:color w:val="auto"/>
        </w:rPr>
        <w:t>The authorized capital stock of Fidus Investment Corporation (the “Company,” “we,” “our” or “us”) consists of 100,000,000 shares of common stock, par value $0.001 per share, of which 24,463,119 were outstanding as of December 31, 2019.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5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Under our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7"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715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1" w:lineRule="exact"/>
        <w:rPr>
          <w:sz w:val="20"/>
          <w:szCs w:val="20"/>
          <w:color w:val="auto"/>
        </w:rPr>
      </w:pPr>
    </w:p>
    <w:p>
      <w:pPr>
        <w:ind w:left="224" w:right="280" w:hanging="224"/>
        <w:spacing w:after="0" w:line="259" w:lineRule="auto"/>
        <w:tabs>
          <w:tab w:leader="none" w:pos="224" w:val="left"/>
        </w:tabs>
        <w:numPr>
          <w:ilvl w:val="0"/>
          <w:numId w:val="110"/>
        </w:numPr>
        <w:rPr>
          <w:rFonts w:ascii="Arial" w:cs="Arial" w:eastAsia="Arial" w:hAnsi="Arial"/>
          <w:sz w:val="15"/>
          <w:szCs w:val="15"/>
          <w:color w:val="auto"/>
        </w:rPr>
      </w:pPr>
      <w:r>
        <w:rPr>
          <w:rFonts w:ascii="Arial" w:cs="Arial" w:eastAsia="Arial" w:hAnsi="Arial"/>
          <w:sz w:val="18"/>
          <w:szCs w:val="18"/>
          <w:color w:val="auto"/>
        </w:rPr>
        <w:t>Subsequent to the year ended December 31, 2020, the Company redeemed (i) $50,000,000 in aggregate principal amount of the issued and outstanding 2023 Notes on January 19, 2021 and, as a result, there are no issued and outstanding 2023 Notes as of the filing of the Annual Report on Form 10-K, and (ii) $50,000,000 in aggregate principal amount of the $69,000,000 in aggregate principal amount of the issued and outstanding February 2024 Notes on February 16, 2021.</w:t>
      </w:r>
    </w:p>
    <w:p>
      <w:pPr>
        <w:sectPr>
          <w:pgSz w:w="11900" w:h="16838" w:orient="portrait"/>
          <w:cols w:equalWidth="0" w:num="1">
            <w:col w:w="11024"/>
          </w:cols>
          <w:pgMar w:left="436" w:top="121"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the MGCL and our Charter and Bylaws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MGCL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expire in 2021, 2019 and 2020,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121"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ectPr>
          <w:pgSz w:w="11900" w:h="16838" w:orient="portrait"/>
          <w:cols w:equalWidth="0" w:num="1">
            <w:col w:w="11000"/>
          </w:cols>
          <w:pgMar w:left="440" w:top="270" w:right="459" w:bottom="1440" w:gutter="0" w:footer="0" w:header="0"/>
        </w:sectPr>
      </w:pPr>
    </w:p>
    <w:bookmarkStart w:id="146" w:name="page147"/>
    <w:bookmarkEnd w:id="146"/>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12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121"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w:t>
      </w:r>
    </w:p>
    <w:p>
      <w:pPr>
        <w:spacing w:after="0" w:line="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continuing directors or the successor continuing directors then in office.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charter and bylaws provide that the board of directors has the exclusive power to make, alter, amend or repeal any provision of our bylaws.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ectPr>
          <w:pgSz w:w="11900" w:h="16838" w:orient="portrait"/>
          <w:cols w:equalWidth="0" w:num="1">
            <w:col w:w="10980"/>
          </w:cols>
          <w:pgMar w:left="440" w:top="274" w:right="4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Share Acquisitions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MGCL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98" w:lineRule="exact"/>
        <w:rPr>
          <w:sz w:val="20"/>
          <w:szCs w:val="20"/>
          <w:color w:val="auto"/>
        </w:rPr>
      </w:pPr>
    </w:p>
    <w:p>
      <w:pPr>
        <w:ind w:left="1420" w:hanging="331"/>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7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77" w:lineRule="exact"/>
        <w:rPr>
          <w:sz w:val="20"/>
          <w:szCs w:val="20"/>
          <w:color w:val="auto"/>
        </w:rPr>
      </w:pPr>
    </w:p>
    <w:p>
      <w:pPr>
        <w:ind w:left="960" w:hanging="42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person who beneficially owns 10.0% or more of the voting power of the corporation’s outstanding voting stock; or</w:t>
      </w:r>
    </w:p>
    <w:p>
      <w:pPr>
        <w:sectPr>
          <w:pgSz w:w="11900" w:h="16838" w:orient="portrait"/>
          <w:cols w:equalWidth="0" w:num="1">
            <w:col w:w="11000"/>
          </w:cols>
          <w:pgMar w:left="440" w:top="270" w:right="459" w:bottom="1440" w:gutter="0" w:footer="0" w:header="0"/>
        </w:sectPr>
      </w:pPr>
    </w:p>
    <w:bookmarkStart w:id="148" w:name="page149"/>
    <w:bookmarkEnd w:id="148"/>
    <w:p>
      <w:pPr>
        <w:ind w:left="960" w:right="420" w:hanging="424"/>
        <w:spacing w:after="0" w:line="277"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affiliate or associate of the corporation who, at any time within the two-year period prior to the date in question, was the beneficial owner of 10.0% or more of the voting power of the then outstanding voting stock of the corporation.</w:t>
      </w:r>
    </w:p>
    <w:p>
      <w:pPr>
        <w:spacing w:after="0" w:line="170"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420" w:hanging="331"/>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80.0%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420" w:right="240" w:hanging="331"/>
        <w:spacing w:after="0" w:line="263"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121"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328" w:lineRule="exact"/>
        <w:rPr>
          <w:sz w:val="20"/>
          <w:szCs w:val="20"/>
          <w:color w:val="auto"/>
        </w:rPr>
      </w:pPr>
    </w:p>
    <w:p>
      <w:pPr>
        <w:ind w:left="960" w:hanging="532"/>
        <w:spacing w:after="0"/>
        <w:tabs>
          <w:tab w:leader="none" w:pos="9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Securities</w:t>
      </w:r>
    </w:p>
    <w:p>
      <w:pPr>
        <w:spacing w:after="0" w:line="121"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i w:val="1"/>
          <w:iCs w:val="1"/>
          <w:color w:val="auto"/>
        </w:rPr>
        <w:t>Unless otherwise specifically stated, the summary below relates to each of the 2023 Notes, the February 2024 Notes, and the November 2024 Notes, and therefore, references to the “Notes” below refer to each of the 2023 Notes, the February 2024 Notes, and the November 2024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2023 Notes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January 2018, we issued $43,478,275 in aggregate principal amount of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ectPr>
          <w:pgSz w:w="11900" w:h="16838" w:orient="portrait"/>
          <w:cols w:equalWidth="0" w:num="1">
            <w:col w:w="11000"/>
          </w:cols>
          <w:pgMar w:left="440" w:top="274" w:right="459" w:bottom="1440" w:gutter="0" w:footer="0" w:header="0"/>
        </w:sectPr>
      </w:pPr>
    </w:p>
    <w:bookmarkStart w:id="149" w:name="page150"/>
    <w:bookmarkEnd w:id="149"/>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2023 Notes were issued under the Base Indenture, as supplemented by the First Supplemental Indenture. The 2023 Notes will mature on February 1, 2023 and bear interest at a rate of 5.875% per year. The 2023 Notes may be redeemed in whole or in part at any time or from time to time at our option on or after February 1, 2020. Interest on the 2023 Notes is payable quarterly on February 1, May 1, August 1 and November 1 of each year, beginning May 1, 2018. The 2023 Notes are listed on the NASDAQ Global Select Market under the trading symbol “FDUSL.” As of December 31, 2019, the outstanding principal balance of the 2023 Notes was $50.0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February 2024 Notes</w:t>
      </w:r>
    </w:p>
    <w:p>
      <w:pPr>
        <w:spacing w:after="0" w:line="12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In February 2019, we issued $60,000,000 in aggregate principal amount of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February 2024 Notes were issued under the Base Indenture, as supplemented by the Second Supplemental Indenture. 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beginning May 15, 2019. The February 2024 Notes are listed on the NASDAQ Global Select Market under the trading symbol “FDUSZ.” As of December 31, 2019, the outstanding principal balance of the February 2024 Notes was $69.0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November 2024 Notes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In October 2019, we issued $55,000,000 in aggregate principal amount of the November 2024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November 2024 Notes were issued under the Base Indenture, as supplemented by the Third Supplemental Indenture. 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December 31, 2019, the outstanding principal balance of the November 2024 Notes was approximately $63.3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purposes of this description, any reference to the payment of principal of, or premium or interest, if any, on, the 2023 Notes, the February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 Notes and the November 2024 Notes will include additional amounts if required by the terms of such Notes.</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“Events of Default” for more information. Second, the Trustee performs certain administrative duties for us with respect to our debt securities.</w:t>
      </w:r>
    </w:p>
    <w:p>
      <w:pPr>
        <w:spacing w:after="0" w:line="188"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Indenture provides that any debt securities may be issued under the Indenture in one or more series. 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for more information.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ectPr>
          <w:pgSz w:w="11900" w:h="16838" w:orient="portrait"/>
          <w:cols w:equalWidth="0" w:num="1">
            <w:col w:w="10980"/>
          </w:cols>
          <w:pgMar w:left="440" w:top="274" w:right="479" w:bottom="1440" w:gutter="0" w:footer="0" w:header="0"/>
        </w:sectPr>
      </w:pPr>
    </w:p>
    <w:bookmarkStart w:id="150" w:name="page151"/>
    <w:bookmarkEnd w:id="150"/>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under “Events of Default” and “Merger or Consolidation” below, 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2023 Notes, the February 2024 Notes and the November 2024 Notes may be redeemed in whole or in part at any time or from time to time at our option on or after February 1, 2020, February 15, 2021 and November 1, 2021, respectively, upon not less than 30 days nor more than 60 days written notice by mail prior to the date fixed for redemption thereof, at a redemption price of 100% of the outstanding principal amount of the Note plus accrued and unpaid interest payments otherwise payable for the then-current quarterly interest period accrued to the date fixed for redemption.</w:t>
      </w:r>
    </w:p>
    <w:p>
      <w:pPr>
        <w:spacing w:after="0" w:line="15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1940 Act, to the extent applicable.</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we redeem only some of the Notes, the Trustee or the Depositary Trust Company (“DTC”), as applicable, will determine the method for selection of the particular Notes to be redeemed, in accordance with the Indenture governing the Notes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the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the Company’s direct unsecured obligations and will rank:</w:t>
      </w:r>
    </w:p>
    <w:p>
      <w:pPr>
        <w:spacing w:after="0" w:line="131" w:lineRule="exact"/>
        <w:rPr>
          <w:sz w:val="20"/>
          <w:szCs w:val="20"/>
          <w:color w:val="auto"/>
        </w:rPr>
      </w:pPr>
    </w:p>
    <w:p>
      <w:pPr>
        <w:ind w:left="960" w:hanging="424"/>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other outstanding and future unsecured unsubordinated indebtedness;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w:t>
      </w:r>
    </w:p>
    <w:p>
      <w:pPr>
        <w:spacing w:after="0" w:line="130" w:lineRule="exact"/>
        <w:rPr>
          <w:rFonts w:ascii="Arial" w:cs="Arial" w:eastAsia="Arial" w:hAnsi="Arial"/>
          <w:sz w:val="18"/>
          <w:szCs w:val="18"/>
          <w:color w:val="auto"/>
        </w:rPr>
      </w:pPr>
    </w:p>
    <w:p>
      <w:pPr>
        <w:ind w:left="960" w:right="20" w:hanging="424"/>
        <w:spacing w:after="0" w:line="308" w:lineRule="auto"/>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effectively subordinated to all of our existing and future secured indebtedness (including indebtedness that is initially unsecured in respect of which we subsequently grant a security interest), to the extent of the value of the assets securing such indebtedness; and</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obligations of any of our subsidiaries, including the Funds.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issued in denominations of $25 and integral multiples of $25 in excess thereof.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not be subject to any sinking fund.</w:t>
      </w:r>
    </w:p>
    <w:p>
      <w:pPr>
        <w:sectPr>
          <w:pgSz w:w="11900" w:h="16838" w:orient="portrait"/>
          <w:cols w:equalWidth="0" w:num="1">
            <w:col w:w="10940"/>
          </w:cols>
          <w:pgMar w:left="440" w:top="274" w:right="5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Book-Entry Holders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Notes were issued as registered securities in book-entry form only. 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As noted above, the Notes are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Security</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not convertible into or exchangeable for other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ectPr>
          <w:pgSz w:w="11900" w:h="16838" w:orient="portrait"/>
          <w:cols w:equalWidth="0" w:num="1">
            <w:col w:w="11000"/>
          </w:cols>
          <w:pgMar w:left="440" w:top="270"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When Offices Are Closed</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Notes and the Event of Default is not cured, as described later in this subsection.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131" w:lineRule="exact"/>
        <w:rPr>
          <w:sz w:val="20"/>
          <w:szCs w:val="20"/>
          <w:color w:val="auto"/>
        </w:rPr>
      </w:pPr>
    </w:p>
    <w:p>
      <w:pPr>
        <w:ind w:left="1420" w:hanging="331"/>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any Note when due and payable at maturity;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do not pay interest on any Note when due and payable, and such default is not cured within 30 days of its due date;</w:t>
      </w:r>
    </w:p>
    <w:p>
      <w:pPr>
        <w:spacing w:after="0" w:line="130" w:lineRule="exact"/>
        <w:rPr>
          <w:rFonts w:ascii="Arial" w:cs="Arial" w:eastAsia="Arial" w:hAnsi="Arial"/>
          <w:sz w:val="18"/>
          <w:szCs w:val="18"/>
          <w:color w:val="auto"/>
        </w:rPr>
      </w:pPr>
    </w:p>
    <w:p>
      <w:pPr>
        <w:ind w:left="1420" w:right="100" w:hanging="331"/>
        <w:spacing w:after="0" w:line="263"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p>
      <w:pPr>
        <w:spacing w:after="0" w:line="89" w:lineRule="exact"/>
        <w:rPr>
          <w:rFonts w:ascii="Arial" w:cs="Arial" w:eastAsia="Arial" w:hAnsi="Arial"/>
          <w:sz w:val="18"/>
          <w:szCs w:val="18"/>
          <w:color w:val="auto"/>
        </w:rPr>
      </w:pPr>
    </w:p>
    <w:p>
      <w:pPr>
        <w:ind w:left="1420" w:right="640" w:hanging="331"/>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60 days; or</w:t>
      </w:r>
    </w:p>
    <w:p>
      <w:pPr>
        <w:spacing w:after="0" w:line="75" w:lineRule="exact"/>
        <w:rPr>
          <w:rFonts w:ascii="Arial" w:cs="Arial" w:eastAsia="Arial" w:hAnsi="Arial"/>
          <w:sz w:val="18"/>
          <w:szCs w:val="18"/>
          <w:color w:val="auto"/>
        </w:rPr>
      </w:pPr>
    </w:p>
    <w:p>
      <w:pPr>
        <w:ind w:left="1420" w:right="220" w:hanging="331"/>
        <w:spacing w:after="0" w:line="342" w:lineRule="auto"/>
        <w:tabs>
          <w:tab w:leader="none" w:pos="14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the Notes have an asset coverage of less than 100%, giving effect to the exemptive relief granted to us by the SEC with respect to the consolidation of debt of the Funds.</w:t>
      </w:r>
    </w:p>
    <w:p>
      <w:pPr>
        <w:spacing w:after="0" w:line="12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w:t>
      </w:r>
    </w:p>
    <w:p>
      <w:pPr>
        <w:spacing w:after="0" w:line="19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ectPr>
          <w:pgSz w:w="11900" w:h="16838" w:orient="portrait"/>
          <w:cols w:equalWidth="0" w:num="1">
            <w:col w:w="11000"/>
          </w:cols>
          <w:pgMar w:left="440" w:top="270" w:right="459" w:bottom="1440" w:gutter="0" w:footer="0" w:header="0"/>
        </w:sectPr>
      </w:pPr>
    </w:p>
    <w:bookmarkStart w:id="153" w:name="page154"/>
    <w:bookmarkEnd w:id="153"/>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Before you are allowed to bypass the Trustee and bring your own lawsuit or other formal legal action or take other steps to enforce your rights or protect your interests relating to the Notes, the following must occur:</w:t>
      </w:r>
    </w:p>
    <w:p>
      <w:pPr>
        <w:spacing w:after="0" w:line="76" w:lineRule="exact"/>
        <w:rPr>
          <w:sz w:val="20"/>
          <w:szCs w:val="20"/>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jc w:val="both"/>
        <w:ind w:left="960" w:right="280" w:hanging="424"/>
        <w:spacing w:after="0" w:line="263"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the Notes must make a written request that the Trustee take action because of the default and must offer the Trustee indemnity, security, or both reasonably satisfactory to it against the cost and other liabilities of taking that action;</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and/or security; and</w:t>
      </w:r>
    </w:p>
    <w:p>
      <w:pPr>
        <w:spacing w:after="0" w:line="142" w:lineRule="exact"/>
        <w:rPr>
          <w:rFonts w:ascii="Arial" w:cs="Arial" w:eastAsia="Arial" w:hAnsi="Arial"/>
          <w:sz w:val="17"/>
          <w:szCs w:val="17"/>
          <w:color w:val="auto"/>
        </w:rPr>
      </w:pPr>
    </w:p>
    <w:p>
      <w:pPr>
        <w:ind w:left="960" w:right="180" w:hanging="424"/>
        <w:spacing w:after="0" w:line="277"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a majority in principal amount of the Notes may waive any past defaults other than a default:</w:t>
      </w:r>
    </w:p>
    <w:p>
      <w:pPr>
        <w:spacing w:after="0" w:line="131" w:lineRule="exact"/>
        <w:rPr>
          <w:sz w:val="20"/>
          <w:szCs w:val="20"/>
          <w:color w:val="auto"/>
        </w:rPr>
      </w:pPr>
    </w:p>
    <w:p>
      <w:pPr>
        <w:ind w:left="1420" w:hanging="331"/>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payment of principal (or premium, if any) or interest; or</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 of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420" w:right="300" w:hanging="331"/>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where we merge out of existence or convey or transfer our assets substantially as an entirety, the resulting entity must agree to be legally responsible for our obligations under the Notes;</w:t>
      </w:r>
    </w:p>
    <w:p>
      <w:pPr>
        <w:spacing w:after="0" w:line="75" w:lineRule="exact"/>
        <w:rPr>
          <w:rFonts w:ascii="Arial" w:cs="Arial" w:eastAsia="Arial" w:hAnsi="Arial"/>
          <w:sz w:val="18"/>
          <w:szCs w:val="18"/>
          <w:color w:val="auto"/>
        </w:rPr>
      </w:pPr>
    </w:p>
    <w:p>
      <w:pPr>
        <w:ind w:left="1420" w:right="40" w:hanging="331"/>
        <w:spacing w:after="0" w:line="25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93" w:lineRule="exact"/>
        <w:rPr>
          <w:rFonts w:ascii="Arial" w:cs="Arial" w:eastAsia="Arial" w:hAnsi="Arial"/>
          <w:sz w:val="18"/>
          <w:szCs w:val="18"/>
          <w:color w:val="auto"/>
        </w:rPr>
      </w:pPr>
    </w:p>
    <w:p>
      <w:pPr>
        <w:ind w:left="1420" w:hanging="331"/>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420" w:hanging="331"/>
        <w:spacing w:after="0"/>
        <w:tabs>
          <w:tab w:leader="none" w:pos="14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if any, on) or any installment of principal of or interest on the Notes;</w:t>
      </w:r>
    </w:p>
    <w:p>
      <w:pPr>
        <w:sectPr>
          <w:pgSz w:w="11900" w:h="16838" w:orient="portrait"/>
          <w:cols w:equalWidth="0" w:num="1">
            <w:col w:w="11000"/>
          </w:cols>
          <w:pgMar w:left="440" w:top="274" w:right="459" w:bottom="1440" w:gutter="0" w:footer="0" w:header="0"/>
        </w:sectPr>
      </w:pPr>
    </w:p>
    <w:bookmarkStart w:id="154" w:name="page155"/>
    <w:bookmarkEnd w:id="154"/>
    <w:p>
      <w:pPr>
        <w:ind w:left="1420" w:hanging="331"/>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reduce any amounts due on the Notes or reduce the rate of interest on the Notes;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Note following a default;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 and</w:t>
      </w:r>
    </w:p>
    <w:p>
      <w:pPr>
        <w:spacing w:after="0" w:line="130" w:lineRule="exact"/>
        <w:rPr>
          <w:rFonts w:ascii="Arial" w:cs="Arial" w:eastAsia="Arial" w:hAnsi="Arial"/>
          <w:sz w:val="18"/>
          <w:szCs w:val="18"/>
          <w:color w:val="auto"/>
        </w:rPr>
      </w:pPr>
    </w:p>
    <w:p>
      <w:pPr>
        <w:ind w:left="1420" w:right="20" w:hanging="331"/>
        <w:spacing w:after="0" w:line="263"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420" w:hanging="331"/>
        <w:spacing w:after="0"/>
        <w:tabs>
          <w:tab w:leader="none" w:pos="14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the change affects only the Notes, it must be approved by the holders of a majority in principal amount of the Notes; and</w:t>
      </w:r>
    </w:p>
    <w:p>
      <w:pPr>
        <w:spacing w:after="0" w:line="142" w:lineRule="exact"/>
        <w:rPr>
          <w:rFonts w:ascii="Arial" w:cs="Arial" w:eastAsia="Arial" w:hAnsi="Arial"/>
          <w:sz w:val="17"/>
          <w:szCs w:val="17"/>
          <w:color w:val="auto"/>
        </w:rPr>
      </w:pPr>
    </w:p>
    <w:p>
      <w:pPr>
        <w:ind w:left="1420" w:right="80" w:hanging="331"/>
        <w:spacing w:after="0" w:line="263"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“Defeasance—Full Defeasance” below.</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w:t>
      </w:r>
    </w:p>
    <w:p>
      <w:pPr>
        <w:sectPr>
          <w:pgSz w:w="11900" w:h="16838" w:orient="portrait"/>
          <w:cols w:equalWidth="0" w:num="1">
            <w:col w:w="11000"/>
          </w:cols>
          <w:pgMar w:left="440" w:top="274"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Defeasance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be applicable to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w:t>
      </w:r>
    </w:p>
    <w:p>
      <w:pPr>
        <w:spacing w:after="0" w:line="92" w:lineRule="exact"/>
        <w:rPr>
          <w:sz w:val="20"/>
          <w:szCs w:val="20"/>
          <w:color w:val="auto"/>
        </w:rPr>
      </w:pPr>
    </w:p>
    <w:p>
      <w:pPr>
        <w:jc w:val="both"/>
        <w:ind w:left="1420" w:right="40" w:hanging="331"/>
        <w:spacing w:after="0" w:line="263"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89" w:lineRule="exact"/>
        <w:rPr>
          <w:rFonts w:ascii="Arial" w:cs="Arial" w:eastAsia="Arial" w:hAnsi="Arial"/>
          <w:sz w:val="18"/>
          <w:szCs w:val="18"/>
          <w:color w:val="auto"/>
        </w:rPr>
      </w:pPr>
    </w:p>
    <w:p>
      <w:pPr>
        <w:ind w:left="1420" w:right="240" w:hanging="331"/>
        <w:spacing w:after="0" w:line="342" w:lineRule="auto"/>
        <w:tabs>
          <w:tab w:leader="none" w:pos="1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29" w:lineRule="exact"/>
        <w:rPr>
          <w:rFonts w:ascii="Arial" w:cs="Arial" w:eastAsia="Arial" w:hAnsi="Arial"/>
          <w:sz w:val="16"/>
          <w:szCs w:val="16"/>
          <w:color w:val="auto"/>
        </w:rPr>
      </w:pPr>
    </w:p>
    <w:p>
      <w:pPr>
        <w:ind w:left="1420" w:right="60" w:hanging="331"/>
        <w:spacing w:after="0" w:line="263"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89" w:lineRule="exact"/>
        <w:rPr>
          <w:rFonts w:ascii="Arial" w:cs="Arial" w:eastAsia="Arial" w:hAnsi="Arial"/>
          <w:sz w:val="18"/>
          <w:szCs w:val="18"/>
          <w:color w:val="auto"/>
        </w:rPr>
      </w:pPr>
    </w:p>
    <w:p>
      <w:pPr>
        <w:ind w:left="1420" w:right="640" w:hanging="331"/>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the Indenture or any of our other material agreements or instruments; and</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60 days.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there is a change in U.S. federal income tax law, as described below, we can legally release ourselves from all payment and other obligations on the Notes (called “full defeasance”) if we put in place the following other arrangements for you to be repaid:</w:t>
      </w:r>
    </w:p>
    <w:p>
      <w:pPr>
        <w:spacing w:after="0" w:line="76" w:lineRule="exact"/>
        <w:rPr>
          <w:sz w:val="20"/>
          <w:szCs w:val="20"/>
          <w:color w:val="auto"/>
        </w:rPr>
      </w:pPr>
    </w:p>
    <w:p>
      <w:pPr>
        <w:ind w:left="1420" w:right="40" w:hanging="331"/>
        <w:spacing w:after="0" w:line="26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spacing w:after="0" w:line="89" w:lineRule="exact"/>
        <w:rPr>
          <w:rFonts w:ascii="Arial" w:cs="Arial" w:eastAsia="Arial" w:hAnsi="Arial"/>
          <w:sz w:val="18"/>
          <w:szCs w:val="18"/>
          <w:color w:val="auto"/>
        </w:rPr>
      </w:pPr>
    </w:p>
    <w:p>
      <w:pPr>
        <w:ind w:left="1420" w:right="80" w:hanging="331"/>
        <w:spacing w:after="0" w:line="26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w:t>
      </w:r>
    </w:p>
    <w:p>
      <w:pPr>
        <w:spacing w:after="0" w:line="89" w:lineRule="exact"/>
        <w:rPr>
          <w:rFonts w:ascii="Arial" w:cs="Arial" w:eastAsia="Arial" w:hAnsi="Arial"/>
          <w:sz w:val="18"/>
          <w:szCs w:val="18"/>
          <w:color w:val="auto"/>
        </w:rPr>
      </w:pPr>
    </w:p>
    <w:p>
      <w:pPr>
        <w:ind w:left="1420" w:right="60" w:hanging="331"/>
        <w:spacing w:after="0" w:line="263"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89" w:lineRule="exact"/>
        <w:rPr>
          <w:rFonts w:ascii="Arial" w:cs="Arial" w:eastAsia="Arial" w:hAnsi="Arial"/>
          <w:sz w:val="18"/>
          <w:szCs w:val="18"/>
          <w:color w:val="auto"/>
        </w:rPr>
      </w:pPr>
    </w:p>
    <w:p>
      <w:pPr>
        <w:ind w:left="1420" w:right="520" w:hanging="331"/>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the Indenture or any of our other material agreements or instruments; and</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60 days.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ectPr>
          <w:pgSz w:w="11900" w:h="16838" w:orient="portrait"/>
          <w:cols w:equalWidth="0" w:num="1">
            <w:col w:w="10960"/>
          </w:cols>
          <w:pgMar w:left="440" w:top="270" w:right="4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Resignation of Trustee</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Subordination</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8"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60" w:right="440" w:hanging="424"/>
        <w:spacing w:after="0" w:line="286" w:lineRule="auto"/>
        <w:tabs>
          <w:tab w:leader="none" w:pos="9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U.S Bank National Association serves as the Trustee, paying agent, and security registrar under the Indenture. Separately, our securities are held by U.S. Bank National Association pursuant to a custody agreement.</w:t>
      </w:r>
    </w:p>
    <w:p>
      <w:pPr>
        <w:sectPr>
          <w:pgSz w:w="11900" w:h="16838" w:orient="portrait"/>
          <w:cols w:equalWidth="0" w:num="1">
            <w:col w:w="11000"/>
          </w:cols>
          <w:pgMar w:left="440" w:top="270" w:right="45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Exhibit 21.1</w:t>
            </w:r>
          </w:p>
        </w:tc>
      </w:tr>
      <w:tr>
        <w:trPr>
          <w:trHeight w:val="648"/>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30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SUBSIDIARIES OF FIDUS INVESTMENT CORPORATION</w:t>
            </w:r>
          </w:p>
        </w:tc>
      </w:tr>
      <w:tr>
        <w:trPr>
          <w:trHeight w:val="412"/>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Jurisdiction</w:t>
            </w:r>
          </w:p>
        </w:tc>
      </w:tr>
      <w:tr>
        <w:trPr>
          <w:trHeight w:val="202"/>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BBRSS Blocker Corp.</w:t>
            </w:r>
          </w:p>
        </w:tc>
        <w:tc>
          <w:tcPr>
            <w:tcW w:w="7400" w:type="dxa"/>
            <w:vAlign w:val="bottom"/>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7"/>
                <w:szCs w:val="17"/>
                <w:color w:val="auto"/>
              </w:rPr>
            </w:pPr>
          </w:p>
        </w:tc>
      </w:tr>
      <w:tr>
        <w:trPr>
          <w:trHeight w:val="214"/>
        </w:trPr>
        <w:tc>
          <w:tcPr>
            <w:tcW w:w="2740" w:type="dxa"/>
            <w:vAlign w:val="bottom"/>
            <w:gridSpan w:val="2"/>
          </w:tcPr>
          <w:p>
            <w:pPr>
              <w:spacing w:after="0"/>
              <w:rPr>
                <w:sz w:val="20"/>
                <w:szCs w:val="20"/>
                <w:color w:val="auto"/>
              </w:rPr>
            </w:pPr>
            <w:r>
              <w:rPr>
                <w:rFonts w:ascii="Arial" w:cs="Arial" w:eastAsia="Arial" w:hAnsi="Arial"/>
                <w:sz w:val="18"/>
                <w:szCs w:val="18"/>
                <w:color w:val="auto"/>
              </w:rPr>
              <w:t>FCDS Corp.</w:t>
            </w:r>
          </w:p>
        </w:tc>
        <w:tc>
          <w:tcPr>
            <w:tcW w:w="7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32"/>
        </w:trPr>
        <w:tc>
          <w:tcPr>
            <w:tcW w:w="2740" w:type="dxa"/>
            <w:vAlign w:val="bottom"/>
            <w:gridSpan w:val="2"/>
          </w:tcPr>
          <w:p>
            <w:pPr>
              <w:spacing w:after="0"/>
              <w:rPr>
                <w:sz w:val="20"/>
                <w:szCs w:val="20"/>
                <w:color w:val="auto"/>
              </w:rPr>
            </w:pPr>
            <w:r>
              <w:rPr>
                <w:rFonts w:ascii="Arial" w:cs="Arial" w:eastAsia="Arial" w:hAnsi="Arial"/>
                <w:sz w:val="18"/>
                <w:szCs w:val="18"/>
                <w:color w:val="auto"/>
              </w:rPr>
              <w:t>FCMH Equity Corp.</w:t>
            </w:r>
          </w:p>
        </w:tc>
        <w:tc>
          <w:tcPr>
            <w:tcW w:w="74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Delaware</w:t>
            </w:r>
          </w:p>
        </w:tc>
      </w:tr>
      <w:tr>
        <w:trPr>
          <w:trHeight w:val="214"/>
        </w:trPr>
        <w:tc>
          <w:tcPr>
            <w:tcW w:w="2740" w:type="dxa"/>
            <w:vAlign w:val="bottom"/>
            <w:gridSpan w:val="2"/>
          </w:tcPr>
          <w:p>
            <w:pPr>
              <w:spacing w:after="0"/>
              <w:rPr>
                <w:sz w:val="20"/>
                <w:szCs w:val="20"/>
                <w:color w:val="auto"/>
              </w:rPr>
            </w:pPr>
            <w:r>
              <w:rPr>
                <w:rFonts w:ascii="Arial" w:cs="Arial" w:eastAsia="Arial" w:hAnsi="Arial"/>
                <w:sz w:val="18"/>
                <w:szCs w:val="18"/>
                <w:color w:val="auto"/>
              </w:rPr>
              <w:t>Fidus Capital GP, LLC</w:t>
            </w:r>
          </w:p>
        </w:tc>
        <w:tc>
          <w:tcPr>
            <w:tcW w:w="7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29"/>
        </w:trPr>
        <w:tc>
          <w:tcPr>
            <w:tcW w:w="2740" w:type="dxa"/>
            <w:vAlign w:val="bottom"/>
            <w:gridSpan w:val="2"/>
          </w:tcPr>
          <w:p>
            <w:pPr>
              <w:spacing w:after="0"/>
              <w:rPr>
                <w:sz w:val="20"/>
                <w:szCs w:val="20"/>
                <w:color w:val="auto"/>
              </w:rPr>
            </w:pPr>
            <w:r>
              <w:rPr>
                <w:rFonts w:ascii="Arial" w:cs="Arial" w:eastAsia="Arial" w:hAnsi="Arial"/>
                <w:sz w:val="18"/>
                <w:szCs w:val="18"/>
                <w:color w:val="auto"/>
              </w:rPr>
              <w:t>Fidus Investment GP, LLC</w:t>
            </w:r>
          </w:p>
        </w:tc>
        <w:tc>
          <w:tcPr>
            <w:tcW w:w="74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Delaware</w:t>
            </w:r>
          </w:p>
        </w:tc>
      </w:tr>
      <w:tr>
        <w:trPr>
          <w:trHeight w:val="232"/>
        </w:trPr>
        <w:tc>
          <w:tcPr>
            <w:tcW w:w="2740" w:type="dxa"/>
            <w:vAlign w:val="bottom"/>
            <w:gridSpan w:val="2"/>
          </w:tcPr>
          <w:p>
            <w:pPr>
              <w:spacing w:after="0"/>
              <w:rPr>
                <w:sz w:val="20"/>
                <w:szCs w:val="20"/>
                <w:color w:val="auto"/>
              </w:rPr>
            </w:pPr>
            <w:r>
              <w:rPr>
                <w:rFonts w:ascii="Arial" w:cs="Arial" w:eastAsia="Arial" w:hAnsi="Arial"/>
                <w:sz w:val="18"/>
                <w:szCs w:val="18"/>
                <w:color w:val="auto"/>
              </w:rPr>
              <w:t>Fidus Mezzanine Capital, L.P.</w:t>
            </w:r>
          </w:p>
        </w:tc>
        <w:tc>
          <w:tcPr>
            <w:tcW w:w="74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Delaware</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Fidus Mezzanine Capital II, L.P.</w:t>
            </w:r>
          </w:p>
        </w:tc>
        <w:tc>
          <w:tcPr>
            <w:tcW w:w="7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Fidus Mezzanine Capital III, L.P.</w:t>
            </w:r>
          </w:p>
        </w:tc>
        <w:tc>
          <w:tcPr>
            <w:tcW w:w="7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Fidus Investment Holdings, Inc.</w:t>
            </w:r>
          </w:p>
        </w:tc>
        <w:tc>
          <w:tcPr>
            <w:tcW w:w="74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20"/>
          </w:cols>
          <w:pgMar w:left="440" w:top="121"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25,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February 25,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Fidus Investment Corporation (the “Company”) for the annual period ended December 31, 2020,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60" w:hanging="532"/>
        <w:spacing w:after="0"/>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1)"/>
      <w:numFmt w:val="decimal"/>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1)"/>
      <w:numFmt w:val="decimal"/>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1)"/>
      <w:numFmt w:val="lowerLetter"/>
      <w:start w:val="1"/>
    </w:lvl>
    <w:lvl w:ilvl="1">
      <w:lvlJc w:val="left"/>
      <w:lvlText w:val="•"/>
      <w:numFmt w:val="bullet"/>
      <w:start w:val="1"/>
    </w:lvl>
  </w:abstractNum>
  <w:abstractNum w:abstractNumId="19">
    <w:nsid w:val="540A471C"/>
    <w:multiLevelType w:val="hybridMultilevel"/>
    <w:lvl w:ilvl="0">
      <w:lvlJc w:val="left"/>
      <w:lvlText w:val="•"/>
      <w:numFmt w:val="bullet"/>
      <w:start w:val="1"/>
    </w:lvl>
    <w:lvl w:ilvl="1">
      <w:lvlJc w:val="left"/>
      <w:lvlText w:val="•"/>
      <w:numFmt w:val="bullet"/>
      <w:start w:val="1"/>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lvl w:ilvl="1">
      <w:lvlJc w:val="left"/>
      <w:lvlText w:val="•"/>
      <w:numFmt w:val="bullet"/>
      <w:start w:val="1"/>
    </w:lvl>
  </w:abstractNum>
  <w:abstractNum w:abstractNumId="24">
    <w:nsid w:val="11447B73"/>
    <w:multiLevelType w:val="hybridMultilevel"/>
    <w:lvl w:ilvl="0">
      <w:lvlJc w:val="left"/>
      <w:lvlText w:val="(%1)"/>
      <w:numFmt w:val="lowerRoman"/>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1)"/>
      <w:numFmt w:val="decimal"/>
      <w:start w:val="2"/>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decimal"/>
      <w:start w:val="8"/>
    </w:lvl>
  </w:abstractNum>
  <w:abstractNum w:abstractNumId="42">
    <w:nsid w:val="94211F2"/>
    <w:multiLevelType w:val="hybridMultilevel"/>
    <w:lvl w:ilvl="0">
      <w:lvlJc w:val="left"/>
      <w:lvlText w:val="(%1)"/>
      <w:numFmt w:val="decimal"/>
      <w:start w:val="1"/>
    </w:lvl>
  </w:abstractNum>
  <w:abstractNum w:abstractNumId="43">
    <w:nsid w:val="885E1B"/>
    <w:multiLevelType w:val="hybridMultilevel"/>
    <w:lvl w:ilvl="0">
      <w:lvlJc w:val="left"/>
      <w:lvlText w:val="(%1)"/>
      <w:numFmt w:val="decimal"/>
      <w:start w:val="5"/>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upperLetter"/>
      <w:start w:val="3"/>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1)"/>
      <w:numFmt w:val="decimal"/>
      <w:start w:val="2"/>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2"/>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24"/>
    </w:lvl>
  </w:abstractNum>
  <w:abstractNum w:abstractNumId="70">
    <w:nsid w:val="6A5F7029"/>
    <w:multiLevelType w:val="hybridMultilevel"/>
    <w:lvl w:ilvl="0">
      <w:lvlJc w:val="left"/>
      <w:lvlText w:val="(%1)"/>
      <w:numFmt w:val="lowerLetter"/>
      <w:start w:val="27"/>
    </w:lvl>
  </w:abstractNum>
  <w:abstractNum w:abstractNumId="71">
    <w:nsid w:val="7D5E18F8"/>
    <w:multiLevelType w:val="hybridMultilevel"/>
    <w:lvl w:ilvl="0">
      <w:lvlJc w:val="left"/>
      <w:lvlText w:val="(%1)"/>
      <w:numFmt w:val="lowerLetter"/>
      <w:start w:val="1"/>
    </w:lvl>
  </w:abstractNum>
  <w:abstractNum w:abstractNumId="72">
    <w:nsid w:val="5F3534A4"/>
    <w:multiLevelType w:val="hybridMultilevel"/>
    <w:lvl w:ilvl="0">
      <w:lvlJc w:val="left"/>
      <w:lvlText w:val="(%1)"/>
      <w:numFmt w:val="lowerLetter"/>
      <w:start w:val="24"/>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1)"/>
      <w:numFmt w:val="decimal"/>
      <w:start w:val="2"/>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1)"/>
      <w:numFmt w:val="decimal"/>
      <w:start w:val="1"/>
    </w:lvl>
  </w:abstractNum>
  <w:abstractNum w:abstractNumId="80">
    <w:nsid w:val="9DAF632"/>
    <w:multiLevelType w:val="hybridMultilevel"/>
    <w:lvl w:ilvl="0">
      <w:lvlJc w:val="left"/>
      <w:lvlText w:val="(%1)"/>
      <w:numFmt w:val="decimal"/>
      <w:start w:val="1"/>
    </w:lvl>
  </w:abstractNum>
  <w:abstractNum w:abstractNumId="81">
    <w:nsid w:val="53299938"/>
    <w:multiLevelType w:val="hybridMultilevel"/>
    <w:lvl w:ilvl="0">
      <w:lvlJc w:val="left"/>
      <w:lvlText w:val="(%1)"/>
      <w:numFmt w:val="decimal"/>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1)"/>
      <w:numFmt w:val="lowerRoman"/>
      <w:start w:val="1"/>
    </w:lvl>
  </w:abstractNum>
  <w:abstractNum w:abstractNumId="84">
    <w:nsid w:val="1D545C4D"/>
    <w:multiLevelType w:val="hybridMultilevel"/>
    <w:lvl w:ilvl="0">
      <w:lvlJc w:val="left"/>
      <w:lvlText w:val="(%1)"/>
      <w:numFmt w:val="upperLetter"/>
      <w:start w:val="3"/>
    </w:lvl>
  </w:abstractNum>
  <w:abstractNum w:abstractNumId="85">
    <w:nsid w:val="59ADEA3D"/>
    <w:multiLevelType w:val="hybridMultilevel"/>
    <w:lvl w:ilvl="0">
      <w:lvlJc w:val="left"/>
      <w:lvlText w:val="(%1)"/>
      <w:numFmt w:val="decimal"/>
      <w:start w:val="1"/>
    </w:lvl>
  </w:abstractNum>
  <w:abstractNum w:abstractNumId="86">
    <w:nsid w:val="288F1A34"/>
    <w:multiLevelType w:val="hybridMultilevel"/>
    <w:lvl w:ilvl="0">
      <w:lvlJc w:val="left"/>
      <w:lvlText w:val="(%1)"/>
      <w:numFmt w:val="decimal"/>
      <w:start w:val="1"/>
    </w:lvl>
  </w:abstractNum>
  <w:abstractNum w:abstractNumId="87">
    <w:nsid w:val="2A155DBC"/>
    <w:multiLevelType w:val="hybridMultilevel"/>
    <w:lvl w:ilvl="0">
      <w:lvlJc w:val="left"/>
      <w:lvlText w:val="(%1)"/>
      <w:numFmt w:val="decimal"/>
      <w:start w:val="1"/>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decimal"/>
      <w:start w:val="1"/>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1)"/>
      <w:numFmt w:val="decimal"/>
      <w:start w:val="1"/>
    </w:lvl>
  </w:abstractNum>
  <w:abstractNum w:abstractNumId="94">
    <w:nsid w:val="7C58FD05"/>
    <w:multiLevelType w:val="hybridMultilevel"/>
    <w:lvl w:ilvl="0">
      <w:lvlJc w:val="left"/>
      <w:lvlText w:val="(%1)"/>
      <w:numFmt w:val="decimal"/>
      <w:start w:val="1"/>
    </w:lvl>
  </w:abstractNum>
  <w:abstractNum w:abstractNumId="95">
    <w:nsid w:val="23D86AAC"/>
    <w:multiLevelType w:val="hybridMultilevel"/>
    <w:lvl w:ilvl="0">
      <w:lvlJc w:val="left"/>
      <w:lvlText w:val="(%1)"/>
      <w:numFmt w:val="decimal"/>
      <w:start w:val="1"/>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
      <w:numFmt w:val="bullet"/>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decimal"/>
      <w:start w:val="2"/>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
      <w:numFmt w:val="bullet"/>
      <w:start w:val="1"/>
    </w:lvl>
  </w:abstractNum>
  <w:abstractNum w:abstractNumId="108">
    <w:nsid w:val="4C9B0904"/>
    <w:multiLevelType w:val="hybridMultilevel"/>
    <w:lvl w:ilvl="0">
      <w:lvlJc w:val="left"/>
      <w:lvlText w:val="%1."/>
      <w:numFmt w:val="upperLetter"/>
      <w:start w:val="1"/>
    </w:lvl>
  </w:abstractNum>
  <w:abstractNum w:abstractNumId="109">
    <w:nsid w:val="6AA7B75C"/>
    <w:multiLevelType w:val="hybridMultilevel"/>
    <w:lvl w:ilvl="0">
      <w:lvlJc w:val="left"/>
      <w:lvlText w:val="1"/>
      <w:numFmt w:val="bullet"/>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
      <w:numFmt w:val="bullet"/>
      <w:start w:val="1"/>
    </w:lvl>
  </w:abstractNum>
  <w:abstractNum w:abstractNumId="113">
    <w:nsid w:val="3DB012B3"/>
    <w:multiLevelType w:val="hybridMultilevel"/>
    <w:lvl w:ilvl="0">
      <w:lvlJc w:val="left"/>
      <w:lvlText w:val="•"/>
      <w:numFmt w:val="bullet"/>
      <w:start w:val="1"/>
    </w:lvl>
  </w:abstractNum>
  <w:abstractNum w:abstractNumId="114">
    <w:nsid w:val="2708C9AF"/>
    <w:multiLevelType w:val="hybridMultilevel"/>
    <w:lvl w:ilvl="0">
      <w:lvlJc w:val="left"/>
      <w:lvlText w:val="%1."/>
      <w:numFmt w:val="upperLetter"/>
      <w:start w:val="2"/>
    </w:lvl>
  </w:abstractNum>
  <w:abstractNum w:abstractNumId="115">
    <w:nsid w:val="5B25ACE2"/>
    <w:multiLevelType w:val="hybridMultilevel"/>
    <w:lvl w:ilvl="0">
      <w:lvlJc w:val="left"/>
      <w:lvlText w:val="•"/>
      <w:numFmt w:val="bullet"/>
      <w:start w:val="1"/>
    </w:lvl>
  </w:abstractNum>
  <w:abstractNum w:abstractNumId="116">
    <w:nsid w:val="175DFCF0"/>
    <w:multiLevelType w:val="hybridMultilevel"/>
    <w:lvl w:ilvl="0">
      <w:lvlJc w:val="left"/>
      <w:lvlText w:val="•"/>
      <w:numFmt w:val="bullet"/>
      <w:start w:val="1"/>
    </w:lvl>
  </w:abstractNum>
  <w:abstractNum w:abstractNumId="117">
    <w:nsid w:val="4F97E3E4"/>
    <w:multiLevelType w:val="hybridMultilevel"/>
    <w:lvl w:ilvl="0">
      <w:lvlJc w:val="left"/>
      <w:lvlText w:val="•"/>
      <w:numFmt w:val="bullet"/>
      <w:start w:val="1"/>
    </w:lvl>
  </w:abstractNum>
  <w:abstractNum w:abstractNumId="118">
    <w:nsid w:val="53B0A9E"/>
    <w:multiLevelType w:val="hybridMultilevel"/>
    <w:lvl w:ilvl="0">
      <w:lvlJc w:val="left"/>
      <w:lvlText w:val="•"/>
      <w:numFmt w:val="bullet"/>
      <w:start w:val="1"/>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
      <w:numFmt w:val="bullet"/>
      <w:start w:val="1"/>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3" Type="http://schemas.openxmlformats.org/officeDocument/2006/relationships/image" Target="media/image159.png"/><Relationship Id="rId184"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166" Type="http://schemas.openxmlformats.org/officeDocument/2006/relationships/hyperlink" Target="http://www.sec.gov/Archives/edgar/data/1513363/000095012311041885/w81466a2exv99wxayx1y.htm" TargetMode="External"/><Relationship Id="rId167" Type="http://schemas.openxmlformats.org/officeDocument/2006/relationships/hyperlink" Target="http://www.sec.gov/Archives/edgar/data/1513363/000095012311041885/w81466a2exv99wxbyx1y.htm" TargetMode="External"/><Relationship Id="rId168" Type="http://schemas.openxmlformats.org/officeDocument/2006/relationships/hyperlink" Target="http://www.sec.gov/Archives/edgar/data/1513363/000095012311041885/w81466a2exv99wxdy.htm" TargetMode="External"/><Relationship Id="rId169" Type="http://schemas.openxmlformats.org/officeDocument/2006/relationships/hyperlink" Target="http://www.sec.gov/Archives/edgar/data/1513363/000095012311054001/w81466a3exv99wxfyx2y.htm" TargetMode="External"/><Relationship Id="rId170" Type="http://schemas.openxmlformats.org/officeDocument/2006/relationships/hyperlink" Target="http://www.sec.gov/Archives/edgar/data/1513363/000119312516569246/d141023dex99d5.htm" TargetMode="External"/><Relationship Id="rId171" Type="http://schemas.openxmlformats.org/officeDocument/2006/relationships/hyperlink" Target="http://www.sec.gov/Archives/edgar/data/1513363/000119312518030306/d506486dex99d9.htm" TargetMode="External"/><Relationship Id="rId172" Type="http://schemas.openxmlformats.org/officeDocument/2006/relationships/hyperlink" Target="http://www.sec.gov/Archives/edgar/data/1513363/000119312519031762/d656014dex99d11.htm" TargetMode="External"/><Relationship Id="rId174" Type="http://schemas.openxmlformats.org/officeDocument/2006/relationships/hyperlink" Target="http://www.sec.gov/Archives/edgar/data/1513363/000119312519268472/d791556dex42.htm" TargetMode="External"/><Relationship Id="rId175" Type="http://schemas.openxmlformats.org/officeDocument/2006/relationships/hyperlink" Target="http://www.sec.gov/Archives/edgar/data/1513363/000119312520325989/d97521dex41.htm" TargetMode="External"/><Relationship Id="rId176" Type="http://schemas.openxmlformats.org/officeDocument/2006/relationships/hyperlink" Target="http://www.sec.gov/Archives/edgar/data/1513363/000095012311041885/w81466a2exv99wxgy.htm" TargetMode="External"/><Relationship Id="rId177" Type="http://schemas.openxmlformats.org/officeDocument/2006/relationships/hyperlink" Target="http://www.sec.gov/Archives/edgar/data/1513363/000095012311054001/w81466a3exv99wxjy.htm" TargetMode="External"/><Relationship Id="rId178" Type="http://schemas.openxmlformats.org/officeDocument/2006/relationships/hyperlink" Target="http://www.sec.gov/Archives/edgar/data/1513363/000095012311041885/w81466a2exv99wxkyx1y.htm" TargetMode="External"/><Relationship Id="rId179" Type="http://schemas.openxmlformats.org/officeDocument/2006/relationships/hyperlink" Target="http://www.sec.gov/Archives/edgar/data/1513363/000095012311054001/w81466a3exv99wxkyx2y.htm" TargetMode="External"/><Relationship Id="rId180" Type="http://schemas.openxmlformats.org/officeDocument/2006/relationships/hyperlink" Target="http://www.sec.gov/Archives/edgar/data/1513363/000095012311058363/w81466a4exv99wxkyx3y.htm" TargetMode="External"/><Relationship Id="rId181" Type="http://schemas.openxmlformats.org/officeDocument/2006/relationships/hyperlink" Target="http://www.sec.gov/Archives/edgar/data/1513363/000119312512368556/d382647dex99e.htm" TargetMode="External"/><Relationship Id="rId182" Type="http://schemas.openxmlformats.org/officeDocument/2006/relationships/hyperlink" Target="http://www.sec.gov/Archives/edgar/data/1513363/000119312514086785/d685842dex107.htm" TargetMode="External"/><Relationship Id="rId183" Type="http://schemas.openxmlformats.org/officeDocument/2006/relationships/hyperlink" Target="http://www.sec.gov/Archives/edgar/data/1513363/000119312514243140/d744226dex101.htm" TargetMode="External"/><Relationship Id="rId185" Type="http://schemas.openxmlformats.org/officeDocument/2006/relationships/hyperlink" Target="http://www.sec.gov/Archives/edgar/data/1513363/000119312514450573/d841078dex101.htm" TargetMode="External"/><Relationship Id="rId186" Type="http://schemas.openxmlformats.org/officeDocument/2006/relationships/hyperlink" Target="http://www.sec.gov/Archives/edgar/data/1513363/000119312518000597/d517547dex101.htm" TargetMode="External"/><Relationship Id="rId187" Type="http://schemas.openxmlformats.org/officeDocument/2006/relationships/hyperlink" Target="http://www.sec.gov/Archives/edgar/data/1513363/000119312518184440/d457777dex101.htm" TargetMode="External"/><Relationship Id="rId188" Type="http://schemas.openxmlformats.org/officeDocument/2006/relationships/hyperlink" Target="http://www.sec.gov/Archives/edgar/data/1513363/000119312518303037/d608971dex101.htm" TargetMode="External"/><Relationship Id="rId189" Type="http://schemas.openxmlformats.org/officeDocument/2006/relationships/hyperlink" Target="http://www.sec.gov/Archives/edgar/data/1513363/000119312519117122/d737015dex101.htm" TargetMode="External"/><Relationship Id="rId190" Type="http://schemas.openxmlformats.org/officeDocument/2006/relationships/hyperlink" Target="http://www.sec.gov/Archives/edgar/data/1513363/000119312519117122/d737015dex102.htm" TargetMode="External"/><Relationship Id="rId191" Type="http://schemas.openxmlformats.org/officeDocument/2006/relationships/hyperlink" Target="http://www.sec.gov/Archives/edgar/data/1513363/000119312512104127/d309911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2021-02-25T15:46:53Z</dcterms:created>
  <dcterms:modified xsi:type="dcterms:W3CDTF">2021-02-25T15:46:53Z</dcterms:modified>
</cp:coreProperties>
</file>