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80"/>
        <w:jc w:val="center"/>
        <w:rPr/>
      </w:pPr>
      <w:bookmarkStart w:id="0" w:name="fdus-20250331.htm"/>
      <w:bookmarkStart w:id="1" w:name="ksfdus20250331"/>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 xml:space="preserve">________________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rFonts w:ascii="Times New Roman" w:hAnsi="Times New Roman"/>
          <w:color w:val="000000"/>
          <w:sz w:val="20"/>
        </w:rPr>
      </w:pPr>
      <w:r>
        <w:rPr>
          <w:rFonts w:ascii="Times New Roman" w:hAnsi="Times New Roman"/>
          <w:color w:val="000000"/>
          <w:sz w:val="20"/>
        </w:rPr>
        <w:t>(Mark One)</w:t>
      </w:r>
    </w:p>
    <w:p>
      <w:pPr>
        <w:pStyle w:val="TextBody"/>
        <w:bidi w:val="0"/>
        <w:spacing w:before="60" w:after="283"/>
        <w:jc w:val="center"/>
        <w:rPr/>
      </w:pPr>
      <w:r>
        <w:rPr>
          <w:color w:val="000000"/>
        </w:rPr>
        <w:t xml:space="preserve">☑ </w:t>
      </w:r>
      <w:r>
        <w:rPr>
          <w:rFonts w:ascii="Times New Roman" w:hAnsi="Times New Roman"/>
          <w:b/>
          <w:color w:val="000000"/>
          <w:sz w:val="20"/>
        </w:rPr>
        <w:t>QUARTERLY REPORT PURSUANT TO SECTION 13 OR 15(d) OF THE SECURITIES</w:t>
      </w:r>
      <w:r>
        <w:rPr>
          <w:rFonts w:ascii="Times New Roman" w:hAnsi="Times New Roman"/>
          <w:color w:val="000000"/>
          <w:sz w:val="20"/>
        </w:rPr>
        <w:t xml:space="preserve"> </w:t>
      </w:r>
      <w:r>
        <w:rPr>
          <w:rFonts w:ascii="Times New Roman" w:hAnsi="Times New Roman"/>
          <w:b/>
          <w:color w:val="000000"/>
          <w:sz w:val="20"/>
        </w:rPr>
        <w:t>EXCHANGE ACT OF 1934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center"/>
        <w:rPr/>
      </w:pPr>
      <w:r>
        <w:rPr>
          <w:color w:val="000000"/>
        </w:rPr>
        <w:t xml:space="preserve">☐ </w:t>
      </w:r>
      <w:r>
        <w:rPr>
          <w:rFonts w:ascii="Times New Roman" w:hAnsi="Times New Roman"/>
          <w:b/>
          <w:color w:val="000000"/>
          <w:sz w:val="20"/>
        </w:rPr>
        <w:t>TRANSITION REPORT PURSUANT TO SECTION 13 OR 15(d) OF THE SECURITIES</w:t>
      </w:r>
      <w:r>
        <w:rPr>
          <w:rFonts w:ascii="Times New Roman" w:hAnsi="Times New Roman"/>
          <w:color w:val="000000"/>
          <w:sz w:val="20"/>
        </w:rPr>
        <w:t xml:space="preserve"> </w:t>
      </w:r>
      <w:r>
        <w:rPr>
          <w:rFonts w:ascii="Times New Roman" w:hAnsi="Times New Roman"/>
          <w:b/>
          <w:color w:val="000000"/>
          <w:sz w:val="20"/>
        </w:rPr>
        <w:t>EXCHANGE ACT OF 1934</w:t>
      </w:r>
    </w:p>
    <w:p>
      <w:pPr>
        <w:pStyle w:val="TextBody"/>
        <w:bidi w:val="0"/>
        <w:spacing w:before="6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814-00861</w:t>
      </w:r>
    </w:p>
    <w:p>
      <w:pPr>
        <w:pStyle w:val="TextBody"/>
        <w:bidi w:val="0"/>
        <w:jc w:val="left"/>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Fidus Investment Corporation</w:t>
      </w:r>
    </w:p>
    <w:p>
      <w:pPr>
        <w:pStyle w:val="TextBody"/>
        <w:bidi w:val="0"/>
        <w:jc w:val="center"/>
        <w:rPr>
          <w:rFonts w:ascii="Times New Roman" w:hAnsi="Times New Roman"/>
          <w:i/>
          <w:color w:val="000000"/>
          <w:sz w:val="20"/>
        </w:rPr>
      </w:pPr>
      <w:r>
        <w:rPr>
          <w:rFonts w:ascii="Times New Roman" w:hAnsi="Times New Roman"/>
          <w:i/>
          <w:color w:val="000000"/>
          <w:sz w:val="20"/>
        </w:rPr>
        <w:t>(Exact Name of Registrant as Specified in its Charter)</w:t>
      </w:r>
    </w:p>
    <w:p>
      <w:pPr>
        <w:pStyle w:val="TextBody"/>
        <w:bidi w:val="0"/>
        <w:jc w:val="center"/>
        <w:rPr/>
      </w:pPr>
      <w:r>
        <w:rPr/>
        <w:t> </w:t>
      </w:r>
    </w:p>
    <w:tbl>
      <w:tblPr>
        <w:tblW w:w="4592" w:type="dxa"/>
        <w:jc w:val="left"/>
        <w:tblInd w:w="0" w:type="dxa"/>
        <w:tblLayout w:type="fixed"/>
        <w:tblCellMar>
          <w:top w:w="28" w:type="dxa"/>
          <w:left w:w="28" w:type="dxa"/>
          <w:bottom w:w="28" w:type="dxa"/>
          <w:right w:w="28" w:type="dxa"/>
        </w:tblCellMar>
      </w:tblPr>
      <w:tblGrid>
        <w:gridCol w:w="3106"/>
        <w:gridCol w:w="1486"/>
      </w:tblGrid>
      <w:tr>
        <w:trPr/>
        <w:tc>
          <w:tcPr>
            <w:tcW w:w="310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27-5017321</w:t>
            </w:r>
          </w:p>
        </w:tc>
      </w:tr>
      <w:tr>
        <w:trPr/>
        <w:tc>
          <w:tcPr>
            <w:tcW w:w="3106"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(State or Other Jurisdiction of</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(I.R.S. Employer</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1603 Orrington Avenue, Suite 1005</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Evanston, Illinois</w:t>
            </w:r>
          </w:p>
        </w:tc>
        <w:tc>
          <w:tcPr>
            <w:tcW w:w="148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60201</w:t>
            </w:r>
          </w:p>
        </w:tc>
      </w:tr>
      <w:tr>
        <w:trPr/>
        <w:tc>
          <w:tcPr>
            <w:tcW w:w="31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(847) 859-3940</w:t>
      </w:r>
    </w:p>
    <w:p>
      <w:pPr>
        <w:pStyle w:val="TextBody"/>
        <w:bidi w:val="0"/>
        <w:jc w:val="center"/>
        <w:rPr>
          <w:rFonts w:ascii="Times New Roman" w:hAnsi="Times New Roman"/>
          <w:i/>
          <w:color w:val="000000"/>
          <w:sz w:val="20"/>
        </w:rPr>
      </w:pPr>
      <w:r>
        <w:rPr>
          <w:rFonts w:ascii="Times New Roman" w:hAnsi="Times New Roman"/>
          <w:i/>
          <w:color w:val="000000"/>
          <w:sz w:val="20"/>
        </w:rPr>
        <w:t xml:space="preserve">(Registrant’s telephone number, including area code) </w:t>
      </w:r>
    </w:p>
    <w:p>
      <w:pPr>
        <w:pStyle w:val="TextBody"/>
        <w:bidi w:val="0"/>
        <w:jc w:val="center"/>
        <w:rPr>
          <w:rFonts w:ascii="Times New Roman" w:hAnsi="Times New Roman"/>
          <w:color w:val="000000"/>
          <w:sz w:val="20"/>
        </w:rPr>
      </w:pPr>
      <w:r>
        <w:rPr>
          <w:rFonts w:ascii="Times New Roman" w:hAnsi="Times New Roman"/>
          <w:color w:val="000000"/>
          <w:sz w:val="20"/>
        </w:rPr>
        <w:t xml:space="preserve">________________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i/>
          <w:color w:val="000000"/>
          <w:sz w:val="20"/>
        </w:rPr>
      </w:pPr>
      <w:r>
        <w:rPr>
          <w:rFonts w:ascii="Times New Roman" w:hAnsi="Times New Roman"/>
          <w:i/>
          <w:color w:val="000000"/>
          <w:sz w:val="20"/>
        </w:rPr>
        <w:t>(Former name, former address and former fiscal year, if changed since last report)</w:t>
      </w:r>
    </w:p>
    <w:p>
      <w:pPr>
        <w:pStyle w:val="TextBody"/>
        <w:bidi w:val="0"/>
        <w:jc w:val="center"/>
        <w:rPr>
          <w:rFonts w:ascii="Times New Roman" w:hAnsi="Times New Roman"/>
          <w:b/>
          <w:color w:val="000000"/>
          <w:sz w:val="20"/>
        </w:rPr>
      </w:pPr>
      <w:r>
        <w:rPr>
          <w:rFonts w:ascii="Times New Roman" w:hAnsi="Times New Roman"/>
          <w:b/>
          <w:color w:val="000000"/>
          <w:sz w:val="20"/>
        </w:rPr>
        <w:t>_______________</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8373" w:type="dxa"/>
        <w:jc w:val="left"/>
        <w:tblInd w:w="0" w:type="dxa"/>
        <w:tblLayout w:type="fixed"/>
        <w:tblCellMar>
          <w:top w:w="28" w:type="dxa"/>
          <w:left w:w="28" w:type="dxa"/>
          <w:bottom w:w="28" w:type="dxa"/>
          <w:right w:w="28" w:type="dxa"/>
        </w:tblCellMar>
      </w:tblPr>
      <w:tblGrid>
        <w:gridCol w:w="3601"/>
        <w:gridCol w:w="145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9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FDUS</w:t>
            </w:r>
          </w:p>
        </w:tc>
        <w:tc>
          <w:tcPr>
            <w:tcW w:w="33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9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81"/>
        <w:gridCol w:w="1419"/>
        <w:gridCol w:w="1779"/>
        <w:gridCol w:w="2438"/>
        <w:gridCol w:w="2488"/>
      </w:tblGrid>
      <w:tr>
        <w:trPr/>
        <w:tc>
          <w:tcPr>
            <w:tcW w:w="208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r>
      <w:tr>
        <w:trPr/>
        <w:tc>
          <w:tcPr>
            <w:tcW w:w="2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Large accelerated filer ☐</w:t>
            </w:r>
          </w:p>
        </w:tc>
        <w:tc>
          <w:tcPr>
            <w:tcW w:w="141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Accelerated filer</w:t>
            </w:r>
          </w:p>
          <w:p>
            <w:pPr>
              <w:pStyle w:val="TableContents"/>
              <w:bidi w:val="0"/>
              <w:spacing w:before="0" w:after="283"/>
              <w:jc w:val="center"/>
              <w:rPr>
                <w:color w:val="000000"/>
              </w:rPr>
            </w:pPr>
            <w:r>
              <w:rPr>
                <w:color w:val="000000"/>
              </w:rPr>
              <w:t>☑</w:t>
            </w:r>
          </w:p>
        </w:tc>
        <w:tc>
          <w:tcPr>
            <w:tcW w:w="177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Non-accelerated filer</w:t>
            </w:r>
          </w:p>
          <w:p>
            <w:pPr>
              <w:pStyle w:val="TableContents"/>
              <w:bidi w:val="0"/>
              <w:spacing w:before="0" w:after="283"/>
              <w:jc w:val="center"/>
              <w:rPr>
                <w:color w:val="000000"/>
              </w:rPr>
            </w:pPr>
            <w:r>
              <w:rPr>
                <w:color w:val="000000"/>
              </w:rPr>
              <w:t>☐</w:t>
            </w:r>
          </w:p>
        </w:tc>
        <w:tc>
          <w:tcPr>
            <w:tcW w:w="243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Smaller reporting company ☐</w:t>
            </w:r>
          </w:p>
        </w:tc>
        <w:tc>
          <w:tcPr>
            <w:tcW w:w="248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Emerging growth company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rFonts w:ascii="Times New Roman" w:hAnsi="Times New Roman"/>
          <w:color w:val="000000"/>
          <w:sz w:val="20"/>
        </w:rPr>
      </w:pPr>
      <w:r>
        <w:rPr>
          <w:rFonts w:ascii="Times New Roman" w:hAnsi="Times New Roman"/>
          <w:color w:val="000000"/>
          <w:sz w:val="20"/>
        </w:rPr>
        <w:t>As of May 6, 2025, the Registrant had outstanding 35,011,880 shares of common stock, $0.001 par value.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68"/>
        <w:gridCol w:w="9075"/>
        <w:gridCol w:w="362"/>
      </w:tblGrid>
      <w:tr>
        <w:trPr/>
        <w:tc>
          <w:tcPr>
            <w:tcW w:w="768" w:type="dxa"/>
            <w:tcBorders/>
            <w:vAlign w:val="center"/>
          </w:tcPr>
          <w:p>
            <w:pPr>
              <w:pStyle w:val="TableContents"/>
              <w:bidi w:val="0"/>
              <w:spacing w:before="0" w:after="283"/>
              <w:jc w:val="left"/>
              <w:rPr>
                <w:sz w:val="4"/>
                <w:szCs w:val="4"/>
              </w:rPr>
            </w:pPr>
            <w:r>
              <w:rPr>
                <w:sz w:val="4"/>
                <w:szCs w:val="4"/>
              </w:rPr>
            </w:r>
          </w:p>
        </w:tc>
        <w:tc>
          <w:tcPr>
            <w:tcW w:w="907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768"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9075" w:type="dxa"/>
            <w:tcBorders/>
            <w:tcMar>
              <w:top w:w="0" w:type="dxa"/>
              <w:left w:w="0" w:type="dxa"/>
              <w:bottom w:w="0" w:type="dxa"/>
              <w:right w:w="0" w:type="dxa"/>
            </w:tcMar>
            <w:vAlign w:val="center"/>
          </w:tcPr>
          <w:p>
            <w:pPr>
              <w:pStyle w:val="TableContents"/>
              <w:bidi w:val="0"/>
              <w:spacing w:before="0" w:after="283"/>
              <w:ind w:left="0" w:right="0" w:firstLine="101"/>
              <w:jc w:val="center"/>
              <w:rPr/>
            </w:pPr>
            <w:hyperlink w:anchor="part_i">
              <w:r>
                <w:rPr>
                  <w:rStyle w:val="InternetLink"/>
                  <w:rFonts w:ascii="Times New Roman" w:hAnsi="Times New Roman"/>
                  <w:b/>
                  <w:color w:val="0000FF"/>
                  <w:sz w:val="20"/>
                  <w:u w:val="single"/>
                </w:rPr>
                <w:t>PART I — FINANCIAL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Times New Roman" w:hAnsi="Times New Roman"/>
                  <w:color w:val="0000FF"/>
                  <w:sz w:val="20"/>
                  <w:u w:val="single"/>
                </w:rPr>
                <w:t>Financial Statements.</w:t>
              </w:r>
            </w:hyperlink>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net_asset">
              <w:r>
                <w:rPr>
                  <w:rStyle w:val="InternetLink"/>
                  <w:rFonts w:ascii="Times New Roman" w:hAnsi="Times New Roman"/>
                  <w:color w:val="0000FF"/>
                  <w:sz w:val="20"/>
                  <w:u w:val="single"/>
                </w:rPr>
                <w:t>Consolidated Statements of Assets and Liabilities — March 31, 2025 (unaudited) and December 31, 2024</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Times New Roman" w:hAnsi="Times New Roman"/>
                  <w:color w:val="0000FF"/>
                  <w:sz w:val="20"/>
                  <w:u w:val="single"/>
                </w:rPr>
                <w:t>Consolidated Statements of Operations — three months ended March 31, 2025 (unaudited) and 2024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changes_net_assets">
              <w:r>
                <w:rPr>
                  <w:rStyle w:val="InternetLink"/>
                  <w:rFonts w:ascii="Times New Roman" w:hAnsi="Times New Roman"/>
                  <w:color w:val="0000FF"/>
                  <w:sz w:val="20"/>
                  <w:u w:val="single"/>
                </w:rPr>
                <w:t>Consolidated Statements of Changes in Net Assets — three months ended March 31, 2025 (unaudited) and 2024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Consolidated Statements of Cash Flows — three months ended March 31, 2025 (unaudited) and 2024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consolidated_schedule_of_investments">
              <w:r>
                <w:rPr>
                  <w:rStyle w:val="InternetLink"/>
                  <w:rFonts w:ascii="Times New Roman" w:hAnsi="Times New Roman"/>
                  <w:color w:val="0000FF"/>
                  <w:sz w:val="20"/>
                  <w:u w:val="single"/>
                </w:rPr>
                <w:t>Consolidated Schedules of Investments — March 31, 2025 (unaudited) and December 31, 2024</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notes_consolidated_financial_statements">
              <w:r>
                <w:rPr>
                  <w:rStyle w:val="InternetLink"/>
                  <w:rFonts w:ascii="Times New Roman" w:hAnsi="Times New Roman"/>
                  <w:color w:val="0000FF"/>
                  <w:sz w:val="20"/>
                  <w:u w:val="single"/>
                </w:rPr>
                <w:t>Notes to Consolidated Financial Statements (unaudited)</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2_mda">
              <w:r>
                <w:rPr>
                  <w:rStyle w:val="InternetLink"/>
                  <w:rFonts w:ascii="Times New Roman" w:hAnsi="Times New Roman"/>
                  <w:color w:val="0000FF"/>
                  <w:sz w:val="20"/>
                  <w:u w:val="single"/>
                </w:rPr>
                <w:t>Management’s Discussion and Analysis of Financial Condition and Results of Operations</w:t>
              </w:r>
            </w:hyperlink>
            <w:r>
              <w:rPr>
                <w:rFonts w:ascii="Times New Roman" w:hAnsi="Times New Roman"/>
                <w:color w:val="000000"/>
                <w:sz w:val="20"/>
              </w:rPr>
              <w:t>.</w:t>
            </w:r>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3_marketrisk">
              <w:r>
                <w:rPr>
                  <w:rStyle w:val="InternetLink"/>
                  <w:rFonts w:ascii="Times New Roman" w:hAnsi="Times New Roman"/>
                  <w:color w:val="0000FF"/>
                  <w:sz w:val="20"/>
                  <w:u w:val="single"/>
                </w:rPr>
                <w:t>Quantitative and Qualitative Disclosures About Market Risk.</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4_controls">
              <w:r>
                <w:rPr>
                  <w:rStyle w:val="InternetLink"/>
                  <w:rFonts w:ascii="Times New Roman" w:hAnsi="Times New Roman"/>
                  <w:color w:val="0000FF"/>
                  <w:sz w:val="20"/>
                  <w:u w:val="single"/>
                </w:rPr>
                <w:t>Controls and Procedures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768" w:type="dxa"/>
            <w:tcBorders/>
            <w:tcMar>
              <w:top w:w="0" w:type="dxa"/>
              <w:left w:w="0" w:type="dxa"/>
              <w:bottom w:w="0" w:type="dxa"/>
              <w:right w:w="0" w:type="dxa"/>
            </w:tcMar>
            <w:vAlign w:val="center"/>
          </w:tcPr>
          <w:p>
            <w:pPr>
              <w:pStyle w:val="TableContents"/>
              <w:bidi w:val="0"/>
              <w:spacing w:before="0" w:after="283"/>
              <w:jc w:val="left"/>
              <w:rPr/>
            </w:pPr>
            <w:r>
              <w:rPr/>
              <w:t> </w:t>
            </w:r>
          </w:p>
        </w:tc>
        <w:tc>
          <w:tcPr>
            <w:tcW w:w="9075" w:type="dxa"/>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 — OTHER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1_legal_proceedings">
              <w:r>
                <w:rPr>
                  <w:rStyle w:val="InternetLink"/>
                  <w:rFonts w:ascii="Times New Roman" w:hAnsi="Times New Roman"/>
                  <w:color w:val="0000FF"/>
                  <w:sz w:val="20"/>
                  <w:u w:val="single"/>
                </w:rPr>
                <w:t>Legal Proceedings.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1a_risk_factors">
              <w:r>
                <w:rPr>
                  <w:rStyle w:val="InternetLink"/>
                  <w:rFonts w:ascii="Times New Roman" w:hAnsi="Times New Roman"/>
                  <w:color w:val="0000FF"/>
                  <w:sz w:val="20"/>
                  <w:u w:val="single"/>
                </w:rPr>
                <w:t>Risk Factors.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2_unregistered_sales_equity">
              <w:r>
                <w:rPr>
                  <w:rStyle w:val="InternetLink"/>
                  <w:rFonts w:ascii="Times New Roman" w:hAnsi="Times New Roman"/>
                  <w:color w:val="0000FF"/>
                  <w:sz w:val="20"/>
                  <w:u w:val="single"/>
                </w:rPr>
                <w:t>Unregistered Sales of Equity Securities and Use of Proceeds.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3_defaults_upon_senior_securities">
              <w:r>
                <w:rPr>
                  <w:rStyle w:val="InternetLink"/>
                  <w:rFonts w:ascii="Times New Roman" w:hAnsi="Times New Roman"/>
                  <w:color w:val="0000FF"/>
                  <w:sz w:val="20"/>
                  <w:u w:val="single"/>
                </w:rPr>
                <w:t>Defaults Upon Senior Securities.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Mine Safety Disclosures.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Other Information.</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9075" w:type="dxa"/>
            <w:tcBorders/>
            <w:tcMar>
              <w:top w:w="0" w:type="dxa"/>
              <w:left w:w="0" w:type="dxa"/>
              <w:bottom w:w="0" w:type="dxa"/>
              <w:right w:w="0" w:type="dxa"/>
            </w:tcMar>
            <w:vAlign w:val="center"/>
          </w:tcPr>
          <w:p>
            <w:pPr>
              <w:pStyle w:val="TableContents"/>
              <w:bidi w:val="0"/>
              <w:spacing w:before="0" w:after="283"/>
              <w:jc w:val="left"/>
              <w:rPr/>
            </w:pPr>
            <w:hyperlink w:anchor="item6_exhibits">
              <w:r>
                <w:rPr>
                  <w:rStyle w:val="InternetLink"/>
                  <w:rFonts w:ascii="Times New Roman" w:hAnsi="Times New Roman"/>
                  <w:color w:val="0000FF"/>
                  <w:sz w:val="20"/>
                  <w:u w:val="single"/>
                </w:rPr>
                <w:t>Exhibits.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9843"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r>
      <w:tr>
        <w:trPr/>
        <w:tc>
          <w:tcPr>
            <w:tcW w:w="984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 — FINANCIAL INFORMATION</w:t>
      </w:r>
    </w:p>
    <w:p>
      <w:pPr>
        <w:pStyle w:val="TextBody"/>
        <w:bidi w:val="0"/>
        <w:jc w:val="left"/>
        <w:rPr/>
      </w:pPr>
      <w:r>
        <w:rPr/>
        <w:t> </w:t>
      </w:r>
    </w:p>
    <w:p>
      <w:pPr>
        <w:pStyle w:val="TextBody"/>
        <w:bidi w:val="0"/>
        <w:jc w:val="left"/>
        <w:rPr>
          <w:rFonts w:ascii="Times New Roman" w:hAnsi="Times New Roman"/>
          <w:b/>
          <w:color w:val="000000"/>
          <w:sz w:val="20"/>
        </w:rPr>
      </w:pPr>
      <w:bookmarkStart w:id="3" w:name="item_1"/>
      <w:bookmarkEnd w:id="3"/>
      <w:r>
        <w:rPr>
          <w:rFonts w:ascii="Times New Roman" w:hAnsi="Times New Roman"/>
          <w:b/>
          <w:color w:val="000000"/>
          <w:sz w:val="20"/>
        </w:rPr>
        <w:t>Item 1. Financial Statements.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4" w:name="net_asset"/>
      <w:bookmarkEnd w:id="4"/>
      <w:r>
        <w:rPr>
          <w:rFonts w:ascii="Times New Roman" w:hAnsi="Times New Roman"/>
          <w:b/>
          <w:color w:val="000000"/>
          <w:sz w:val="20"/>
        </w:rPr>
        <w:t>Consolidated Statements of Assets and Liabilities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46"/>
        <w:gridCol w:w="146"/>
        <w:gridCol w:w="196"/>
        <w:gridCol w:w="826"/>
        <w:gridCol w:w="166"/>
        <w:gridCol w:w="146"/>
        <w:gridCol w:w="208"/>
        <w:gridCol w:w="879"/>
        <w:gridCol w:w="292"/>
      </w:tblGrid>
      <w:tr>
        <w:trPr/>
        <w:tc>
          <w:tcPr>
            <w:tcW w:w="7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16"/>
              </w:rPr>
              <w:t>Control investments (cost: $6,832</w:t>
            </w:r>
            <w:r>
              <w:rPr>
                <w:rFonts w:ascii="Times New Roman" w:hAnsi="Times New Roman"/>
                <w:color w:val="000000"/>
                <w:sz w:val="20"/>
              </w:rPr>
              <w:t> </w:t>
            </w:r>
            <w:r>
              <w:rPr>
                <w:rFonts w:ascii="Times New Roman" w:hAnsi="Times New Roman"/>
                <w:color w:val="000000"/>
                <w:sz w:val="16"/>
              </w:rPr>
              <w:t>and $6,832,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16"/>
              </w:rPr>
              <w:t>Affiliate investments (cost: $52,611</w:t>
            </w:r>
            <w:r>
              <w:rPr>
                <w:rFonts w:ascii="Times New Roman" w:hAnsi="Times New Roman"/>
                <w:color w:val="000000"/>
                <w:sz w:val="20"/>
              </w:rPr>
              <w:t> </w:t>
            </w:r>
            <w:r>
              <w:rPr>
                <w:rFonts w:ascii="Times New Roman" w:hAnsi="Times New Roman"/>
                <w:color w:val="000000"/>
                <w:sz w:val="16"/>
              </w:rPr>
              <w:t>and $56,679,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102,024</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color w:val="000000"/>
              </w:rPr>
              <w:t>   </w:t>
            </w:r>
            <w:r>
              <w:rPr>
                <w:rFonts w:ascii="Times New Roman" w:hAnsi="Times New Roman"/>
                <w:color w:val="000000"/>
                <w:sz w:val="16"/>
              </w:rPr>
              <w:t>Non-control/non-affiliate investments (cost: $1,089,409</w:t>
            </w:r>
            <w:r>
              <w:rPr>
                <w:rFonts w:ascii="Times New Roman" w:hAnsi="Times New Roman"/>
                <w:color w:val="000000"/>
                <w:sz w:val="20"/>
              </w:rPr>
              <w:t> </w:t>
            </w:r>
            <w:r>
              <w:rPr>
                <w:rFonts w:ascii="Times New Roman" w:hAnsi="Times New Roman"/>
                <w:color w:val="000000"/>
                <w:sz w:val="16"/>
              </w:rPr>
              <w:t>and $1,011,646,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1,063,342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988,482</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Total investments, at fair value (cost: $1,148,852</w:t>
            </w:r>
            <w:r>
              <w:rPr>
                <w:rFonts w:ascii="Times New Roman" w:hAnsi="Times New Roman"/>
                <w:color w:val="000000"/>
                <w:sz w:val="20"/>
              </w:rPr>
              <w:t> </w:t>
            </w:r>
            <w:r>
              <w:rPr>
                <w:rFonts w:ascii="Times New Roman" w:hAnsi="Times New Roman"/>
                <w:color w:val="000000"/>
                <w:sz w:val="16"/>
              </w:rPr>
              <w:t>and $1,075,157,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1,090,506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57,159</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receivable from stock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1,328</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1,241,982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1,164,112</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 debentures, net of deferred financing costs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168,899</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net of deferred financing costs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248,362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Borrowings under Credit Facility, net of deferred financing costs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43,954</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Secured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interest and fees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5,784</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 payable, net of base management fee waiver – 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4,805</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incentive fee payable – due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4,477</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gains incentive fee payable – due to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14,703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Administration fee payable and other – due to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919</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508,446</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 34,970,709</w:t>
            </w:r>
            <w:r>
              <w:rPr>
                <w:rFonts w:ascii="Times New Roman" w:hAnsi="Times New Roman"/>
                <w:color w:val="000000"/>
                <w:sz w:val="20"/>
              </w:rPr>
              <w:t> </w:t>
            </w:r>
            <w:r>
              <w:rPr>
                <w:rFonts w:ascii="Times New Roman" w:hAnsi="Times New Roman"/>
                <w:color w:val="000000"/>
                <w:sz w:val="16"/>
              </w:rPr>
              <w:t>and 33,914,652</w:t>
            </w:r>
            <w:r>
              <w:rPr>
                <w:rFonts w:ascii="Times New Roman" w:hAnsi="Times New Roman"/>
                <w:color w:val="000000"/>
                <w:sz w:val="20"/>
              </w:rPr>
              <w:t> </w:t>
            </w:r>
            <w:r>
              <w:rPr>
                <w:rFonts w:ascii="Times New Roman" w:hAnsi="Times New Roman"/>
                <w:color w:val="000000"/>
                <w:sz w:val="16"/>
              </w:rPr>
              <w:t>shares issued 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16"/>
              </w:rPr>
              <w:t>outstanding at March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567,159</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distributable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88,473</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655,666</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1,164,112</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 value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19.33</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5" w:name="statement_of_operations"/>
      <w:bookmarkEnd w:id="5"/>
      <w:r>
        <w:rPr>
          <w:rFonts w:ascii="Times New Roman" w:hAnsi="Times New Roman"/>
          <w:b/>
          <w:color w:val="000000"/>
          <w:sz w:val="20"/>
        </w:rPr>
        <w:t>Consolidated Statements of Operations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9235" w:type="dxa"/>
        <w:jc w:val="left"/>
        <w:tblInd w:w="0" w:type="dxa"/>
        <w:tblLayout w:type="fixed"/>
        <w:tblCellMar>
          <w:top w:w="28" w:type="dxa"/>
          <w:left w:w="28" w:type="dxa"/>
          <w:bottom w:w="28" w:type="dxa"/>
          <w:right w:w="28" w:type="dxa"/>
        </w:tblCellMar>
      </w:tblPr>
      <w:tblGrid>
        <w:gridCol w:w="5716"/>
        <w:gridCol w:w="146"/>
        <w:gridCol w:w="196"/>
        <w:gridCol w:w="916"/>
        <w:gridCol w:w="166"/>
        <w:gridCol w:w="146"/>
        <w:gridCol w:w="196"/>
        <w:gridCol w:w="916"/>
        <w:gridCol w:w="166"/>
        <w:gridCol w:w="671"/>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8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payment-in-kind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8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rFonts w:ascii="Times New Roman" w:hAnsi="Times New Roman"/>
                <w:color w:val="000000"/>
                <w:sz w:val="16"/>
              </w:rPr>
            </w:pPr>
            <w:r>
              <w:rPr>
                <w:rFonts w:ascii="Times New Roman" w:hAnsi="Times New Roman"/>
                <w:color w:val="000000"/>
                <w:sz w:val="16"/>
              </w:rPr>
              <w:t>Total 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on idle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Incentive fee -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Incentive fee (reversal) - capital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Administrative service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Base management fee waiver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net of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Net realized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Total net realized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Income tax (provision) benefit from realized gains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Net change in unrealized appreciation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60"/>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6"/>
              </w:rPr>
            </w:pPr>
            <w:r>
              <w:rPr>
                <w:rFonts w:ascii="Times New Roman" w:hAnsi="Times New Roman"/>
                <w:color w:val="000000"/>
                <w:sz w:val="16"/>
              </w:rPr>
              <w:t>Total 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Realized losses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 common share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net assets resulting from operations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number of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34,077,720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30,776,758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6" w:name="changes_net_assets"/>
      <w:bookmarkEnd w:id="6"/>
      <w:r>
        <w:rPr>
          <w:rFonts w:ascii="Times New Roman" w:hAnsi="Times New Roman"/>
          <w:b/>
          <w:color w:val="000000"/>
          <w:sz w:val="20"/>
        </w:rPr>
        <w:t>Consolidated Statements of Changes in Net Assets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p>
      <w:pPr>
        <w:pStyle w:val="TextBody"/>
        <w:bidi w:val="0"/>
        <w:jc w:val="left"/>
        <w:rPr/>
      </w:pPr>
      <w:r>
        <w:rPr/>
        <w:t> </w:t>
      </w:r>
    </w:p>
    <w:tbl>
      <w:tblPr>
        <w:tblW w:w="10120" w:type="dxa"/>
        <w:jc w:val="left"/>
        <w:tblInd w:w="0" w:type="dxa"/>
        <w:tblLayout w:type="fixed"/>
        <w:tblCellMar>
          <w:top w:w="28" w:type="dxa"/>
          <w:left w:w="28" w:type="dxa"/>
          <w:bottom w:w="28" w:type="dxa"/>
          <w:right w:w="28" w:type="dxa"/>
        </w:tblCellMar>
      </w:tblPr>
      <w:tblGrid>
        <w:gridCol w:w="4126"/>
        <w:gridCol w:w="146"/>
        <w:gridCol w:w="146"/>
        <w:gridCol w:w="916"/>
        <w:gridCol w:w="146"/>
        <w:gridCol w:w="146"/>
        <w:gridCol w:w="196"/>
        <w:gridCol w:w="346"/>
        <w:gridCol w:w="146"/>
        <w:gridCol w:w="196"/>
        <w:gridCol w:w="196"/>
        <w:gridCol w:w="691"/>
        <w:gridCol w:w="146"/>
        <w:gridCol w:w="146"/>
        <w:gridCol w:w="233"/>
        <w:gridCol w:w="788"/>
        <w:gridCol w:w="166"/>
        <w:gridCol w:w="146"/>
        <w:gridCol w:w="196"/>
        <w:gridCol w:w="691"/>
        <w:gridCol w:w="2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6"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30,438,979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589,474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Public offering of common stock, net of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losses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31,426,149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523,256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85,052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608,340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33,914,652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655,666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Public offering of common stock, net of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1,019,812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under dividend reinvestment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appreciation (depreciation)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losses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Balances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34,970,709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588,519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677,930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*amount is greater than zero but less than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bookmarkStart w:id="7" w:name="statements_cash_flows"/>
      <w:bookmarkEnd w:id="7"/>
      <w:r>
        <w:rPr>
          <w:rFonts w:ascii="Times New Roman" w:hAnsi="Times New Roman"/>
          <w:b/>
          <w:color w:val="000000"/>
          <w:sz w:val="20"/>
        </w:rPr>
        <w:t>Consolidated Statements of Cash Flows (unaudited)</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62"/>
        <w:gridCol w:w="346"/>
        <w:gridCol w:w="196"/>
        <w:gridCol w:w="751"/>
        <w:gridCol w:w="346"/>
        <w:gridCol w:w="346"/>
        <w:gridCol w:w="196"/>
        <w:gridCol w:w="751"/>
        <w:gridCol w:w="1011"/>
      </w:tblGrid>
      <w:tr>
        <w:trPr/>
        <w:tc>
          <w:tcPr>
            <w:tcW w:w="626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20,123</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increase (decrease) in net assets resulting from operations to net cash provided by (used for)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realized (gain) loss on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(13,330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Interest and dividend income paid-in-kind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Accretion of original issue discount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Accretion of loan origination fees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 of investments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(115,555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(145,861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sales and repayments of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57,343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60,247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loan origination fees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Realized losses on extinguishment of debt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deferred financing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of deferred equity financing costs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Interest receivable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Prepaid expenses and other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Accrued interest and fees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Base management fee payable, net of base management fee waiver – due to affiliate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Income incentive fee payable – due to affiliate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Capital gains incentive fee (reversal) – due to (from) affiliate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Administration fee payable and other – due to (from) affiliate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Taxes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Accounts payable and other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932</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provided by (used for)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(50,194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(77,823</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common stock offerings, net of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20,661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19,170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received from SBA debentures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Repayments of SBA debentures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received from issuance of Notes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received from (repayments of) borrowings under Credit Facility,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received from (repayments of) Secured Borrowings,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Payment of deferred financing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Dividends paid to stockholders, including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(18,755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(20,427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cash provided by (used for)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60,513</w:t>
            </w:r>
          </w:p>
        </w:tc>
        <w:tc>
          <w:tcPr>
            <w:tcW w:w="3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(14,186</w:t>
            </w:r>
          </w:p>
        </w:tc>
        <w:tc>
          <w:tcPr>
            <w:tcW w:w="10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b/>
                <w:color w:val="000000"/>
                <w:sz w:val="16"/>
              </w:rPr>
            </w:pPr>
            <w:r>
              <w:rPr>
                <w:rFonts w:ascii="Times New Roman" w:hAnsi="Times New Roman"/>
                <w:b/>
                <w:color w:val="000000"/>
                <w:sz w:val="16"/>
              </w:rPr>
              <w:t>Net increase (decrease) in 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(92,009</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57,159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67,478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27,122</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Supplemental information and non-cash activities</w:t>
            </w: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payments for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6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payments for taxes, net of tax refunds received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 (unaudited).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center"/>
        <w:rPr>
          <w:rFonts w:ascii="Times New Roman" w:hAnsi="Times New Roman"/>
          <w:b/>
          <w:color w:val="000000"/>
          <w:sz w:val="20"/>
        </w:rPr>
      </w:pPr>
      <w:bookmarkStart w:id="8" w:name="consolidated_schedule_of_investments"/>
      <w:bookmarkEnd w:id="8"/>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 (unaudited)</w:t>
      </w:r>
    </w:p>
    <w:p>
      <w:pPr>
        <w:pStyle w:val="TextBody"/>
        <w:bidi w:val="0"/>
        <w:jc w:val="center"/>
        <w:rPr>
          <w:rFonts w:ascii="Times New Roman" w:hAnsi="Times New Roman"/>
          <w:b/>
          <w:color w:val="000000"/>
          <w:sz w:val="20"/>
        </w:rPr>
      </w:pPr>
      <w:r>
        <w:rPr>
          <w:rFonts w:ascii="Times New Roman" w:hAnsi="Times New Roman"/>
          <w:b/>
          <w:color w:val="000000"/>
          <w:sz w:val="20"/>
        </w:rPr>
        <w:t>March 31, 2025</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tbl>
      <w:tblPr>
        <w:tblW w:w="10205" w:type="dxa"/>
        <w:jc w:val="left"/>
        <w:tblInd w:w="0" w:type="dxa"/>
        <w:tblLayout w:type="fixed"/>
        <w:tblCellMar>
          <w:top w:w="28" w:type="dxa"/>
          <w:left w:w="28" w:type="dxa"/>
          <w:bottom w:w="28" w:type="dxa"/>
          <w:right w:w="28" w:type="dxa"/>
        </w:tblCellMar>
      </w:tblPr>
      <w:tblGrid>
        <w:gridCol w:w="2461"/>
        <w:gridCol w:w="1419"/>
        <w:gridCol w:w="965"/>
        <w:gridCol w:w="695"/>
        <w:gridCol w:w="636"/>
        <w:gridCol w:w="609"/>
        <w:gridCol w:w="166"/>
        <w:gridCol w:w="436"/>
        <w:gridCol w:w="146"/>
        <w:gridCol w:w="146"/>
        <w:gridCol w:w="166"/>
        <w:gridCol w:w="436"/>
        <w:gridCol w:w="146"/>
        <w:gridCol w:w="146"/>
        <w:gridCol w:w="166"/>
        <w:gridCol w:w="436"/>
        <w:gridCol w:w="146"/>
        <w:gridCol w:w="207"/>
        <w:gridCol w:w="321"/>
        <w:gridCol w:w="356"/>
      </w:tblGrid>
      <w:tr>
        <w:trPr/>
        <w:tc>
          <w:tcPr>
            <w:tcW w:w="246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Portfolio Company (a)(b)</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Variable Index</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Rate (e)</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Investment</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Percent of</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Investment Type (c)</w:t>
            </w:r>
          </w:p>
        </w:tc>
        <w:tc>
          <w:tcPr>
            <w:tcW w:w="14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Industry</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Spread / Floor (d)</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Cash/PIK</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Date (f)</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Maturity</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Value (g)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Net Assets</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Control Investments (t)</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US GreenFiber, LLC (n)</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(j)(y)</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7/3/2014</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8/30/2024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(2,522</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7/3/2014</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(425,508</w:t>
            </w:r>
            <w:r>
              <w:rPr>
                <w:rFonts w:ascii="Times New Roman" w:hAnsi="Times New Roman"/>
                <w:color w:val="000000"/>
                <w:sz w:val="20"/>
              </w:rPr>
              <w:t> </w:t>
            </w:r>
            <w:r>
              <w:rPr>
                <w:rFonts w:ascii="Times New Roman" w:hAnsi="Times New Roman"/>
                <w:color w:val="000000"/>
                <w:sz w:val="10"/>
              </w:rPr>
              <w:t>units)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8/30/2019</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(1,022,813</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7/1/2020</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Control Investments</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Affiliate Investments (l)</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Applegate Greenfiber Intermediate Inc. (fka US GreenFiber, LLC)</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11.00%/0.00%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(5,690</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(7,113</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(2,012</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CP Communications, LLC</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(am)</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+ 8.50%) / (4.00%)</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12.81%/0.00%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12/4/2024</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12/4/2029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Holdco Note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8.00%/8.00%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12/4/2024</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6/4/2030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(62</w:t>
            </w:r>
            <w:r>
              <w:rPr>
                <w:rFonts w:ascii="Times New Roman" w:hAnsi="Times New Roman"/>
                <w:color w:val="000000"/>
                <w:sz w:val="20"/>
              </w:rPr>
              <w:t> </w:t>
            </w:r>
            <w:r>
              <w:rPr>
                <w:rFonts w:ascii="Times New Roman" w:hAnsi="Times New Roman"/>
                <w:color w:val="000000"/>
                <w:sz w:val="10"/>
              </w:rPr>
              <w:t>units)</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12/4/2024</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Medsurant Holdings, LLC (n)</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(84,997</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4/12/2011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Warrant (252,588</w:t>
            </w:r>
            <w:r>
              <w:rPr>
                <w:rFonts w:ascii="Times New Roman" w:hAnsi="Times New Roman"/>
                <w:color w:val="000000"/>
                <w:sz w:val="20"/>
              </w:rPr>
              <w:t> </w:t>
            </w:r>
            <w:r>
              <w:rPr>
                <w:rFonts w:ascii="Times New Roman" w:hAnsi="Times New Roman"/>
                <w:color w:val="000000"/>
                <w:sz w:val="10"/>
              </w:rPr>
              <w:t>units) (h)(j)(m)</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4/12/2011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Pfanstiehl, Inc.</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(2,550</w:t>
            </w:r>
            <w:r>
              <w:rPr>
                <w:rFonts w:ascii="Times New Roman" w:hAnsi="Times New Roman"/>
                <w:color w:val="000000"/>
                <w:sz w:val="20"/>
              </w:rPr>
              <w:t> </w:t>
            </w:r>
            <w:r>
              <w:rPr>
                <w:rFonts w:ascii="Times New Roman" w:hAnsi="Times New Roman"/>
                <w:color w:val="000000"/>
                <w:sz w:val="10"/>
              </w:rPr>
              <w:t>units)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3/29/2013</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Spectra A&amp;D Acquisition, Inc. (fka FDS Avionics Corp.)</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Aerospace &amp; Defense Manufacturing</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(j)(ag)</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+ 6.00%) / (1.00%)</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10.56%/0.00%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2/11/2026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(12,035</w:t>
            </w:r>
            <w:r>
              <w:rPr>
                <w:rFonts w:ascii="Times New Roman" w:hAnsi="Times New Roman"/>
                <w:color w:val="000000"/>
                <w:sz w:val="20"/>
              </w:rPr>
              <w:t> </w:t>
            </w:r>
            <w:r>
              <w:rPr>
                <w:rFonts w:ascii="Times New Roman" w:hAnsi="Times New Roman"/>
                <w:color w:val="000000"/>
                <w:sz w:val="10"/>
              </w:rPr>
              <w:t>units)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8/25/2021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(38,493</w:t>
            </w:r>
            <w:r>
              <w:rPr>
                <w:rFonts w:ascii="Times New Roman" w:hAnsi="Times New Roman"/>
                <w:color w:val="000000"/>
                <w:sz w:val="20"/>
              </w:rPr>
              <w:t> </w:t>
            </w:r>
            <w:r>
              <w:rPr>
                <w:rFonts w:ascii="Times New Roman" w:hAnsi="Times New Roman"/>
                <w:color w:val="000000"/>
                <w:sz w:val="10"/>
              </w:rPr>
              <w:t>units)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12/16/2022</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(6,783</w:t>
            </w:r>
            <w:r>
              <w:rPr>
                <w:rFonts w:ascii="Times New Roman" w:hAnsi="Times New Roman"/>
                <w:color w:val="000000"/>
                <w:sz w:val="20"/>
              </w:rPr>
              <w:t> </w:t>
            </w:r>
            <w:r>
              <w:rPr>
                <w:rFonts w:ascii="Times New Roman" w:hAnsi="Times New Roman"/>
                <w:color w:val="000000"/>
                <w:sz w:val="10"/>
              </w:rPr>
              <w:t>units)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7/10/2023</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(4,663</w:t>
            </w:r>
            <w:r>
              <w:rPr>
                <w:rFonts w:ascii="Times New Roman" w:hAnsi="Times New Roman"/>
                <w:color w:val="000000"/>
                <w:sz w:val="20"/>
              </w:rPr>
              <w:t> </w:t>
            </w:r>
            <w:r>
              <w:rPr>
                <w:rFonts w:ascii="Times New Roman" w:hAnsi="Times New Roman"/>
                <w:color w:val="000000"/>
                <w:sz w:val="10"/>
              </w:rPr>
              <w:t>units)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9/16/2022</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(21,689</w:t>
            </w:r>
            <w:r>
              <w:rPr>
                <w:rFonts w:ascii="Times New Roman" w:hAnsi="Times New Roman"/>
                <w:color w:val="000000"/>
                <w:sz w:val="20"/>
              </w:rPr>
              <w:t> </w:t>
            </w:r>
            <w:r>
              <w:rPr>
                <w:rFonts w:ascii="Times New Roman" w:hAnsi="Times New Roman"/>
                <w:color w:val="000000"/>
                <w:sz w:val="10"/>
              </w:rPr>
              <w:t>units)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5/22/2024</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Steward Holding LLC (dba Steward Advanced Materials)</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Aerospace &amp; Defense Manufacturing</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11/12/2015</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Affiliate Investments</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52,611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91,066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u w:val="single"/>
              </w:rPr>
            </w:pPr>
            <w:r>
              <w:rPr>
                <w:rFonts w:ascii="Times New Roman" w:hAnsi="Times New Roman"/>
                <w:b/>
                <w:color w:val="000000"/>
                <w:sz w:val="10"/>
                <w:u w:val="single"/>
              </w:rPr>
              <w:t>Non-control/Non-affiliate Investments</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2KDirect, Inc. (dba iPromote)</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(k)(at)</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+ 8.00%) / (0.50%)</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12.46%/0.00%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(j)(aa)</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+ 8.00%) / (0.50%)</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8.71%/0.00%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7/30/2021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6/25/2021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301 Edison Holdings Inc. (dba LGG Industrial)</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11.75%/1.50%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11/14/2023</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11/13/2028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(518,135</w:t>
            </w:r>
            <w:r>
              <w:rPr>
                <w:rFonts w:ascii="Times New Roman" w:hAnsi="Times New Roman"/>
                <w:color w:val="000000"/>
                <w:sz w:val="20"/>
              </w:rPr>
              <w:t> </w:t>
            </w:r>
            <w:r>
              <w:rPr>
                <w:rFonts w:ascii="Times New Roman" w:hAnsi="Times New Roman"/>
                <w:color w:val="000000"/>
                <w:sz w:val="10"/>
              </w:rPr>
              <w:t>units)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11/14/2023</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Acendre Midco, Inc.</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0.00%/0.00%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Revolving Loan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12.50%/1.25%</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(500,000</w:t>
            </w:r>
            <w:r>
              <w:rPr>
                <w:rFonts w:ascii="Times New Roman" w:hAnsi="Times New Roman"/>
                <w:color w:val="000000"/>
                <w:sz w:val="20"/>
              </w:rPr>
              <w:t> </w:t>
            </w:r>
            <w:r>
              <w:rPr>
                <w:rFonts w:ascii="Times New Roman" w:hAnsi="Times New Roman"/>
                <w:color w:val="000000"/>
                <w:sz w:val="10"/>
              </w:rPr>
              <w:t>shares)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Warrant (150,000</w:t>
            </w:r>
            <w:r>
              <w:rPr>
                <w:rFonts w:ascii="Times New Roman" w:hAnsi="Times New Roman"/>
                <w:color w:val="000000"/>
                <w:sz w:val="20"/>
              </w:rPr>
              <w:t> </w:t>
            </w:r>
            <w:r>
              <w:rPr>
                <w:rFonts w:ascii="Times New Roman" w:hAnsi="Times New Roman"/>
                <w:color w:val="000000"/>
                <w:sz w:val="10"/>
              </w:rPr>
              <w:t>shares) (j)(m)</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10/6/2021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(77,016</w:t>
            </w:r>
            <w:r>
              <w:rPr>
                <w:rFonts w:ascii="Times New Roman" w:hAnsi="Times New Roman"/>
                <w:color w:val="000000"/>
                <w:sz w:val="20"/>
              </w:rPr>
              <w:t> </w:t>
            </w:r>
            <w:r>
              <w:rPr>
                <w:rFonts w:ascii="Times New Roman" w:hAnsi="Times New Roman"/>
                <w:color w:val="000000"/>
                <w:sz w:val="10"/>
              </w:rPr>
              <w:t>shares)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9/26/2022</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Ad Info Parent, Inc. (dba MediaRadar)</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+ 6.25%) / (1.00%)</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10.55%/0.00%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11/1/2023</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9/16/2029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($1,117</w:t>
            </w:r>
            <w:r>
              <w:rPr>
                <w:rFonts w:ascii="Times New Roman" w:hAnsi="Times New Roman"/>
                <w:color w:val="000000"/>
                <w:sz w:val="20"/>
              </w:rPr>
              <w:t> </w:t>
            </w:r>
            <w:r>
              <w:rPr>
                <w:rFonts w:ascii="Times New Roman" w:hAnsi="Times New Roman"/>
                <w:color w:val="000000"/>
                <w:sz w:val="10"/>
              </w:rPr>
              <w:t>unfunded commitment) (i)(j)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+ 6.25%) / (1.00%)</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10.55%/0.00%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11/1/2023</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9/16/2029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(1,250,000</w:t>
            </w:r>
            <w:r>
              <w:rPr>
                <w:rFonts w:ascii="Times New Roman" w:hAnsi="Times New Roman"/>
                <w:color w:val="000000"/>
                <w:sz w:val="20"/>
              </w:rPr>
              <w:t> </w:t>
            </w:r>
            <w:r>
              <w:rPr>
                <w:rFonts w:ascii="Times New Roman" w:hAnsi="Times New Roman"/>
                <w:color w:val="000000"/>
                <w:sz w:val="10"/>
              </w:rPr>
              <w:t>units)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11/1/2023</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Aldinger Company</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(12,504</w:t>
            </w:r>
            <w:r>
              <w:rPr>
                <w:rFonts w:ascii="Times New Roman" w:hAnsi="Times New Roman"/>
                <w:color w:val="000000"/>
                <w:sz w:val="20"/>
              </w:rPr>
              <w:t> </w:t>
            </w:r>
            <w:r>
              <w:rPr>
                <w:rFonts w:ascii="Times New Roman" w:hAnsi="Times New Roman"/>
                <w:color w:val="000000"/>
                <w:sz w:val="10"/>
              </w:rPr>
              <w:t>units)</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6/30/2023</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(12,861</w:t>
            </w:r>
            <w:r>
              <w:rPr>
                <w:rFonts w:ascii="Times New Roman" w:hAnsi="Times New Roman"/>
                <w:color w:val="000000"/>
                <w:sz w:val="20"/>
              </w:rPr>
              <w:t> </w:t>
            </w:r>
            <w:r>
              <w:rPr>
                <w:rFonts w:ascii="Times New Roman" w:hAnsi="Times New Roman"/>
                <w:color w:val="000000"/>
                <w:sz w:val="10"/>
              </w:rPr>
              <w:t>units)</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6/30/2023</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Allredi, LLC (fka Marco Group International OpCo, LLC)</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Industrial Cleaning &amp; Coatings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0.00%/17.00%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3/2/2020</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(570,636</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7/21/2017</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(39,443</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11/24/2021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Common Equity (524,624units)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8/3/2023</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American AllWaste LLC (dba WasteWater Transport Services)</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Environmental Industries</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(j)(p)</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+ 6.75%) / (1.00%)</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11.31%/0.00%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(j)(o)</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+ 6.75%) / (1.00%)</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8.81%/0.00%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6/28/2021</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15.25%/0.00%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3/28/2024</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(500</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5/31/2018</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(207</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8/6/2019</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(141</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11/2/2020</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(74</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12/29/2021</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(52</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11/27/2024</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(312</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12/30/2024</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(1,405</w:t>
            </w:r>
            <w:r>
              <w:rPr>
                <w:rFonts w:ascii="Times New Roman" w:hAnsi="Times New Roman"/>
                <w:color w:val="000000"/>
                <w:sz w:val="20"/>
              </w:rPr>
              <w:t> </w:t>
            </w:r>
            <w:r>
              <w:rPr>
                <w:rFonts w:ascii="Times New Roman" w:hAnsi="Times New Roman"/>
                <w:color w:val="000000"/>
                <w:sz w:val="10"/>
              </w:rPr>
              <w:t>units) (h)(j)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12/30/2024</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AmeriWater, LLC</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(af)</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+ 6.25%) / (1.00%)</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10.55%/0.00%</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7/8/2022</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7.00%/7.00%</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7/8/2022</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1/8/2028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(1,000</w:t>
            </w:r>
            <w:r>
              <w:rPr>
                <w:rFonts w:ascii="Times New Roman" w:hAnsi="Times New Roman"/>
                <w:color w:val="000000"/>
                <w:sz w:val="20"/>
              </w:rPr>
              <w:t> </w:t>
            </w:r>
            <w:r>
              <w:rPr>
                <w:rFonts w:ascii="Times New Roman" w:hAnsi="Times New Roman"/>
                <w:color w:val="000000"/>
                <w:sz w:val="10"/>
              </w:rPr>
              <w:t>units) (h)(j)</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7/8/2022</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AMOpportunities, Inc.</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3/12/2025</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3/12/2029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869"/>
        <w:gridCol w:w="1376"/>
        <w:gridCol w:w="982"/>
        <w:gridCol w:w="707"/>
        <w:gridCol w:w="565"/>
        <w:gridCol w:w="565"/>
        <w:gridCol w:w="146"/>
        <w:gridCol w:w="436"/>
        <w:gridCol w:w="146"/>
        <w:gridCol w:w="146"/>
        <w:gridCol w:w="146"/>
        <w:gridCol w:w="436"/>
        <w:gridCol w:w="146"/>
        <w:gridCol w:w="146"/>
        <w:gridCol w:w="146"/>
        <w:gridCol w:w="436"/>
        <w:gridCol w:w="146"/>
        <w:gridCol w:w="146"/>
        <w:gridCol w:w="166"/>
        <w:gridCol w:w="353"/>
      </w:tblGrid>
      <w:tr>
        <w:trPr/>
        <w:tc>
          <w:tcPr>
            <w:tcW w:w="28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(740,741</w:t>
            </w:r>
            <w:r>
              <w:rPr>
                <w:rFonts w:ascii="Times New Roman" w:hAnsi="Times New Roman"/>
                <w:color w:val="000000"/>
                <w:sz w:val="20"/>
              </w:rPr>
              <w:t> </w:t>
            </w:r>
            <w:r>
              <w:rPr>
                <w:rFonts w:ascii="Times New Roman" w:hAnsi="Times New Roman"/>
                <w:color w:val="000000"/>
                <w:sz w:val="10"/>
              </w:rPr>
              <w:t>shares)</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3/17/2025</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AOM Intermediate Holdco, LLC (dba AllOver Media)</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(1,232</w:t>
            </w:r>
            <w:r>
              <w:rPr>
                <w:rFonts w:ascii="Times New Roman" w:hAnsi="Times New Roman"/>
                <w:color w:val="000000"/>
                <w:sz w:val="20"/>
              </w:rPr>
              <w:t> </w:t>
            </w:r>
            <w:r>
              <w:rPr>
                <w:rFonts w:ascii="Times New Roman" w:hAnsi="Times New Roman"/>
                <w:color w:val="000000"/>
                <w:sz w:val="10"/>
              </w:rPr>
              <w:t>units) (h)(j)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2/1/2022</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APM Intermediate Holdings, LLC (dba Artistic Paver Manufacturing, Inc.)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(ai)</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+ 7.25%) / (2.00%)</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11.56%/0.00%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11/8/2022</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(1,200</w:t>
            </w:r>
            <w:r>
              <w:rPr>
                <w:rFonts w:ascii="Times New Roman" w:hAnsi="Times New Roman"/>
                <w:color w:val="000000"/>
                <w:sz w:val="20"/>
              </w:rPr>
              <w:t> </w:t>
            </w:r>
            <w:r>
              <w:rPr>
                <w:rFonts w:ascii="Times New Roman" w:hAnsi="Times New Roman"/>
                <w:color w:val="000000"/>
                <w:sz w:val="10"/>
              </w:rPr>
              <w:t>units) (h)(j)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11/8/2022</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Auto CRM LLC (dba Dealer Holdings)</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0.00%/14.50%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10/1/2021</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0.00%/14.50%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(500</w:t>
            </w:r>
            <w:r>
              <w:rPr>
                <w:rFonts w:ascii="Times New Roman" w:hAnsi="Times New Roman"/>
                <w:color w:val="000000"/>
                <w:sz w:val="20"/>
              </w:rPr>
              <w:t> </w:t>
            </w:r>
            <w:r>
              <w:rPr>
                <w:rFonts w:ascii="Times New Roman" w:hAnsi="Times New Roman"/>
                <w:color w:val="000000"/>
                <w:sz w:val="10"/>
              </w:rPr>
              <w:t>units)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10/1/2021</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Axis Medical Technologies LLC (dba MoveMedical)</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+ 6.50%) / (2.00%)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10.81%/0.00%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10/24/2024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($800</w:t>
            </w:r>
            <w:r>
              <w:rPr>
                <w:rFonts w:ascii="Times New Roman" w:hAnsi="Times New Roman"/>
                <w:color w:val="000000"/>
                <w:sz w:val="20"/>
              </w:rPr>
              <w:t> </w:t>
            </w:r>
            <w:r>
              <w:rPr>
                <w:rFonts w:ascii="Times New Roman" w:hAnsi="Times New Roman"/>
                <w:color w:val="000000"/>
                <w:sz w:val="10"/>
              </w:rPr>
              <w:t>unfunded commitment) (j)(x)</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+ 6.50%) / (2.00%)</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10.81%/0.00%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10/24/2024</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(1,200,000</w:t>
            </w:r>
            <w:r>
              <w:rPr>
                <w:rFonts w:ascii="Times New Roman" w:hAnsi="Times New Roman"/>
                <w:color w:val="000000"/>
                <w:sz w:val="20"/>
              </w:rPr>
              <w:t> </w:t>
            </w:r>
            <w:r>
              <w:rPr>
                <w:rFonts w:ascii="Times New Roman" w:hAnsi="Times New Roman"/>
                <w:color w:val="000000"/>
                <w:sz w:val="10"/>
              </w:rPr>
              <w:t>units)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10/25/2024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Bad Boy Mowers JV Acquisition, LLC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Products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(k)</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9.00%/4.50%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11/9/2023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(13,000</w:t>
            </w:r>
            <w:r>
              <w:rPr>
                <w:rFonts w:ascii="Times New Roman" w:hAnsi="Times New Roman"/>
                <w:color w:val="000000"/>
                <w:sz w:val="20"/>
              </w:rPr>
              <w:t> </w:t>
            </w:r>
            <w:r>
              <w:rPr>
                <w:rFonts w:ascii="Times New Roman" w:hAnsi="Times New Roman"/>
                <w:color w:val="000000"/>
                <w:sz w:val="10"/>
              </w:rPr>
              <w:t>units)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11/9/2023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Barefoot Mosquito and Pest Control, LLC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(k)(s)</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+ 6.00%) / (2.00%)</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10.31%/0.00%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11/27/2024</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(4,948</w:t>
            </w:r>
            <w:r>
              <w:rPr>
                <w:rFonts w:ascii="Times New Roman" w:hAnsi="Times New Roman"/>
                <w:color w:val="000000"/>
                <w:sz w:val="20"/>
              </w:rPr>
              <w:t> </w:t>
            </w:r>
            <w:r>
              <w:rPr>
                <w:rFonts w:ascii="Times New Roman" w:hAnsi="Times New Roman"/>
                <w:color w:val="000000"/>
                <w:sz w:val="10"/>
              </w:rPr>
              <w:t>units) (h)(j)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(18,415</w:t>
            </w:r>
            <w:r>
              <w:rPr>
                <w:rFonts w:ascii="Times New Roman" w:hAnsi="Times New Roman"/>
                <w:color w:val="000000"/>
                <w:sz w:val="20"/>
              </w:rPr>
              <w:t> </w:t>
            </w:r>
            <w:r>
              <w:rPr>
                <w:rFonts w:ascii="Times New Roman" w:hAnsi="Times New Roman"/>
                <w:color w:val="000000"/>
                <w:sz w:val="10"/>
              </w:rPr>
              <w:t>units) (h)(j)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BCM One Group Holdings, Inc.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11.75%/0.00%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11/17/2021</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Bedford Precision Parts LLC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(500,000</w:t>
            </w:r>
            <w:r>
              <w:rPr>
                <w:rFonts w:ascii="Times New Roman" w:hAnsi="Times New Roman"/>
                <w:color w:val="000000"/>
                <w:sz w:val="20"/>
              </w:rPr>
              <w:t> </w:t>
            </w:r>
            <w:r>
              <w:rPr>
                <w:rFonts w:ascii="Times New Roman" w:hAnsi="Times New Roman"/>
                <w:color w:val="000000"/>
                <w:sz w:val="10"/>
              </w:rPr>
              <w:t>units) (h)(j)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3/12/2019</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Brightmore Brands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Retail</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(j)(al)</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+ 5.38%) / (1.50%)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9.69%/0.00%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9/13/2022</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(1,000</w:t>
            </w:r>
            <w:r>
              <w:rPr>
                <w:rFonts w:ascii="Times New Roman" w:hAnsi="Times New Roman"/>
                <w:color w:val="000000"/>
                <w:sz w:val="20"/>
              </w:rPr>
              <w:t> </w:t>
            </w:r>
            <w:r>
              <w:rPr>
                <w:rFonts w:ascii="Times New Roman" w:hAnsi="Times New Roman"/>
                <w:color w:val="000000"/>
                <w:sz w:val="10"/>
              </w:rPr>
              <w:t>units)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9/13/2022</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(371</w:t>
            </w:r>
            <w:r>
              <w:rPr>
                <w:rFonts w:ascii="Times New Roman" w:hAnsi="Times New Roman"/>
                <w:color w:val="000000"/>
                <w:sz w:val="20"/>
              </w:rPr>
              <w:t> </w:t>
            </w:r>
            <w:r>
              <w:rPr>
                <w:rFonts w:ascii="Times New Roman" w:hAnsi="Times New Roman"/>
                <w:color w:val="000000"/>
                <w:sz w:val="10"/>
              </w:rPr>
              <w:t>units)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9/9/2024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Cardback Intermediate, LLC (dba Chargeback Gurus)</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(j)(ah)</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+ 6.50%) / (0.75%)</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11.07%/0.00%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8/10/2021</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(495</w:t>
            </w:r>
            <w:r>
              <w:rPr>
                <w:rFonts w:ascii="Times New Roman" w:hAnsi="Times New Roman"/>
                <w:color w:val="000000"/>
                <w:sz w:val="20"/>
              </w:rPr>
              <w:t> </w:t>
            </w:r>
            <w:r>
              <w:rPr>
                <w:rFonts w:ascii="Times New Roman" w:hAnsi="Times New Roman"/>
                <w:color w:val="000000"/>
                <w:sz w:val="10"/>
              </w:rPr>
              <w:t>shares)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8/10/2021</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(495</w:t>
            </w:r>
            <w:r>
              <w:rPr>
                <w:rFonts w:ascii="Times New Roman" w:hAnsi="Times New Roman"/>
                <w:color w:val="000000"/>
                <w:sz w:val="20"/>
              </w:rPr>
              <w:t> </w:t>
            </w:r>
            <w:r>
              <w:rPr>
                <w:rFonts w:ascii="Times New Roman" w:hAnsi="Times New Roman"/>
                <w:color w:val="000000"/>
                <w:sz w:val="10"/>
              </w:rPr>
              <w:t>shares)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8/10/2021</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Choice Technology Solutions, LLC (dba Choice Merchant Solutions,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+ 7.75%) / (1.00%)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12.31%/0.80%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4/1/2022</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(500,000</w:t>
            </w:r>
            <w:r>
              <w:rPr>
                <w:rFonts w:ascii="Times New Roman" w:hAnsi="Times New Roman"/>
                <w:color w:val="000000"/>
                <w:sz w:val="20"/>
              </w:rPr>
              <w:t> </w:t>
            </w:r>
            <w:r>
              <w:rPr>
                <w:rFonts w:ascii="Times New Roman" w:hAnsi="Times New Roman"/>
                <w:color w:val="000000"/>
                <w:sz w:val="10"/>
              </w:rPr>
              <w:t>units) (h)(j)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8/21/2023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CIH Intermediate,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(563</w:t>
            </w:r>
            <w:r>
              <w:rPr>
                <w:rFonts w:ascii="Times New Roman" w:hAnsi="Times New Roman"/>
                <w:color w:val="000000"/>
                <w:sz w:val="20"/>
              </w:rPr>
              <w:t> </w:t>
            </w:r>
            <w:r>
              <w:rPr>
                <w:rFonts w:ascii="Times New Roman" w:hAnsi="Times New Roman"/>
                <w:color w:val="000000"/>
                <w:sz w:val="10"/>
              </w:rPr>
              <w:t>shares)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3/3/2022</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(563</w:t>
            </w:r>
            <w:r>
              <w:rPr>
                <w:rFonts w:ascii="Times New Roman" w:hAnsi="Times New Roman"/>
                <w:color w:val="000000"/>
                <w:sz w:val="20"/>
              </w:rPr>
              <w:t> </w:t>
            </w:r>
            <w:r>
              <w:rPr>
                <w:rFonts w:ascii="Times New Roman" w:hAnsi="Times New Roman"/>
                <w:color w:val="000000"/>
                <w:sz w:val="10"/>
              </w:rPr>
              <w:t>shares)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3/3/2022</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CRS Solutions Holdings, LLC (dba CRS Texas)</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(574,929</w:t>
            </w:r>
            <w:r>
              <w:rPr>
                <w:rFonts w:ascii="Times New Roman" w:hAnsi="Times New Roman"/>
                <w:color w:val="000000"/>
                <w:sz w:val="20"/>
              </w:rPr>
              <w:t> </w:t>
            </w:r>
            <w:r>
              <w:rPr>
                <w:rFonts w:ascii="Times New Roman" w:hAnsi="Times New Roman"/>
                <w:color w:val="000000"/>
                <w:sz w:val="10"/>
              </w:rPr>
              <w:t>units) (h)(j)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6/28/2022</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CTM Group, Inc. (dba Venuplus, Inc.)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+ 4.75%) / (1.00%)</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9.21%/2.75%</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7.75%/6.50%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(400,000</w:t>
            </w:r>
            <w:r>
              <w:rPr>
                <w:rFonts w:ascii="Times New Roman" w:hAnsi="Times New Roman"/>
                <w:color w:val="000000"/>
                <w:sz w:val="20"/>
              </w:rPr>
              <w:t> </w:t>
            </w:r>
            <w:r>
              <w:rPr>
                <w:rFonts w:ascii="Times New Roman" w:hAnsi="Times New Roman"/>
                <w:color w:val="000000"/>
                <w:sz w:val="10"/>
              </w:rPr>
              <w:t>units)</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Customer Expressions Corp (dba Case IQ)</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(j)(bc)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+ 5.00%) / (1.00%)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9.45%/0.50%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1/6/2025</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(502,894</w:t>
            </w:r>
            <w:r>
              <w:rPr>
                <w:rFonts w:ascii="Times New Roman" w:hAnsi="Times New Roman"/>
                <w:color w:val="000000"/>
                <w:sz w:val="20"/>
              </w:rPr>
              <w:t> </w:t>
            </w:r>
            <w:r>
              <w:rPr>
                <w:rFonts w:ascii="Times New Roman" w:hAnsi="Times New Roman"/>
                <w:color w:val="000000"/>
                <w:sz w:val="10"/>
              </w:rPr>
              <w:t>units)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1/6/2025</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Dataguise, Inc.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11.00%/2.00%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11/23/2027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(909</w:t>
            </w:r>
            <w:r>
              <w:rPr>
                <w:rFonts w:ascii="Times New Roman" w:hAnsi="Times New Roman"/>
                <w:color w:val="000000"/>
                <w:sz w:val="20"/>
              </w:rPr>
              <w:t> </w:t>
            </w:r>
            <w:r>
              <w:rPr>
                <w:rFonts w:ascii="Times New Roman" w:hAnsi="Times New Roman"/>
                <w:color w:val="000000"/>
                <w:sz w:val="10"/>
              </w:rPr>
              <w:t>shares)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Dealerbuilt Acquisition,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(ac)</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+ 5.75%) / (4.00%)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10.06%/1.00%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7.50%/7.50%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11,779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(1,000</w:t>
            </w:r>
            <w:r>
              <w:rPr>
                <w:rFonts w:ascii="Times New Roman" w:hAnsi="Times New Roman"/>
                <w:color w:val="000000"/>
                <w:sz w:val="20"/>
              </w:rPr>
              <w:t> </w:t>
            </w:r>
            <w:r>
              <w:rPr>
                <w:rFonts w:ascii="Times New Roman" w:hAnsi="Times New Roman"/>
                <w:color w:val="000000"/>
                <w:sz w:val="10"/>
              </w:rPr>
              <w:t>Units) (h)(j)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(1,000</w:t>
            </w:r>
            <w:r>
              <w:rPr>
                <w:rFonts w:ascii="Times New Roman" w:hAnsi="Times New Roman"/>
                <w:color w:val="000000"/>
                <w:sz w:val="20"/>
              </w:rPr>
              <w:t> </w:t>
            </w:r>
            <w:r>
              <w:rPr>
                <w:rFonts w:ascii="Times New Roman" w:hAnsi="Times New Roman"/>
                <w:color w:val="000000"/>
                <w:sz w:val="10"/>
              </w:rPr>
              <w:t>Units) (h)(j)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Detechtion Holdings,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(k)</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+ 5.75%) / (2.25%)</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10.06%/2.00%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($1,000</w:t>
            </w:r>
            <w:r>
              <w:rPr>
                <w:rFonts w:ascii="Times New Roman" w:hAnsi="Times New Roman"/>
                <w:color w:val="000000"/>
                <w:sz w:val="20"/>
              </w:rPr>
              <w:t> </w:t>
            </w:r>
            <w:r>
              <w:rPr>
                <w:rFonts w:ascii="Times New Roman" w:hAnsi="Times New Roman"/>
                <w:color w:val="000000"/>
                <w:sz w:val="10"/>
              </w:rPr>
              <w:t>unfunded commitment) (j)(w)</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+ 7.75%) / (2.25%)</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12.06%/0.00%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7/12/2024</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0.00%/14.00%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6/21/2023</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(601,532</w:t>
            </w:r>
            <w:r>
              <w:rPr>
                <w:rFonts w:ascii="Times New Roman" w:hAnsi="Times New Roman"/>
                <w:color w:val="000000"/>
                <w:sz w:val="20"/>
              </w:rPr>
              <w:t> </w:t>
            </w:r>
            <w:r>
              <w:rPr>
                <w:rFonts w:ascii="Times New Roman" w:hAnsi="Times New Roman"/>
                <w:color w:val="000000"/>
                <w:sz w:val="10"/>
              </w:rPr>
              <w:t>units) (h)(j)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6/21/2023</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Diversified Search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(j)(r)</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+ 7.50%) / (1.00%)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12.06%/0.00%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2/7/2019</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12/23/2026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(573</w:t>
            </w:r>
            <w:r>
              <w:rPr>
                <w:rFonts w:ascii="Times New Roman" w:hAnsi="Times New Roman"/>
                <w:color w:val="000000"/>
                <w:sz w:val="20"/>
              </w:rPr>
              <w:t> </w:t>
            </w:r>
            <w:r>
              <w:rPr>
                <w:rFonts w:ascii="Times New Roman" w:hAnsi="Times New Roman"/>
                <w:color w:val="000000"/>
                <w:sz w:val="10"/>
              </w:rPr>
              <w:t>units) (h)(j)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2/7/2019</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Donovan Food Brokerage,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(ae)</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+ 6.25%) / (2.00%)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10.58%/0.00%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(598,832</w:t>
            </w:r>
            <w:r>
              <w:rPr>
                <w:rFonts w:ascii="Times New Roman" w:hAnsi="Times New Roman"/>
                <w:color w:val="000000"/>
                <w:sz w:val="20"/>
              </w:rPr>
              <w:t> </w:t>
            </w:r>
            <w:r>
              <w:rPr>
                <w:rFonts w:ascii="Times New Roman" w:hAnsi="Times New Roman"/>
                <w:color w:val="000000"/>
                <w:sz w:val="10"/>
              </w:rPr>
              <w:t>units)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2/23/2024</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Elements Brands,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Products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12.25%/0.00%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Revolving Loan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12.25%/0.00%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Enterprise Asset Management FM Purchaser, Inc. (dba MCIM)</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+ 5.75%) / (2.00%)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10.06%/2.00%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5/20/2024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(551,470</w:t>
            </w:r>
            <w:r>
              <w:rPr>
                <w:rFonts w:ascii="Times New Roman" w:hAnsi="Times New Roman"/>
                <w:color w:val="000000"/>
                <w:sz w:val="20"/>
              </w:rPr>
              <w:t> </w:t>
            </w:r>
            <w:r>
              <w:rPr>
                <w:rFonts w:ascii="Times New Roman" w:hAnsi="Times New Roman"/>
                <w:color w:val="000000"/>
                <w:sz w:val="10"/>
              </w:rPr>
              <w:t>units)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5/20/2024</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Estex Manufacturing Company,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(j)(az)</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+ 5.00%) / (2.00%)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9.32%/0.00%</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10/1/2024</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(75,000</w:t>
            </w:r>
            <w:r>
              <w:rPr>
                <w:rFonts w:ascii="Times New Roman" w:hAnsi="Times New Roman"/>
                <w:color w:val="000000"/>
                <w:sz w:val="20"/>
              </w:rPr>
              <w:t> </w:t>
            </w:r>
            <w:r>
              <w:rPr>
                <w:rFonts w:ascii="Times New Roman" w:hAnsi="Times New Roman"/>
                <w:color w:val="000000"/>
                <w:sz w:val="10"/>
              </w:rPr>
              <w:t>units)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10/1/2024</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Fishbowl Solutions, LLC</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(1.00%)</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3/25/2022</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6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(1.00%)</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12.31%/0.00%</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12/27/2024</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3043"/>
        <w:gridCol w:w="1298"/>
        <w:gridCol w:w="949"/>
        <w:gridCol w:w="684"/>
        <w:gridCol w:w="544"/>
        <w:gridCol w:w="544"/>
        <w:gridCol w:w="146"/>
        <w:gridCol w:w="436"/>
        <w:gridCol w:w="146"/>
        <w:gridCol w:w="146"/>
        <w:gridCol w:w="146"/>
        <w:gridCol w:w="436"/>
        <w:gridCol w:w="146"/>
        <w:gridCol w:w="146"/>
        <w:gridCol w:w="146"/>
        <w:gridCol w:w="436"/>
        <w:gridCol w:w="146"/>
        <w:gridCol w:w="146"/>
        <w:gridCol w:w="166"/>
        <w:gridCol w:w="355"/>
      </w:tblGrid>
      <w:tr>
        <w:trPr/>
        <w:tc>
          <w:tcPr>
            <w:tcW w:w="304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($1,500</w:t>
            </w:r>
            <w:r>
              <w:rPr>
                <w:rFonts w:ascii="Times New Roman" w:hAnsi="Times New Roman"/>
                <w:color w:val="000000"/>
                <w:sz w:val="20"/>
              </w:rPr>
              <w:t> </w:t>
            </w:r>
            <w:r>
              <w:rPr>
                <w:rFonts w:ascii="Times New Roman" w:hAnsi="Times New Roman"/>
                <w:color w:val="000000"/>
                <w:sz w:val="10"/>
              </w:rPr>
              <w:t>unfunded commitment) (i)(j)</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+ 7.75%) / (1.00%)</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12.31%/0.00%</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12/27/2024</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Fraser Steel LLC</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13.00%/0.00%</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2/5/2025</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2/5/2030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($2,000</w:t>
            </w:r>
            <w:r>
              <w:rPr>
                <w:rFonts w:ascii="Times New Roman" w:hAnsi="Times New Roman"/>
                <w:color w:val="000000"/>
                <w:sz w:val="20"/>
              </w:rPr>
              <w:t> </w:t>
            </w:r>
            <w:r>
              <w:rPr>
                <w:rFonts w:ascii="Times New Roman" w:hAnsi="Times New Roman"/>
                <w:color w:val="000000"/>
                <w:sz w:val="10"/>
              </w:rPr>
              <w:t>unfunded commitment) (j)(i)</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13.00%/0.00%</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2/5/2025</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(140,000</w:t>
            </w:r>
            <w:r>
              <w:rPr>
                <w:rFonts w:ascii="Times New Roman" w:hAnsi="Times New Roman"/>
                <w:color w:val="000000"/>
                <w:sz w:val="20"/>
              </w:rPr>
              <w:t> </w:t>
            </w:r>
            <w:r>
              <w:rPr>
                <w:rFonts w:ascii="Times New Roman" w:hAnsi="Times New Roman"/>
                <w:color w:val="000000"/>
                <w:sz w:val="10"/>
              </w:rPr>
              <w:t>units) (h)(j)</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2/5/2025</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(500,000</w:t>
            </w:r>
            <w:r>
              <w:rPr>
                <w:rFonts w:ascii="Times New Roman" w:hAnsi="Times New Roman"/>
                <w:color w:val="000000"/>
                <w:sz w:val="20"/>
              </w:rPr>
              <w:t> </w:t>
            </w:r>
            <w:r>
              <w:rPr>
                <w:rFonts w:ascii="Times New Roman" w:hAnsi="Times New Roman"/>
                <w:color w:val="000000"/>
                <w:sz w:val="10"/>
              </w:rPr>
              <w:t>units) (h)(j)</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2/5/2025</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14,556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Fumex, LLC</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Industrial Product Services</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(j)(ar)</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+ 4.75%) / (1.00%)</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9.08%/0.00%</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11/27/2024</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(3,500</w:t>
            </w:r>
            <w:r>
              <w:rPr>
                <w:rFonts w:ascii="Times New Roman" w:hAnsi="Times New Roman"/>
                <w:color w:val="000000"/>
                <w:sz w:val="20"/>
              </w:rPr>
              <w:t> </w:t>
            </w:r>
            <w:r>
              <w:rPr>
                <w:rFonts w:ascii="Times New Roman" w:hAnsi="Times New Roman"/>
                <w:color w:val="000000"/>
                <w:sz w:val="10"/>
              </w:rPr>
              <w:t>units) (h)(j)</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11/27/2024</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Global Plasma Solutions, Inc.</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(601</w:t>
            </w:r>
            <w:r>
              <w:rPr>
                <w:rFonts w:ascii="Times New Roman" w:hAnsi="Times New Roman"/>
                <w:color w:val="000000"/>
                <w:sz w:val="20"/>
              </w:rPr>
              <w:t> </w:t>
            </w:r>
            <w:r>
              <w:rPr>
                <w:rFonts w:ascii="Times New Roman" w:hAnsi="Times New Roman"/>
                <w:color w:val="000000"/>
                <w:sz w:val="10"/>
              </w:rPr>
              <w:t>shares) (j)</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2/1/2024</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(1,705</w:t>
            </w:r>
            <w:r>
              <w:rPr>
                <w:rFonts w:ascii="Times New Roman" w:hAnsi="Times New Roman"/>
                <w:color w:val="000000"/>
                <w:sz w:val="20"/>
              </w:rPr>
              <w:t> </w:t>
            </w:r>
            <w:r>
              <w:rPr>
                <w:rFonts w:ascii="Times New Roman" w:hAnsi="Times New Roman"/>
                <w:color w:val="000000"/>
                <w:sz w:val="10"/>
              </w:rPr>
              <w:t>shares) (j)</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9/21/2018</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GMP HVAC, LLC (dba McGee Heating &amp; Air, LLC)</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(j)(bb)</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+ 7.00%) / (2.00%)</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11.79%/0.00%</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12/8/2023</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(1,394</w:t>
            </w:r>
            <w:r>
              <w:rPr>
                <w:rFonts w:ascii="Times New Roman" w:hAnsi="Times New Roman"/>
                <w:color w:val="000000"/>
                <w:sz w:val="20"/>
              </w:rPr>
              <w:t> </w:t>
            </w:r>
            <w:r>
              <w:rPr>
                <w:rFonts w:ascii="Times New Roman" w:hAnsi="Times New Roman"/>
                <w:color w:val="000000"/>
                <w:sz w:val="10"/>
              </w:rPr>
              <w:t>units) (h)(j)</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12/8/2023</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GP&amp;C Operations, LLC (dba Garlock Printing and Converting)</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(515,625</w:t>
            </w:r>
            <w:r>
              <w:rPr>
                <w:rFonts w:ascii="Times New Roman" w:hAnsi="Times New Roman"/>
                <w:color w:val="000000"/>
                <w:sz w:val="20"/>
              </w:rPr>
              <w:t> </w:t>
            </w:r>
            <w:r>
              <w:rPr>
                <w:rFonts w:ascii="Times New Roman" w:hAnsi="Times New Roman"/>
                <w:color w:val="000000"/>
                <w:sz w:val="10"/>
              </w:rPr>
              <w:t>units) (h)(j)</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1/22/2021</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Green Cubes Technology, LLC (dba Green Cubes)</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(j)(ax)</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+ 7.50%) / (2.00%)</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11.80%/0.00%</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10/16/2024</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Haematologic Technologies, Inc.</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 + 5.25%) / (3.00%)</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9.83%/3.00%</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10/11/2019</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(630</w:t>
            </w:r>
            <w:r>
              <w:rPr>
                <w:rFonts w:ascii="Times New Roman" w:hAnsi="Times New Roman"/>
                <w:color w:val="000000"/>
                <w:sz w:val="20"/>
              </w:rPr>
              <w:t> </w:t>
            </w:r>
            <w:r>
              <w:rPr>
                <w:rFonts w:ascii="Times New Roman" w:hAnsi="Times New Roman"/>
                <w:color w:val="000000"/>
                <w:sz w:val="10"/>
              </w:rPr>
              <w:t>units) (h)(j)</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10/11/2019</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(169</w:t>
            </w:r>
            <w:r>
              <w:rPr>
                <w:rFonts w:ascii="Times New Roman" w:hAnsi="Times New Roman"/>
                <w:color w:val="000000"/>
                <w:sz w:val="20"/>
              </w:rPr>
              <w:t> </w:t>
            </w:r>
            <w:r>
              <w:rPr>
                <w:rFonts w:ascii="Times New Roman" w:hAnsi="Times New Roman"/>
                <w:color w:val="000000"/>
                <w:sz w:val="10"/>
              </w:rPr>
              <w:t>units) (h)(j)</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6/26/2023</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Hallmark Health Care Solutions, Inc.</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(3,645,752</w:t>
            </w:r>
            <w:r>
              <w:rPr>
                <w:rFonts w:ascii="Times New Roman" w:hAnsi="Times New Roman"/>
                <w:color w:val="000000"/>
                <w:sz w:val="20"/>
              </w:rPr>
              <w:t> </w:t>
            </w:r>
            <w:r>
              <w:rPr>
                <w:rFonts w:ascii="Times New Roman" w:hAnsi="Times New Roman"/>
                <w:color w:val="000000"/>
                <w:sz w:val="10"/>
              </w:rPr>
              <w:t>units) (j)</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9/18/2023</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Hub Acquisition Sub, LLC (dba Hub Pen)</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Promotional products</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(j)</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11.50%/1.25%</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4/25/2023</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(5,837</w:t>
            </w:r>
            <w:r>
              <w:rPr>
                <w:rFonts w:ascii="Times New Roman" w:hAnsi="Times New Roman"/>
                <w:color w:val="000000"/>
                <w:sz w:val="20"/>
              </w:rPr>
              <w:t> </w:t>
            </w:r>
            <w:r>
              <w:rPr>
                <w:rFonts w:ascii="Times New Roman" w:hAnsi="Times New Roman"/>
                <w:color w:val="000000"/>
                <w:sz w:val="10"/>
              </w:rPr>
              <w:t>units) (j)</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3/23/2016</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(637</w:t>
            </w:r>
            <w:r>
              <w:rPr>
                <w:rFonts w:ascii="Times New Roman" w:hAnsi="Times New Roman"/>
                <w:color w:val="000000"/>
                <w:sz w:val="20"/>
              </w:rPr>
              <w:t> </w:t>
            </w:r>
            <w:r>
              <w:rPr>
                <w:rFonts w:ascii="Times New Roman" w:hAnsi="Times New Roman"/>
                <w:color w:val="000000"/>
                <w:sz w:val="10"/>
              </w:rPr>
              <w:t>units) (j)</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8/7/2023</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(868</w:t>
            </w:r>
            <w:r>
              <w:rPr>
                <w:rFonts w:ascii="Times New Roman" w:hAnsi="Times New Roman"/>
                <w:color w:val="000000"/>
                <w:sz w:val="20"/>
              </w:rPr>
              <w:t> </w:t>
            </w:r>
            <w:r>
              <w:rPr>
                <w:rFonts w:ascii="Times New Roman" w:hAnsi="Times New Roman"/>
                <w:color w:val="000000"/>
                <w:sz w:val="10"/>
              </w:rPr>
              <w:t>units) (j)</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10/16/2020</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IBH Holdings, LLC (fka Inflexxion, Inc.)</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(150,000</w:t>
            </w:r>
            <w:r>
              <w:rPr>
                <w:rFonts w:ascii="Times New Roman" w:hAnsi="Times New Roman"/>
                <w:color w:val="000000"/>
                <w:sz w:val="20"/>
              </w:rPr>
              <w:t> </w:t>
            </w:r>
            <w:r>
              <w:rPr>
                <w:rFonts w:ascii="Times New Roman" w:hAnsi="Times New Roman"/>
                <w:color w:val="000000"/>
                <w:sz w:val="10"/>
              </w:rPr>
              <w:t>units) (j)</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6/20/2018</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InductiveHealth Informatics, LLC</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+ 7.75%) / (2.00%)</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12.06%/0.50%</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9/20/2024</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(367</w:t>
            </w:r>
            <w:r>
              <w:rPr>
                <w:rFonts w:ascii="Times New Roman" w:hAnsi="Times New Roman"/>
                <w:color w:val="000000"/>
                <w:sz w:val="20"/>
              </w:rPr>
              <w:t> </w:t>
            </w:r>
            <w:r>
              <w:rPr>
                <w:rFonts w:ascii="Times New Roman" w:hAnsi="Times New Roman"/>
                <w:color w:val="000000"/>
                <w:sz w:val="10"/>
              </w:rPr>
              <w:t>units) (j)</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9/20/2024</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(1,361</w:t>
            </w:r>
            <w:r>
              <w:rPr>
                <w:rFonts w:ascii="Times New Roman" w:hAnsi="Times New Roman"/>
                <w:color w:val="000000"/>
                <w:sz w:val="20"/>
              </w:rPr>
              <w:t> </w:t>
            </w:r>
            <w:r>
              <w:rPr>
                <w:rFonts w:ascii="Times New Roman" w:hAnsi="Times New Roman"/>
                <w:color w:val="000000"/>
                <w:sz w:val="10"/>
              </w:rPr>
              <w:t>units) (j)</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9/20/2024</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Info Tech Operating, LLC (dba infotech)</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(bd)</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+ 4.88%) / (2.00%)</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12.16%/0.00%</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3/31/2025</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3/31/2030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13,399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Informatics Holdings, Inc. (dba Wasp Barcode Technologies)</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(j)(v)</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+ 6.50%) / (2.50%)</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10.81%/0.00%</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5/1/2024</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3/7/2029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(1,000,000</w:t>
            </w:r>
            <w:r>
              <w:rPr>
                <w:rFonts w:ascii="Times New Roman" w:hAnsi="Times New Roman"/>
                <w:color w:val="000000"/>
                <w:sz w:val="20"/>
              </w:rPr>
              <w:t> </w:t>
            </w:r>
            <w:r>
              <w:rPr>
                <w:rFonts w:ascii="Times New Roman" w:hAnsi="Times New Roman"/>
                <w:color w:val="000000"/>
                <w:sz w:val="10"/>
              </w:rPr>
              <w:t>units) (j)</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3/7/2024</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ISI PSG Holdings, LLC (dba Incentive Solutions, Inc.)</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(j)(aj)</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+ 7.50%) / (0.50%)</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11.95%/0.00%</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4/5/2021</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(j)(an)</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+ 7.50%) / (0.50%)</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8.45%/0.00%</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6/30/2021</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(256,964</w:t>
            </w:r>
            <w:r>
              <w:rPr>
                <w:rFonts w:ascii="Times New Roman" w:hAnsi="Times New Roman"/>
                <w:color w:val="000000"/>
                <w:sz w:val="20"/>
              </w:rPr>
              <w:t> </w:t>
            </w:r>
            <w:r>
              <w:rPr>
                <w:rFonts w:ascii="Times New Roman" w:hAnsi="Times New Roman"/>
                <w:color w:val="000000"/>
                <w:sz w:val="10"/>
              </w:rPr>
              <w:t>units) (h)(j)</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4/5/2021</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Janus Health Technologies, Inc.</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13.00%/0.00%</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1/3/2024</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4,984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13.00%/0.00%</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1/3/2024</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(68,361</w:t>
            </w:r>
            <w:r>
              <w:rPr>
                <w:rFonts w:ascii="Times New Roman" w:hAnsi="Times New Roman"/>
                <w:color w:val="000000"/>
                <w:sz w:val="20"/>
              </w:rPr>
              <w:t> </w:t>
            </w:r>
            <w:r>
              <w:rPr>
                <w:rFonts w:ascii="Times New Roman" w:hAnsi="Times New Roman"/>
                <w:color w:val="000000"/>
                <w:sz w:val="10"/>
              </w:rPr>
              <w:t>units)</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1/3/2024</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Jumo Health, Inc.</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(j)(aw)</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+ 5.25%) / (2.00%)</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9.56%/0.00%</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8/16/2024</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8/16/2029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(1,359</w:t>
            </w:r>
            <w:r>
              <w:rPr>
                <w:rFonts w:ascii="Times New Roman" w:hAnsi="Times New Roman"/>
                <w:color w:val="000000"/>
                <w:sz w:val="20"/>
              </w:rPr>
              <w:t> </w:t>
            </w:r>
            <w:r>
              <w:rPr>
                <w:rFonts w:ascii="Times New Roman" w:hAnsi="Times New Roman"/>
                <w:color w:val="000000"/>
                <w:sz w:val="10"/>
              </w:rPr>
              <w:t>shares) (j)</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8/16/2024</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(1,359</w:t>
            </w:r>
            <w:r>
              <w:rPr>
                <w:rFonts w:ascii="Times New Roman" w:hAnsi="Times New Roman"/>
                <w:color w:val="000000"/>
                <w:sz w:val="20"/>
              </w:rPr>
              <w:t> </w:t>
            </w:r>
            <w:r>
              <w:rPr>
                <w:rFonts w:ascii="Times New Roman" w:hAnsi="Times New Roman"/>
                <w:color w:val="000000"/>
                <w:sz w:val="10"/>
              </w:rPr>
              <w:t>shares) (j)</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8/16/2024</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The Kyjen Company, LLC (dba Outward Hound)</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Products</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(855</w:t>
            </w:r>
            <w:r>
              <w:rPr>
                <w:rFonts w:ascii="Times New Roman" w:hAnsi="Times New Roman"/>
                <w:color w:val="000000"/>
                <w:sz w:val="20"/>
              </w:rPr>
              <w:t> </w:t>
            </w:r>
            <w:r>
              <w:rPr>
                <w:rFonts w:ascii="Times New Roman" w:hAnsi="Times New Roman"/>
                <w:color w:val="000000"/>
                <w:sz w:val="10"/>
              </w:rPr>
              <w:t>shares) (j)</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12/8/2017</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Level Education Group, LLC (dba CE4Less)</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(ak)</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+ 5.75%) / (2.00%)</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10.32%/0.00%</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4/1/2021</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(1,000,000</w:t>
            </w:r>
            <w:r>
              <w:rPr>
                <w:rFonts w:ascii="Times New Roman" w:hAnsi="Times New Roman"/>
                <w:color w:val="000000"/>
                <w:sz w:val="20"/>
              </w:rPr>
              <w:t> </w:t>
            </w:r>
            <w:r>
              <w:rPr>
                <w:rFonts w:ascii="Times New Roman" w:hAnsi="Times New Roman"/>
                <w:color w:val="000000"/>
                <w:sz w:val="10"/>
              </w:rPr>
              <w:t>units) (j)</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4/1/2021</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LifeSpan Biosciences, Inc.</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11.50%/0.00%</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3/19/2021</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(108</w:t>
            </w:r>
            <w:r>
              <w:rPr>
                <w:rFonts w:ascii="Times New Roman" w:hAnsi="Times New Roman"/>
                <w:color w:val="000000"/>
                <w:sz w:val="20"/>
              </w:rPr>
              <w:t> </w:t>
            </w:r>
            <w:r>
              <w:rPr>
                <w:rFonts w:ascii="Times New Roman" w:hAnsi="Times New Roman"/>
                <w:color w:val="000000"/>
                <w:sz w:val="10"/>
              </w:rPr>
              <w:t>shares) (j)</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6/7/2024</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16,569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Mayesh Wholesale Florist, LLC</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First Lien Debt ($2,000</w:t>
            </w:r>
            <w:r>
              <w:rPr>
                <w:rFonts w:ascii="Times New Roman" w:hAnsi="Times New Roman"/>
                <w:color w:val="000000"/>
                <w:sz w:val="20"/>
              </w:rPr>
              <w:t> </w:t>
            </w:r>
            <w:r>
              <w:rPr>
                <w:rFonts w:ascii="Times New Roman" w:hAnsi="Times New Roman"/>
                <w:color w:val="000000"/>
                <w:sz w:val="10"/>
              </w:rPr>
              <w:t>unfunded commitment)(j)(be)(i)</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+ 6.25%) / (2.00%)</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13.55%/0.00%</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3/18/2025</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(500,000</w:t>
            </w:r>
            <w:r>
              <w:rPr>
                <w:rFonts w:ascii="Times New Roman" w:hAnsi="Times New Roman"/>
                <w:color w:val="000000"/>
                <w:sz w:val="20"/>
              </w:rPr>
              <w:t> </w:t>
            </w:r>
            <w:r>
              <w:rPr>
                <w:rFonts w:ascii="Times New Roman" w:hAnsi="Times New Roman"/>
                <w:color w:val="000000"/>
                <w:sz w:val="10"/>
              </w:rPr>
              <w:t>units) (h)(j)</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3/18/2025</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MBS Opco, LLC (dba Marketron)</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+ 8.50%) / (1.50%)</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13.07%/0.00%</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9/29/2022</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9/28/2026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MDME Holding Corp.</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+ 6.25%) / (1.00%)</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10.70%/0.00%</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8/31/2023</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8/3/2027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(4,735</w:t>
            </w:r>
            <w:r>
              <w:rPr>
                <w:rFonts w:ascii="Times New Roman" w:hAnsi="Times New Roman"/>
                <w:color w:val="000000"/>
                <w:sz w:val="20"/>
              </w:rPr>
              <w:t> </w:t>
            </w:r>
            <w:r>
              <w:rPr>
                <w:rFonts w:ascii="Times New Roman" w:hAnsi="Times New Roman"/>
                <w:color w:val="000000"/>
                <w:sz w:val="10"/>
              </w:rPr>
              <w:t>units) (j)</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9/18/2023</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(12,500</w:t>
            </w:r>
            <w:r>
              <w:rPr>
                <w:rFonts w:ascii="Times New Roman" w:hAnsi="Times New Roman"/>
                <w:color w:val="000000"/>
                <w:sz w:val="20"/>
              </w:rPr>
              <w:t> </w:t>
            </w:r>
            <w:r>
              <w:rPr>
                <w:rFonts w:ascii="Times New Roman" w:hAnsi="Times New Roman"/>
                <w:color w:val="000000"/>
                <w:sz w:val="10"/>
              </w:rPr>
              <w:t>units) (j)</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9/18/2023</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Micronics Filtration Holdings, Inc. (dba Micronics Engineered Filtration Group, Inc.)</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(k)(as)</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+ 5.25%) / (0.50%)</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9.82%/0.00%</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2/17/2022</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2/17/2027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29,509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(14,400</w:t>
            </w:r>
            <w:r>
              <w:rPr>
                <w:rFonts w:ascii="Times New Roman" w:hAnsi="Times New Roman"/>
                <w:color w:val="000000"/>
                <w:sz w:val="20"/>
              </w:rPr>
              <w:t> </w:t>
            </w:r>
            <w:r>
              <w:rPr>
                <w:rFonts w:ascii="Times New Roman" w:hAnsi="Times New Roman"/>
                <w:color w:val="000000"/>
                <w:sz w:val="10"/>
              </w:rPr>
              <w:t>units) (j)</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2/17/2022</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7,606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30,949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Netbase Solutions, Inc. (dba Netbase Quid)</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(k)(ap)</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(P</w:t>
            </w:r>
            <w:r>
              <w:rPr>
                <w:rFonts w:ascii="Times New Roman" w:hAnsi="Times New Roman"/>
                <w:color w:val="000000"/>
                <w:sz w:val="20"/>
              </w:rPr>
              <w:t> </w:t>
            </w:r>
            <w:r>
              <w:rPr>
                <w:rFonts w:ascii="Times New Roman" w:hAnsi="Times New Roman"/>
                <w:color w:val="000000"/>
                <w:sz w:val="10"/>
              </w:rPr>
              <w:t>+ 1.50%) / (3.25%)</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9.00%/2.50%</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11/18/2021</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11/18/2026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NWS Technologies, LLC</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(u)</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+ 8.00%) / (2.50%)</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12.31%/0.00%</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6/20/2023</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6/16/2028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w:t>
            </w:r>
            <w:r>
              <w:rPr>
                <w:rFonts w:ascii="Times New Roman" w:hAnsi="Times New Roman"/>
                <w:color w:val="000000"/>
                <w:sz w:val="20"/>
              </w:rPr>
              <w:t> </w:t>
            </w:r>
            <w:r>
              <w:rPr>
                <w:rFonts w:ascii="Times New Roman" w:hAnsi="Times New Roman"/>
                <w:color w:val="000000"/>
                <w:sz w:val="10"/>
              </w:rPr>
              <w:t>unit) (h)(j)</w:t>
            </w:r>
          </w:p>
        </w:tc>
        <w:tc>
          <w:tcPr>
            <w:tcW w:w="1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6/20/2023</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30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(0.375</w:t>
            </w:r>
            <w:r>
              <w:rPr>
                <w:rFonts w:ascii="Times New Roman" w:hAnsi="Times New Roman"/>
                <w:color w:val="000000"/>
                <w:sz w:val="20"/>
              </w:rPr>
              <w:t> </w:t>
            </w:r>
            <w:r>
              <w:rPr>
                <w:rFonts w:ascii="Times New Roman" w:hAnsi="Times New Roman"/>
                <w:color w:val="000000"/>
                <w:sz w:val="10"/>
              </w:rPr>
              <w:t>units) (h)(j)</w:t>
            </w:r>
          </w:p>
        </w:tc>
        <w:tc>
          <w:tcPr>
            <w:tcW w:w="1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6/20/2023</w:t>
            </w:r>
          </w:p>
        </w:tc>
        <w:tc>
          <w:tcPr>
            <w:tcW w:w="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647"/>
        <w:gridCol w:w="1441"/>
        <w:gridCol w:w="1018"/>
        <w:gridCol w:w="732"/>
        <w:gridCol w:w="588"/>
        <w:gridCol w:w="588"/>
        <w:gridCol w:w="146"/>
        <w:gridCol w:w="436"/>
        <w:gridCol w:w="146"/>
        <w:gridCol w:w="146"/>
        <w:gridCol w:w="146"/>
        <w:gridCol w:w="436"/>
        <w:gridCol w:w="146"/>
        <w:gridCol w:w="146"/>
        <w:gridCol w:w="146"/>
        <w:gridCol w:w="436"/>
        <w:gridCol w:w="146"/>
        <w:gridCol w:w="146"/>
        <w:gridCol w:w="166"/>
        <w:gridCol w:w="403"/>
      </w:tblGrid>
      <w:tr>
        <w:trPr/>
        <w:tc>
          <w:tcPr>
            <w:tcW w:w="264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18,316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18,331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OnePath Systems, LLC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(732,542</w:t>
            </w:r>
            <w:r>
              <w:rPr>
                <w:rFonts w:ascii="Times New Roman" w:hAnsi="Times New Roman"/>
                <w:color w:val="000000"/>
                <w:sz w:val="20"/>
              </w:rPr>
              <w:t> </w:t>
            </w:r>
            <w:r>
              <w:rPr>
                <w:rFonts w:ascii="Times New Roman" w:hAnsi="Times New Roman"/>
                <w:color w:val="000000"/>
                <w:sz w:val="10"/>
              </w:rPr>
              <w:t>shares)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9/30/2022</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Onsight Industries, LLC</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(j)(bf)</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+ 5.50%) / (1.50%)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9.79%/0.00%</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3/27/2025</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1/7/2030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(380,000</w:t>
            </w:r>
            <w:r>
              <w:rPr>
                <w:rFonts w:ascii="Times New Roman" w:hAnsi="Times New Roman"/>
                <w:color w:val="000000"/>
                <w:sz w:val="20"/>
              </w:rPr>
              <w:t> </w:t>
            </w:r>
            <w:r>
              <w:rPr>
                <w:rFonts w:ascii="Times New Roman" w:hAnsi="Times New Roman"/>
                <w:color w:val="000000"/>
                <w:sz w:val="10"/>
              </w:rPr>
              <w:t>units) (h)(j)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1/7/2025</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Palmetto Moon, LLC</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Retail</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(499</w:t>
            </w:r>
            <w:r>
              <w:rPr>
                <w:rFonts w:ascii="Times New Roman" w:hAnsi="Times New Roman"/>
                <w:color w:val="000000"/>
                <w:sz w:val="20"/>
              </w:rPr>
              <w:t> </w:t>
            </w:r>
            <w:r>
              <w:rPr>
                <w:rFonts w:ascii="Times New Roman" w:hAnsi="Times New Roman"/>
                <w:color w:val="000000"/>
                <w:sz w:val="10"/>
              </w:rPr>
              <w:t>units) (j)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11/3/2016</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PayEntry Financial Services, Inc. (dba Payentry)</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(k)</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3/28/2025</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Second Lien Debt ($2,988</w:t>
            </w:r>
            <w:r>
              <w:rPr>
                <w:rFonts w:ascii="Times New Roman" w:hAnsi="Times New Roman"/>
                <w:color w:val="000000"/>
                <w:sz w:val="20"/>
              </w:rPr>
              <w:t> </w:t>
            </w:r>
            <w:r>
              <w:rPr>
                <w:rFonts w:ascii="Times New Roman" w:hAnsi="Times New Roman"/>
                <w:color w:val="000000"/>
                <w:sz w:val="10"/>
              </w:rPr>
              <w:t>unfunded commitment)(k)(bg)</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3/28/2025</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9/28/2031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Second Lien Debt ($2,988</w:t>
            </w:r>
            <w:r>
              <w:rPr>
                <w:rFonts w:ascii="Times New Roman" w:hAnsi="Times New Roman"/>
                <w:color w:val="000000"/>
                <w:sz w:val="20"/>
              </w:rPr>
              <w:t> </w:t>
            </w:r>
            <w:r>
              <w:rPr>
                <w:rFonts w:ascii="Times New Roman" w:hAnsi="Times New Roman"/>
                <w:color w:val="000000"/>
                <w:sz w:val="10"/>
              </w:rPr>
              <w:t>unfunded commitment)(k)(bg)</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3/28/2025</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9/28/2031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(7,500</w:t>
            </w:r>
            <w:r>
              <w:rPr>
                <w:rFonts w:ascii="Times New Roman" w:hAnsi="Times New Roman"/>
                <w:color w:val="000000"/>
                <w:sz w:val="20"/>
              </w:rPr>
              <w:t> </w:t>
            </w:r>
            <w:r>
              <w:rPr>
                <w:rFonts w:ascii="Times New Roman" w:hAnsi="Times New Roman"/>
                <w:color w:val="000000"/>
                <w:sz w:val="10"/>
              </w:rPr>
              <w:t>units)</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3/28/2025</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Pinnergy, Ltd.</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Oil &amp; Gas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10.00%/0.00%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6/30/2022</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10,166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PowerGrid Services Acquisition, LLC</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(5,461</w:t>
            </w:r>
            <w:r>
              <w:rPr>
                <w:rFonts w:ascii="Times New Roman" w:hAnsi="Times New Roman"/>
                <w:color w:val="000000"/>
                <w:sz w:val="20"/>
              </w:rPr>
              <w:t> </w:t>
            </w:r>
            <w:r>
              <w:rPr>
                <w:rFonts w:ascii="Times New Roman" w:hAnsi="Times New Roman"/>
                <w:color w:val="000000"/>
                <w:sz w:val="10"/>
              </w:rPr>
              <w:t>units)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9/21/2021</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Prime AE Group, Inc.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(j)(ab)</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+ 8.75%) / (2.00%)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13.19%/0.00%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11/25/2019</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(900,000</w:t>
            </w:r>
            <w:r>
              <w:rPr>
                <w:rFonts w:ascii="Times New Roman" w:hAnsi="Times New Roman"/>
                <w:color w:val="000000"/>
                <w:sz w:val="20"/>
              </w:rPr>
              <w:t> </w:t>
            </w:r>
            <w:r>
              <w:rPr>
                <w:rFonts w:ascii="Times New Roman" w:hAnsi="Times New Roman"/>
                <w:color w:val="000000"/>
                <w:sz w:val="10"/>
              </w:rPr>
              <w:t>shares) (j)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11/25/2019</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Puget Collision, LLC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Retail</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(j)(av)</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+ 7.00%) / (2.00%)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11.31%/0.00%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1/4/2024</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0.00%/10.00%</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11/22/2024</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5/22/2026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(h)(j)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12/20/2024</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6/20/2026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(310</w:t>
            </w:r>
            <w:r>
              <w:rPr>
                <w:rFonts w:ascii="Times New Roman" w:hAnsi="Times New Roman"/>
                <w:color w:val="000000"/>
                <w:sz w:val="20"/>
              </w:rPr>
              <w:t> </w:t>
            </w:r>
            <w:r>
              <w:rPr>
                <w:rFonts w:ascii="Times New Roman" w:hAnsi="Times New Roman"/>
                <w:color w:val="000000"/>
                <w:sz w:val="10"/>
              </w:rPr>
              <w:t>units)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1/4/2024</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QED Technologies International, Inc.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(q)</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+ 5.25%) / (1.50%)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9.56%/0.50%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3/1/2023</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(140</w:t>
            </w:r>
            <w:r>
              <w:rPr>
                <w:rFonts w:ascii="Times New Roman" w:hAnsi="Times New Roman"/>
                <w:color w:val="000000"/>
                <w:sz w:val="20"/>
              </w:rPr>
              <w:t> </w:t>
            </w:r>
            <w:r>
              <w:rPr>
                <w:rFonts w:ascii="Times New Roman" w:hAnsi="Times New Roman"/>
                <w:color w:val="000000"/>
                <w:sz w:val="10"/>
              </w:rPr>
              <w:t>shares) (j)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2/28/2023</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4,084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Quantum IR Technologies, LLC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(j)(y)</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14.00%/0.00%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3/19/2024</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(12,183</w:t>
            </w:r>
            <w:r>
              <w:rPr>
                <w:rFonts w:ascii="Times New Roman" w:hAnsi="Times New Roman"/>
                <w:color w:val="000000"/>
                <w:sz w:val="20"/>
              </w:rPr>
              <w:t> </w:t>
            </w:r>
            <w:r>
              <w:rPr>
                <w:rFonts w:ascii="Times New Roman" w:hAnsi="Times New Roman"/>
                <w:color w:val="000000"/>
                <w:sz w:val="10"/>
              </w:rPr>
              <w:t>shares) (j)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3/19/2024</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Quest Software US Holdings Inc.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+ 7.50%) / (0.50%)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11.94%/0.00%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3/1/2022</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R1 Holdings, LLC (dba RoadOne IntermodaLogistics)</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Transportation services</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+ 6.25%) / (1.00%)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10.49%/0.00%</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8.75%/5.00%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(280,000</w:t>
            </w:r>
            <w:r>
              <w:rPr>
                <w:rFonts w:ascii="Times New Roman" w:hAnsi="Times New Roman"/>
                <w:color w:val="000000"/>
                <w:sz w:val="20"/>
              </w:rPr>
              <w:t> </w:t>
            </w:r>
            <w:r>
              <w:rPr>
                <w:rFonts w:ascii="Times New Roman" w:hAnsi="Times New Roman"/>
                <w:color w:val="000000"/>
                <w:sz w:val="10"/>
              </w:rPr>
              <w:t>units) (j)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12/30/2022</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R.F. Fager Company LLC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12.75%/0.00%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3/4/2024</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8/4/2030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(12,500</w:t>
            </w:r>
            <w:r>
              <w:rPr>
                <w:rFonts w:ascii="Times New Roman" w:hAnsi="Times New Roman"/>
                <w:color w:val="000000"/>
                <w:sz w:val="20"/>
              </w:rPr>
              <w:t> </w:t>
            </w:r>
            <w:r>
              <w:rPr>
                <w:rFonts w:ascii="Times New Roman" w:hAnsi="Times New Roman"/>
                <w:color w:val="000000"/>
                <w:sz w:val="10"/>
              </w:rPr>
              <w:t>units)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3/4/2024</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ServicePower, Inc.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(k)</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+ 8.00%) / (3.25%)</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3/15/2024</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SES Investors, LLC (dba SES Foam) (n)</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Building Products Manufacturing</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(6,000</w:t>
            </w:r>
            <w:r>
              <w:rPr>
                <w:rFonts w:ascii="Times New Roman" w:hAnsi="Times New Roman"/>
                <w:color w:val="000000"/>
                <w:sz w:val="20"/>
              </w:rPr>
              <w:t> </w:t>
            </w:r>
            <w:r>
              <w:rPr>
                <w:rFonts w:ascii="Times New Roman" w:hAnsi="Times New Roman"/>
                <w:color w:val="000000"/>
                <w:sz w:val="10"/>
              </w:rPr>
              <w:t>units)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9/8/2016</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Suited Connector LLC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(j)(y)</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0.00%/13.00%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10/29/2021</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(97,808</w:t>
            </w:r>
            <w:r>
              <w:rPr>
                <w:rFonts w:ascii="Times New Roman" w:hAnsi="Times New Roman"/>
                <w:color w:val="000000"/>
                <w:sz w:val="20"/>
              </w:rPr>
              <w:t> </w:t>
            </w:r>
            <w:r>
              <w:rPr>
                <w:rFonts w:ascii="Times New Roman" w:hAnsi="Times New Roman"/>
                <w:color w:val="000000"/>
                <w:sz w:val="10"/>
              </w:rPr>
              <w:t>units)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12/1/2021</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Tedia Company, LLC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Products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+ 7.75%) / (1.00%)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12.32%/0.00%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Revolving Loan ($2,250</w:t>
            </w:r>
            <w:r>
              <w:rPr>
                <w:rFonts w:ascii="Times New Roman" w:hAnsi="Times New Roman"/>
                <w:color w:val="000000"/>
                <w:sz w:val="20"/>
              </w:rPr>
              <w:t> </w:t>
            </w:r>
            <w:r>
              <w:rPr>
                <w:rFonts w:ascii="Times New Roman" w:hAnsi="Times New Roman"/>
                <w:color w:val="000000"/>
                <w:sz w:val="10"/>
              </w:rPr>
              <w:t>unfunded commitment) (i)(j)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+ 7.75%) / (1.00%)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12.32%/0.00%</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7.25%/7.25%</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(1,000</w:t>
            </w:r>
            <w:r>
              <w:rPr>
                <w:rFonts w:ascii="Times New Roman" w:hAnsi="Times New Roman"/>
                <w:color w:val="000000"/>
                <w:sz w:val="20"/>
              </w:rPr>
              <w:t> </w:t>
            </w:r>
            <w:r>
              <w:rPr>
                <w:rFonts w:ascii="Times New Roman" w:hAnsi="Times New Roman"/>
                <w:color w:val="000000"/>
                <w:sz w:val="10"/>
              </w:rPr>
              <w:t>units)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3/4/2022</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Thrust Flight LLC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First Lien Debt ($1,033</w:t>
            </w:r>
            <w:r>
              <w:rPr>
                <w:rFonts w:ascii="Times New Roman" w:hAnsi="Times New Roman"/>
                <w:color w:val="000000"/>
                <w:sz w:val="20"/>
              </w:rPr>
              <w:t> </w:t>
            </w:r>
            <w:r>
              <w:rPr>
                <w:rFonts w:ascii="Times New Roman" w:hAnsi="Times New Roman"/>
                <w:color w:val="000000"/>
                <w:sz w:val="10"/>
              </w:rPr>
              <w:t>unfunded commitment)(i)(j)(au)</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+ 5.75%) / (2.00%)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10.06%/0.00%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9/9/2024</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(1,050,000</w:t>
            </w:r>
            <w:r>
              <w:rPr>
                <w:rFonts w:ascii="Times New Roman" w:hAnsi="Times New Roman"/>
                <w:color w:val="000000"/>
                <w:sz w:val="20"/>
              </w:rPr>
              <w:t> </w:t>
            </w:r>
            <w:r>
              <w:rPr>
                <w:rFonts w:ascii="Times New Roman" w:hAnsi="Times New Roman"/>
                <w:color w:val="000000"/>
                <w:sz w:val="10"/>
              </w:rPr>
              <w:t>units)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9/9/2024</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Tiger Calcium Services Inc. (aq)</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Transportation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(j) (ao)</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12/21/2022</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7/31/2026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UBEO, LLC</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(705,000</w:t>
            </w:r>
            <w:r>
              <w:rPr>
                <w:rFonts w:ascii="Times New Roman" w:hAnsi="Times New Roman"/>
                <w:color w:val="000000"/>
                <w:sz w:val="20"/>
              </w:rPr>
              <w:t> </w:t>
            </w:r>
            <w:r>
              <w:rPr>
                <w:rFonts w:ascii="Times New Roman" w:hAnsi="Times New Roman"/>
                <w:color w:val="000000"/>
                <w:sz w:val="10"/>
              </w:rPr>
              <w:t>units)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4/3/2018</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United Biologics, LLC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Healthcare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(98,377</w:t>
            </w:r>
            <w:r>
              <w:rPr>
                <w:rFonts w:ascii="Times New Roman" w:hAnsi="Times New Roman"/>
                <w:color w:val="000000"/>
                <w:sz w:val="20"/>
              </w:rPr>
              <w:t> </w:t>
            </w:r>
            <w:r>
              <w:rPr>
                <w:rFonts w:ascii="Times New Roman" w:hAnsi="Times New Roman"/>
                <w:color w:val="000000"/>
                <w:sz w:val="10"/>
              </w:rPr>
              <w:t>units) (h)(j)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4/1/2012</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Warrant (57,469</w:t>
            </w:r>
            <w:r>
              <w:rPr>
                <w:rFonts w:ascii="Times New Roman" w:hAnsi="Times New Roman"/>
                <w:color w:val="000000"/>
                <w:sz w:val="20"/>
              </w:rPr>
              <w:t> </w:t>
            </w:r>
            <w:r>
              <w:rPr>
                <w:rFonts w:ascii="Times New Roman" w:hAnsi="Times New Roman"/>
                <w:color w:val="000000"/>
                <w:sz w:val="10"/>
              </w:rPr>
              <w:t>units) (j)(m)</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3/5/2012</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USG AS Holdings, LLC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Utilities: Services</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+ 8.00%) / (2.50%)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12.46%/0.00%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2/23/2023</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Common Equity (Units N/A) (j)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2/21/2023</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Virginia Tile Company, LLC (n)</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Common Equity (Units N/A)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12/19/2014</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Virtex Enterprises, LP</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Second Lien Debt (y)</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+ 0.00%) / (2.50%)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4.42%/9.75%</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4/13/2022</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(y)</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+ 4.00%) / (2.50%)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10.42%/0.00%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9/20/2023</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W50 Holdings, LLC</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Business Services</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Subordinated Debt (j)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12.50%/0.00%</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3/22/2024</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(Units N/A) ($100</w:t>
            </w:r>
            <w:r>
              <w:rPr>
                <w:rFonts w:ascii="Times New Roman" w:hAnsi="Times New Roman"/>
                <w:color w:val="000000"/>
                <w:sz w:val="20"/>
              </w:rPr>
              <w:t> </w:t>
            </w:r>
            <w:r>
              <w:rPr>
                <w:rFonts w:ascii="Times New Roman" w:hAnsi="Times New Roman"/>
                <w:color w:val="000000"/>
                <w:sz w:val="10"/>
              </w:rPr>
              <w:t>unfunded commitment)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3/21/2024</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White Label Communication, LLC</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+ 6.00%) / (1.00%)</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10.32%/0.00%</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10/11/2023</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(536</w:t>
            </w:r>
            <w:r>
              <w:rPr>
                <w:rFonts w:ascii="Times New Roman" w:hAnsi="Times New Roman"/>
                <w:color w:val="000000"/>
                <w:sz w:val="20"/>
              </w:rPr>
              <w:t> </w:t>
            </w:r>
            <w:r>
              <w:rPr>
                <w:rFonts w:ascii="Times New Roman" w:hAnsi="Times New Roman"/>
                <w:color w:val="000000"/>
                <w:sz w:val="10"/>
              </w:rPr>
              <w:t>units) (h)(j)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10/11/2023</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(5,000</w:t>
            </w:r>
            <w:r>
              <w:rPr>
                <w:rFonts w:ascii="Times New Roman" w:hAnsi="Times New Roman"/>
                <w:color w:val="000000"/>
                <w:sz w:val="20"/>
              </w:rPr>
              <w:t> </w:t>
            </w:r>
            <w:r>
              <w:rPr>
                <w:rFonts w:ascii="Times New Roman" w:hAnsi="Times New Roman"/>
                <w:color w:val="000000"/>
                <w:sz w:val="10"/>
              </w:rPr>
              <w:t>units) (h)(j)</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10/11/2023</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6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Winona Foods, Inc.</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Specialty Distribution</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47"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+ 6.00%) / (6.00%)</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17.00%/0.00%</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12/13/2023</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6/13/2027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bl>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tbl>
      <w:tblPr>
        <w:tblW w:w="10205" w:type="dxa"/>
        <w:jc w:val="left"/>
        <w:tblInd w:w="0" w:type="dxa"/>
        <w:tblLayout w:type="fixed"/>
        <w:tblCellMar>
          <w:top w:w="28" w:type="dxa"/>
          <w:left w:w="28" w:type="dxa"/>
          <w:bottom w:w="28" w:type="dxa"/>
          <w:right w:w="28" w:type="dxa"/>
        </w:tblCellMar>
      </w:tblPr>
      <w:tblGrid>
        <w:gridCol w:w="2813"/>
        <w:gridCol w:w="1187"/>
        <w:gridCol w:w="884"/>
        <w:gridCol w:w="640"/>
        <w:gridCol w:w="504"/>
        <w:gridCol w:w="504"/>
        <w:gridCol w:w="146"/>
        <w:gridCol w:w="376"/>
        <w:gridCol w:w="146"/>
        <w:gridCol w:w="146"/>
        <w:gridCol w:w="166"/>
        <w:gridCol w:w="586"/>
        <w:gridCol w:w="146"/>
        <w:gridCol w:w="146"/>
        <w:gridCol w:w="166"/>
        <w:gridCol w:w="586"/>
        <w:gridCol w:w="146"/>
        <w:gridCol w:w="146"/>
        <w:gridCol w:w="286"/>
        <w:gridCol w:w="485"/>
      </w:tblGrid>
      <w:tr>
        <w:trPr/>
        <w:tc>
          <w:tcPr>
            <w:tcW w:w="281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8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Wonderware Holdings, LLC (dba CORE Business Technologies)</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Information Technology Services</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1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(k)(z)</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+ 7.00%) / (1.00%)</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11.58%/0.00%</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2/10/2021</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5/31/2025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World Tours LLC</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Consumer Services</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(ay)</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0"/>
              </w:rPr>
              <w:t>(S</w:t>
            </w:r>
            <w:r>
              <w:rPr>
                <w:rFonts w:ascii="Times New Roman" w:hAnsi="Times New Roman"/>
                <w:color w:val="000000"/>
                <w:sz w:val="20"/>
              </w:rPr>
              <w:t> </w:t>
            </w:r>
            <w:r>
              <w:rPr>
                <w:rFonts w:ascii="Times New Roman" w:hAnsi="Times New Roman"/>
                <w:color w:val="000000"/>
                <w:sz w:val="10"/>
              </w:rPr>
              <w:t>+ 6.50%) / (2.00%)</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10.81%/0.00%</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11/13/2024</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1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Preferred Equity (1,000,000</w:t>
            </w:r>
            <w:r>
              <w:rPr>
                <w:rFonts w:ascii="Times New Roman" w:hAnsi="Times New Roman"/>
                <w:color w:val="000000"/>
                <w:sz w:val="20"/>
              </w:rPr>
              <w:t> </w:t>
            </w:r>
            <w:r>
              <w:rPr>
                <w:rFonts w:ascii="Times New Roman" w:hAnsi="Times New Roman"/>
                <w:color w:val="000000"/>
                <w:sz w:val="10"/>
              </w:rPr>
              <w:t>units) (h)(j)</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11/13/2024</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Worldwide Express Operations, LLC</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Transportation services</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(795,000</w:t>
            </w:r>
            <w:r>
              <w:rPr>
                <w:rFonts w:ascii="Times New Roman" w:hAnsi="Times New Roman"/>
                <w:color w:val="000000"/>
                <w:sz w:val="20"/>
              </w:rPr>
              <w:t> </w:t>
            </w:r>
            <w:r>
              <w:rPr>
                <w:rFonts w:ascii="Times New Roman" w:hAnsi="Times New Roman"/>
                <w:color w:val="000000"/>
                <w:sz w:val="10"/>
              </w:rPr>
              <w:t>units) (j)</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7/21/2021</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1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(752,380</w:t>
            </w:r>
            <w:r>
              <w:rPr>
                <w:rFonts w:ascii="Times New Roman" w:hAnsi="Times New Roman"/>
                <w:color w:val="000000"/>
                <w:sz w:val="20"/>
              </w:rPr>
              <w:t> </w:t>
            </w:r>
            <w:r>
              <w:rPr>
                <w:rFonts w:ascii="Times New Roman" w:hAnsi="Times New Roman"/>
                <w:color w:val="000000"/>
                <w:sz w:val="10"/>
              </w:rPr>
              <w:t>units) (h)(j)</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7/26/2021</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0</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0"/>
              </w:rPr>
            </w:pPr>
            <w:r>
              <w:rPr>
                <w:rFonts w:ascii="Times New Roman" w:hAnsi="Times New Roman"/>
                <w:i/>
                <w:color w:val="000000"/>
                <w:sz w:val="10"/>
              </w:rPr>
              <w:t>Zonkd, LLC</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Component Manufacturing</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First Lien Debt (j)</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15.00%/0.00%</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3/18/2022</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1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0"/>
              </w:rPr>
              <w:t>Common Equity (4,987</w:t>
            </w:r>
            <w:r>
              <w:rPr>
                <w:rFonts w:ascii="Times New Roman" w:hAnsi="Times New Roman"/>
                <w:color w:val="000000"/>
                <w:sz w:val="20"/>
              </w:rPr>
              <w:t> </w:t>
            </w:r>
            <w:r>
              <w:rPr>
                <w:rFonts w:ascii="Times New Roman" w:hAnsi="Times New Roman"/>
                <w:color w:val="000000"/>
                <w:sz w:val="10"/>
              </w:rPr>
              <w:t>units) (h)(j)</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3/18/2022</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2,878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Non-control/Non-affiliate Investments</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1,089,409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1,063,342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157</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3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Investments</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1,148,852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1,154,408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170</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1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Money market funds (included in cash and cash equivalents)</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1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Goldman Sachs Financial Square Treasury Obligation Institution CUSIP (38141W323) (ad)</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4.22%/0.00%</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62,616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62,616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w:t>
            </w:r>
          </w:p>
        </w:tc>
        <w:tc>
          <w:tcPr>
            <w:tcW w:w="485"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0"/>
              </w:rPr>
            </w:pPr>
            <w:r>
              <w:rPr>
                <w:rFonts w:ascii="Times New Roman" w:hAnsi="Times New Roman"/>
                <w:color w:val="000000"/>
                <w:sz w:val="10"/>
              </w:rPr>
              <w:t>%</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10"/>
              </w:rPr>
            </w:pPr>
            <w:r>
              <w:rPr>
                <w:rFonts w:ascii="Times New Roman" w:hAnsi="Times New Roman"/>
                <w:b/>
                <w:color w:val="000000"/>
                <w:sz w:val="10"/>
              </w:rPr>
              <w:t>Total money market funds</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62,616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62,616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r>
      <w:tr>
        <w:trPr/>
        <w:tc>
          <w:tcPr>
            <w:tcW w:w="2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Investments and Money Market Funds</w:t>
            </w:r>
          </w:p>
        </w:tc>
        <w:tc>
          <w:tcPr>
            <w:tcW w:w="1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1,211,468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1,217,024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179</w:t>
            </w:r>
          </w:p>
        </w:tc>
        <w:tc>
          <w:tcPr>
            <w:tcW w:w="485"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0"/>
              </w:rPr>
            </w:pPr>
            <w:r>
              <w:rPr>
                <w:rFonts w:ascii="Times New Roman" w:hAnsi="Times New Roman"/>
                <w:color w:val="000000"/>
                <w:sz w:val="10"/>
              </w:rPr>
              <w:t>%</w:t>
            </w:r>
          </w:p>
        </w:tc>
      </w:tr>
      <w:tr>
        <w:trPr/>
        <w:tc>
          <w:tcPr>
            <w:tcW w:w="281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(a) See Note 3 to the consolidated financial statements for portfolio composition by geographic location.</w:t>
      </w:r>
    </w:p>
    <w:p>
      <w:pPr>
        <w:pStyle w:val="TextBody"/>
        <w:bidi w:val="0"/>
        <w:jc w:val="left"/>
        <w:rPr>
          <w:rFonts w:ascii="Times New Roman" w:hAnsi="Times New Roman"/>
          <w:color w:val="000000"/>
          <w:sz w:val="12"/>
        </w:rPr>
      </w:pPr>
      <w:r>
        <w:rPr>
          <w:rFonts w:ascii="Times New Roman" w:hAnsi="Times New Roman"/>
          <w:color w:val="000000"/>
          <w:sz w:val="12"/>
        </w:rPr>
        <w:t>(b) Equity ownership may be held in shares or units of companies related to the portfolio companies. The Company’s investments are generally classified as “restricted securities”, unless otherwise noted, as such term is defined under Regulation S-X Rule 6-03(f) or Securities Act Rule 144. As of March 31, 2025, the Company held restricted securities with an aggregate fair value of $1,154,408, or 170% of the Company's net assets.</w:t>
      </w:r>
    </w:p>
    <w:p>
      <w:pPr>
        <w:pStyle w:val="TextBody"/>
        <w:bidi w:val="0"/>
        <w:jc w:val="left"/>
        <w:rPr>
          <w:rFonts w:ascii="Times New Roman" w:hAnsi="Times New Roman"/>
          <w:color w:val="000000"/>
          <w:sz w:val="12"/>
        </w:rPr>
      </w:pPr>
      <w:r>
        <w:rPr>
          <w:rFonts w:ascii="Times New Roman" w:hAnsi="Times New Roman"/>
          <w:color w:val="000000"/>
          <w:sz w:val="12"/>
        </w:rPr>
        <w:t>(c) All debt investments are income producing, unless otherwise indicated. Equity investments are non-income producing unless otherwise noted.</w:t>
      </w:r>
    </w:p>
    <w:p>
      <w:pPr>
        <w:pStyle w:val="TextBody"/>
        <w:bidi w:val="0"/>
        <w:jc w:val="left"/>
        <w:rPr>
          <w:rFonts w:ascii="Times New Roman" w:hAnsi="Times New Roman"/>
          <w:color w:val="000000"/>
          <w:sz w:val="12"/>
        </w:rPr>
      </w:pPr>
      <w:r>
        <w:rPr>
          <w:rFonts w:ascii="Times New Roman" w:hAnsi="Times New Roman"/>
          <w:color w:val="000000"/>
          <w:sz w:val="12"/>
        </w:rPr>
        <w:t>(d) Variable rate investments bear interest at a rate indexed to Prime (P) or SOFR (S), which are reset monthly, bimonthly, quarterly, or semi-annually. Certain variable rate investments also include a Prime or SOFR interest rate floor. For each investment, the Company has provided the spread over the reference rate and the Prime or SOFR floor, if any, as of March 31, 2025.</w:t>
      </w:r>
    </w:p>
    <w:p>
      <w:pPr>
        <w:pStyle w:val="TextBody"/>
        <w:bidi w:val="0"/>
        <w:jc w:val="left"/>
        <w:rPr>
          <w:rFonts w:ascii="Times New Roman" w:hAnsi="Times New Roman"/>
          <w:color w:val="000000"/>
          <w:sz w:val="12"/>
        </w:rPr>
      </w:pPr>
      <w:r>
        <w:rPr>
          <w:rFonts w:ascii="Times New Roman" w:hAnsi="Times New Roman"/>
          <w:color w:val="000000"/>
          <w:sz w:val="12"/>
        </w:rPr>
        <w:t>(e) Rate includes the cash interest or dividend rate and paid-in-kind interest or dividend rate, if any, as of March 31, 2025. Generally, payment-in-kind interest can be paid-in-kind or all in cash.</w:t>
      </w:r>
    </w:p>
    <w:p>
      <w:pPr>
        <w:pStyle w:val="TextBody"/>
        <w:bidi w:val="0"/>
        <w:jc w:val="left"/>
        <w:rPr>
          <w:rFonts w:ascii="Times New Roman" w:hAnsi="Times New Roman"/>
          <w:color w:val="000000"/>
          <w:sz w:val="12"/>
        </w:rPr>
      </w:pPr>
      <w:r>
        <w:rPr>
          <w:rFonts w:ascii="Times New Roman" w:hAnsi="Times New Roman"/>
          <w:color w:val="000000"/>
          <w:sz w:val="12"/>
        </w:rPr>
        <w:t>(f) Investment date represents the date of the initial investment in the security.</w:t>
      </w:r>
    </w:p>
    <w:p>
      <w:pPr>
        <w:pStyle w:val="TextBody"/>
        <w:bidi w:val="0"/>
        <w:jc w:val="left"/>
        <w:rPr>
          <w:rFonts w:ascii="Times New Roman" w:hAnsi="Times New Roman"/>
          <w:color w:val="000000"/>
          <w:sz w:val="12"/>
        </w:rPr>
      </w:pPr>
      <w:r>
        <w:rPr>
          <w:rFonts w:ascii="Times New Roman" w:hAnsi="Times New Roman"/>
          <w:color w:val="000000"/>
          <w:sz w:val="12"/>
        </w:rPr>
        <w:t>(g) 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pStyle w:val="TextBody"/>
        <w:bidi w:val="0"/>
        <w:jc w:val="left"/>
        <w:rPr>
          <w:rFonts w:ascii="Times New Roman" w:hAnsi="Times New Roman"/>
          <w:color w:val="000000"/>
          <w:sz w:val="12"/>
        </w:rPr>
      </w:pPr>
      <w:r>
        <w:rPr>
          <w:rFonts w:ascii="Times New Roman" w:hAnsi="Times New Roman"/>
          <w:color w:val="000000"/>
          <w:sz w:val="12"/>
        </w:rPr>
        <w:t>(h) Investment is held by a taxable subsidiary of the Company.</w:t>
      </w:r>
    </w:p>
    <w:p>
      <w:pPr>
        <w:pStyle w:val="TextBody"/>
        <w:bidi w:val="0"/>
        <w:jc w:val="left"/>
        <w:rPr>
          <w:rFonts w:ascii="Times New Roman" w:hAnsi="Times New Roman"/>
          <w:color w:val="000000"/>
          <w:sz w:val="12"/>
        </w:rPr>
      </w:pPr>
      <w:r>
        <w:rPr>
          <w:rFonts w:ascii="Times New Roman" w:hAnsi="Times New Roman"/>
          <w:color w:val="000000"/>
          <w:sz w:val="12"/>
        </w:rPr>
        <w:t>(i) The disclosed commitment represents the unfunded amount as of March 31, 2025. The Company is earning 0.50% interest on the unfunded balance of the commitment. The interest rate disclosed represents the rate which will be earned if the commitment is funded.</w:t>
      </w:r>
    </w:p>
    <w:p>
      <w:pPr>
        <w:pStyle w:val="TextBody"/>
        <w:bidi w:val="0"/>
        <w:jc w:val="left"/>
        <w:rPr>
          <w:rFonts w:ascii="Times New Roman" w:hAnsi="Times New Roman"/>
          <w:color w:val="000000"/>
          <w:sz w:val="12"/>
        </w:rPr>
      </w:pPr>
      <w:r>
        <w:rPr>
          <w:rFonts w:ascii="Times New Roman" w:hAnsi="Times New Roman"/>
          <w:color w:val="000000"/>
          <w:sz w:val="12"/>
        </w:rPr>
        <w:t>(j) 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(k) The portion of the investment not held by the SBIC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(l) 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(m) Warrants entitle the Company to purchase a predetermined number of shares or units of common equity, and are non-income producing. The purchase price and number of shares are subject to adjustment under certain conditions until the expiration date, if any.</w:t>
      </w:r>
    </w:p>
    <w:p>
      <w:pPr>
        <w:pStyle w:val="TextBody"/>
        <w:bidi w:val="0"/>
        <w:jc w:val="left"/>
        <w:rPr>
          <w:rFonts w:ascii="Times New Roman" w:hAnsi="Times New Roman"/>
          <w:color w:val="000000"/>
          <w:sz w:val="12"/>
        </w:rPr>
      </w:pPr>
      <w:r>
        <w:rPr>
          <w:rFonts w:ascii="Times New Roman" w:hAnsi="Times New Roman"/>
          <w:color w:val="000000"/>
          <w:sz w:val="12"/>
        </w:rPr>
        <w:t>(n) Investment in portfolio company that has sold its operations and is in the process of winding down.</w:t>
      </w:r>
    </w:p>
    <w:p>
      <w:pPr>
        <w:pStyle w:val="TextBody"/>
        <w:bidi w:val="0"/>
        <w:jc w:val="left"/>
        <w:rPr>
          <w:rFonts w:ascii="Times New Roman" w:hAnsi="Times New Roman"/>
          <w:sz w:val="20"/>
        </w:rPr>
      </w:pPr>
      <w:r>
        <w:rPr>
          <w:rFonts w:ascii="Times New Roman" w:hAnsi="Times New Roman"/>
          <w:color w:val="000000"/>
          <w:sz w:val="12"/>
        </w:rPr>
        <w:t>(o) The Company sold a participating interest of approximately $0.3</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(p) In addition to the interest earned based on the stated interest rate of this security, the Company is entitled to receive an additional interest amount of 3.26%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(q) In addition to the interest earned based on the stated interest rate of this security, the Company is entitled to receive an additional interest amount of 2.38%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(r) In addition to the interest earned based on the stated interest rate of this security, the Company is entitled to receive an additional interest amount of 2.92%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(s) In addition to the interest earned based on the stated interest rate of this security, the Company is entitled to receive an additional interest amount of 1.01%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(t) 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(u) In addition to the interest earned based on the stated interest rate of this security, the Company is entitled to receive an additional interest amount of 2.13%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(v) In addition to the interest earned based on the stated interest rate of this security, the Company is entitled to receive an additional interest amount of 1.21%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(w) The disclosed commitment represents the unfunded amount as of March 31, 2025. The Company is earning 0.75% interest on the unfunded balance of the commitment. The interest rate disclosed represents the rate earned on the outstanding, funded balance of the commitment.</w:t>
      </w:r>
    </w:p>
    <w:p>
      <w:pPr>
        <w:pStyle w:val="TextBody"/>
        <w:bidi w:val="0"/>
        <w:jc w:val="left"/>
        <w:rPr>
          <w:rFonts w:ascii="Times New Roman" w:hAnsi="Times New Roman"/>
          <w:color w:val="000000"/>
          <w:sz w:val="12"/>
        </w:rPr>
      </w:pPr>
      <w:r>
        <w:rPr>
          <w:rFonts w:ascii="Times New Roman" w:hAnsi="Times New Roman"/>
          <w:color w:val="000000"/>
          <w:sz w:val="12"/>
        </w:rPr>
        <w:t>(x) The disclosed commitment represents the unfunded amount as of March 31, 2025. The Company is earning 1.00% interest on the unfunded balance of the commitment. The interest rate disclosed represents the rate earned on the outstanding, funded balance of the commitment.</w:t>
      </w:r>
    </w:p>
    <w:p>
      <w:pPr>
        <w:pStyle w:val="TextBody"/>
        <w:bidi w:val="0"/>
        <w:jc w:val="left"/>
        <w:rPr>
          <w:rFonts w:ascii="Times New Roman" w:hAnsi="Times New Roman"/>
          <w:color w:val="000000"/>
          <w:sz w:val="12"/>
        </w:rPr>
      </w:pPr>
      <w:r>
        <w:rPr>
          <w:rFonts w:ascii="Times New Roman" w:hAnsi="Times New Roman"/>
          <w:color w:val="000000"/>
          <w:sz w:val="12"/>
        </w:rPr>
        <w:t>(y) Investment was on non-accrual status as of March 31, 2025.</w:t>
      </w:r>
    </w:p>
    <w:p>
      <w:pPr>
        <w:pStyle w:val="TextBody"/>
        <w:bidi w:val="0"/>
        <w:jc w:val="left"/>
        <w:rPr>
          <w:rFonts w:ascii="Times New Roman" w:hAnsi="Times New Roman"/>
          <w:color w:val="000000"/>
          <w:sz w:val="12"/>
        </w:rPr>
      </w:pPr>
      <w:r>
        <w:rPr>
          <w:rFonts w:ascii="Times New Roman" w:hAnsi="Times New Roman"/>
          <w:color w:val="000000"/>
          <w:sz w:val="12"/>
        </w:rPr>
        <w:t>(z) In addition to the interest earned based on the stated interest rate of this security, the Company is entitled to receive an additional interest amount of 4.01%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(aa) The Company sold a participating interest of approximately $4.0</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(ab) In addition to the interest earned based on the stated interest rate of this security, the Company is entitled to receive an additional interest amount of 5.25%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(ac)</w:t>
      </w:r>
      <w:r>
        <w:rPr>
          <w:rFonts w:ascii="Times New Roman" w:hAnsi="Times New Roman"/>
          <w:color w:val="000000"/>
          <w:sz w:val="20"/>
        </w:rPr>
        <w:t xml:space="preserve"> </w:t>
      </w:r>
      <w:r>
        <w:rPr>
          <w:rFonts w:ascii="Times New Roman" w:hAnsi="Times New Roman"/>
          <w:color w:val="000000"/>
          <w:sz w:val="12"/>
        </w:rPr>
        <w:t>In addition to the interest earned based on the stated interest rate of this security, the Company is entitled to receive an additional cash interest amount of 2.82% and PIK interest amount of 1.26%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(ad) This investment is classified as a Level 1 investment. For further detail on the fair value measurements, see Note 4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(ae) In addition to the interest earned based on the stated interest rate of this security, the Company is entitled to receive an additional interest amount of 1.49%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(ag) In addition to the interest earned based on the stated interest rate of this security, the Company is entitled to receive an additional interest amount of 3.84%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(ah) In addition to the interest earned based on the stated interest rate of this security, the Company is entitled to receive an additional interest amount of 1.63%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(ai) In addition to the interest earned based on the stated interest rate of this security, the Company is entitled to receive an additional interest amount of 3.23%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(ak) In addition to the interest earned based on the stated interest rate of this security, the Company is entitled to receive an additional interest amount of 3.47%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(al) In addition to the interest earned based on the stated interest rate of this security, the Company is entitled to receive an additional interest amount of 4.04%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(am) In addition to the interest earned based on the stated interest rate of this security, the Company is entitled to receive an additional interest amount of 3.00%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0" w:after="180"/>
        <w:jc w:val="center"/>
        <w:rPr/>
      </w:pPr>
      <w:r>
        <w:rPr/>
        <w:t> </w:t>
      </w:r>
    </w:p>
    <w:p>
      <w:pPr>
        <w:pStyle w:val="TextBody"/>
        <w:bidi w:val="0"/>
        <w:jc w:val="left"/>
        <w:rPr>
          <w:rFonts w:ascii="Times New Roman" w:hAnsi="Times New Roman"/>
          <w:sz w:val="20"/>
        </w:rPr>
      </w:pPr>
      <w:r>
        <w:rPr>
          <w:rFonts w:ascii="Times New Roman" w:hAnsi="Times New Roman"/>
          <w:color w:val="000000"/>
          <w:sz w:val="12"/>
        </w:rPr>
        <w:t>(an) The Company sold a participating interest of approximately $13.5</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March 31, 2025, total non-qualifying assets at fair value represented 1.01% of the Company's total assets calculated in accordance with the 1940 Act.</w:t>
      </w:r>
    </w:p>
    <w:p>
      <w:pPr>
        <w:pStyle w:val="TextBody"/>
        <w:bidi w:val="0"/>
        <w:jc w:val="left"/>
        <w:rPr>
          <w:rFonts w:ascii="Times New Roman" w:hAnsi="Times New Roman"/>
          <w:color w:val="000000"/>
          <w:sz w:val="12"/>
        </w:rPr>
      </w:pPr>
      <w:r>
        <w:rPr>
          <w:rFonts w:ascii="Times New Roman" w:hAnsi="Times New Roman"/>
          <w:color w:val="000000"/>
          <w:sz w:val="12"/>
        </w:rPr>
        <w:t>(ap) In addition to the interest earned based on the stated interest rate of this security, the Company is entitled to receive an additional cash interest amount of 0.00%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(aq) The headquarters of this portfolio company is located in Canada.</w:t>
      </w:r>
    </w:p>
    <w:p>
      <w:pPr>
        <w:pStyle w:val="TextBody"/>
        <w:bidi w:val="0"/>
        <w:jc w:val="left"/>
        <w:rPr>
          <w:rFonts w:ascii="Times New Roman" w:hAnsi="Times New Roman"/>
          <w:color w:val="000000"/>
          <w:sz w:val="12"/>
        </w:rPr>
      </w:pPr>
      <w:r>
        <w:rPr>
          <w:rFonts w:ascii="Times New Roman" w:hAnsi="Times New Roman"/>
          <w:color w:val="000000"/>
          <w:sz w:val="12"/>
        </w:rPr>
        <w:t>(ar) In addition to the interest earned based on the stated interest rate of this security, the Company is entitled to receive an additional interest amount of 2.62%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(as) In addition to the interest earned based on the stated interest rate of this security, the Company is entitled to receive an additional interest amount of 3.01%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(at) In addition to the interest earned based on the stated interest rate of this security, the Company is entitled to receive an additional interest amount of 2.51%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(au) In addition to the interest earned based on the stated interest rate of this security, the Company is entitled to receive an additional interest amount of 4.22%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(av) In addition to the interest earned based on the stated interest rate of this security, the Company is entitled to receive an additional interest amount of 0.66%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(aw) In addition to the interest earned based on the stated interest rate of this security, the Company is entitled to receive an additional interest amount of 2.50%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(ax) In addition to the interest earned based on the stated interest rate of this security, the Company is entitled to receive an additional interest amount of 1.06%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(ay) In addition to the interest earned based on the stated interest rate of this security, the Company is entitled to receive an additional interest amount of 2.17%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(az) In addition to the interest earned based on the stated interest rate of this security, the Company is entitled to receive an additional interest amount of 2.39%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(bb) In addition to the interest earned based on the stated interest rate of this security, the Company is entitled to receive an additional interest amount of 0.48%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(bc)</w:t>
      </w:r>
      <w:r>
        <w:rPr>
          <w:rFonts w:ascii="Times New Roman" w:hAnsi="Times New Roman"/>
          <w:color w:val="000000"/>
          <w:sz w:val="20"/>
        </w:rPr>
        <w:t xml:space="preserve"> </w:t>
      </w:r>
      <w:r>
        <w:rPr>
          <w:rFonts w:ascii="Times New Roman" w:hAnsi="Times New Roman"/>
          <w:color w:val="000000"/>
          <w:sz w:val="12"/>
        </w:rPr>
        <w:t>In addition to the interest earned based on the stated interest rate of this security, the Company is entitled to receive an additional cash interest amount of 2.47% and PIK interest amount of 0.75%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(bd) In addition to the interest earned based on the stated interest rate of this security, the Company is entitled to receive an additional interest amount of 3.00%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(be) In addition to the interest earned based on the stated interest rate of this security, the Company is entitled to receive an additional interest amount of 3.00%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(bf) In addition to the interest earned based on the stated interest rate of this security, the Company is entitled to receive an additional interest amount of 2.53%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(bg) The disclosed commitment represents the unfunded amount as of March 31, 2025. The Company is earning 0.60% interest on the unfunded balance of the commitment. The interest rate disclosed represents the rate which will be earned if the commitment is funded.</w:t>
      </w:r>
    </w:p>
    <w:p>
      <w:pPr>
        <w:pStyle w:val="TextBody"/>
        <w:bidi w:val="0"/>
        <w:jc w:val="center"/>
        <w:rPr>
          <w:rFonts w:ascii="Times New Roman" w:hAnsi="Times New Roman"/>
          <w:i/>
          <w:color w:val="000000"/>
          <w:sz w:val="12"/>
        </w:rPr>
      </w:pPr>
      <w:r>
        <w:rPr>
          <w:rFonts w:ascii="Times New Roman" w:hAnsi="Times New Roman"/>
          <w:i/>
          <w:color w:val="000000"/>
          <w:sz w:val="12"/>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Consolidated Schedule of Investments</w:t>
      </w:r>
    </w:p>
    <w:p>
      <w:pPr>
        <w:pStyle w:val="TextBody"/>
        <w:bidi w:val="0"/>
        <w:jc w:val="center"/>
        <w:rPr>
          <w:rFonts w:ascii="Times New Roman" w:hAnsi="Times New Roman"/>
          <w:b/>
          <w:color w:val="000000"/>
          <w:sz w:val="20"/>
        </w:rPr>
      </w:pPr>
      <w:r>
        <w:rPr>
          <w:rFonts w:ascii="Times New Roman" w:hAnsi="Times New Roman"/>
          <w:b/>
          <w:color w:val="000000"/>
          <w:sz w:val="20"/>
        </w:rPr>
        <w:t>December 31, 2024</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w:t>
      </w:r>
    </w:p>
    <w:tbl>
      <w:tblPr>
        <w:tblW w:w="10205" w:type="dxa"/>
        <w:jc w:val="left"/>
        <w:tblInd w:w="0" w:type="dxa"/>
        <w:tblLayout w:type="fixed"/>
        <w:tblCellMar>
          <w:top w:w="28" w:type="dxa"/>
          <w:left w:w="28" w:type="dxa"/>
          <w:bottom w:w="28" w:type="dxa"/>
          <w:right w:w="28" w:type="dxa"/>
        </w:tblCellMar>
      </w:tblPr>
      <w:tblGrid>
        <w:gridCol w:w="2302"/>
        <w:gridCol w:w="1434"/>
        <w:gridCol w:w="957"/>
        <w:gridCol w:w="660"/>
        <w:gridCol w:w="691"/>
        <w:gridCol w:w="617"/>
        <w:gridCol w:w="166"/>
        <w:gridCol w:w="436"/>
        <w:gridCol w:w="146"/>
        <w:gridCol w:w="146"/>
        <w:gridCol w:w="166"/>
        <w:gridCol w:w="436"/>
        <w:gridCol w:w="146"/>
        <w:gridCol w:w="146"/>
        <w:gridCol w:w="166"/>
        <w:gridCol w:w="496"/>
        <w:gridCol w:w="146"/>
        <w:gridCol w:w="233"/>
        <w:gridCol w:w="362"/>
        <w:gridCol w:w="353"/>
      </w:tblGrid>
      <w:tr>
        <w:trPr/>
        <w:tc>
          <w:tcPr>
            <w:tcW w:w="2302"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Portfolio Company (a)(b)</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Variable Index</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Rate (e)</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Percent of</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Type (c)</w:t>
            </w:r>
          </w:p>
        </w:tc>
        <w:tc>
          <w:tcPr>
            <w:tcW w:w="1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Industry</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Spread / Floor (d)</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Cash/PIK</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Date (f)</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Maturity</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Value (g)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 Assets</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u w:val="single"/>
              </w:rPr>
            </w:pPr>
            <w:r>
              <w:rPr>
                <w:rFonts w:ascii="Times New Roman" w:hAnsi="Times New Roman"/>
                <w:b/>
                <w:color w:val="000000"/>
                <w:sz w:val="12"/>
                <w:u w:val="single"/>
              </w:rPr>
              <w:t>Control Investments (t)</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US GreenFiber, LLC (n)</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Building Products Manufacturing</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(j)(y)</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7/3/2014</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8/30/2024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(2,522</w:t>
            </w:r>
            <w:r>
              <w:rPr>
                <w:rFonts w:ascii="Times New Roman" w:hAnsi="Times New Roman"/>
                <w:color w:val="000000"/>
                <w:sz w:val="20"/>
              </w:rPr>
              <w:t> </w:t>
            </w:r>
            <w:r>
              <w:rPr>
                <w:rFonts w:ascii="Times New Roman" w:hAnsi="Times New Roman"/>
                <w:color w:val="000000"/>
                <w:sz w:val="12"/>
              </w:rPr>
              <w:t>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7/3/2014</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(425,508</w:t>
            </w:r>
            <w:r>
              <w:rPr>
                <w:rFonts w:ascii="Times New Roman" w:hAnsi="Times New Roman"/>
                <w:color w:val="000000"/>
                <w:sz w:val="20"/>
              </w:rPr>
              <w:t> </w:t>
            </w:r>
            <w:r>
              <w:rPr>
                <w:rFonts w:ascii="Times New Roman" w:hAnsi="Times New Roman"/>
                <w:color w:val="000000"/>
                <w:sz w:val="12"/>
              </w:rPr>
              <w:t>units)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8/30/2019</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(1,022,813</w:t>
            </w:r>
            <w:r>
              <w:rPr>
                <w:rFonts w:ascii="Times New Roman" w:hAnsi="Times New Roman"/>
                <w:color w:val="000000"/>
                <w:sz w:val="20"/>
              </w:rPr>
              <w:t> </w:t>
            </w:r>
            <w:r>
              <w:rPr>
                <w:rFonts w:ascii="Times New Roman" w:hAnsi="Times New Roman"/>
                <w:color w:val="000000"/>
                <w:sz w:val="12"/>
              </w:rPr>
              <w:t>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7/1/2020</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Control Investments</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u w:val="single"/>
              </w:rPr>
            </w:pPr>
            <w:r>
              <w:rPr>
                <w:rFonts w:ascii="Times New Roman" w:hAnsi="Times New Roman"/>
                <w:b/>
                <w:color w:val="000000"/>
                <w:sz w:val="12"/>
                <w:u w:val="single"/>
              </w:rPr>
              <w:t>Affiliate Investments (l)</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Applegate Greenfiber Intermediate Inc. (fka US GreenFiber, LLC)</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Building Products Manufacturing</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11.00%/0.00%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(5,690</w:t>
            </w:r>
            <w:r>
              <w:rPr>
                <w:rFonts w:ascii="Times New Roman" w:hAnsi="Times New Roman"/>
                <w:color w:val="000000"/>
                <w:sz w:val="20"/>
              </w:rPr>
              <w:t> </w:t>
            </w:r>
            <w:r>
              <w:rPr>
                <w:rFonts w:ascii="Times New Roman" w:hAnsi="Times New Roman"/>
                <w:color w:val="000000"/>
                <w:sz w:val="12"/>
              </w:rPr>
              <w:t>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(7,113</w:t>
            </w:r>
            <w:r>
              <w:rPr>
                <w:rFonts w:ascii="Times New Roman" w:hAnsi="Times New Roman"/>
                <w:color w:val="000000"/>
                <w:sz w:val="20"/>
              </w:rPr>
              <w:t>  </w:t>
            </w:r>
            <w:r>
              <w:rPr>
                <w:rFonts w:ascii="Times New Roman" w:hAnsi="Times New Roman"/>
                <w:color w:val="000000"/>
                <w:sz w:val="12"/>
              </w:rPr>
              <w:t>units) (h)(j)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(2,012</w:t>
            </w:r>
            <w:r>
              <w:rPr>
                <w:rFonts w:ascii="Times New Roman" w:hAnsi="Times New Roman"/>
                <w:color w:val="000000"/>
                <w:sz w:val="20"/>
              </w:rPr>
              <w:t> </w:t>
            </w:r>
            <w:r>
              <w:rPr>
                <w:rFonts w:ascii="Times New Roman" w:hAnsi="Times New Roman"/>
                <w:color w:val="000000"/>
                <w:sz w:val="12"/>
              </w:rPr>
              <w:t>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CP Communications, LLC</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(am)</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+ 8.50%) / (4.00%)</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12.96%/0.00%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12/4/2024</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12/4/2029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Holdco Note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8.00%/8.00%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12/4/2024</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6/4/2030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(62</w:t>
            </w:r>
            <w:r>
              <w:rPr>
                <w:rFonts w:ascii="Times New Roman" w:hAnsi="Times New Roman"/>
                <w:color w:val="000000"/>
                <w:sz w:val="20"/>
              </w:rPr>
              <w:t> </w:t>
            </w:r>
            <w:r>
              <w:rPr>
                <w:rFonts w:ascii="Times New Roman" w:hAnsi="Times New Roman"/>
                <w:color w:val="000000"/>
                <w:sz w:val="12"/>
              </w:rPr>
              <w:t>units)</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12/4/2024</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Medsurant Holdings, LLC</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(84,997</w:t>
            </w:r>
            <w:r>
              <w:rPr>
                <w:rFonts w:ascii="Times New Roman" w:hAnsi="Times New Roman"/>
                <w:color w:val="000000"/>
                <w:sz w:val="20"/>
              </w:rPr>
              <w:t> </w:t>
            </w:r>
            <w:r>
              <w:rPr>
                <w:rFonts w:ascii="Times New Roman" w:hAnsi="Times New Roman"/>
                <w:color w:val="000000"/>
                <w:sz w:val="12"/>
              </w:rPr>
              <w:t>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4/12/2011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Warrant (252,588</w:t>
            </w:r>
            <w:r>
              <w:rPr>
                <w:rFonts w:ascii="Times New Roman" w:hAnsi="Times New Roman"/>
                <w:color w:val="000000"/>
                <w:sz w:val="20"/>
              </w:rPr>
              <w:t> </w:t>
            </w:r>
            <w:r>
              <w:rPr>
                <w:rFonts w:ascii="Times New Roman" w:hAnsi="Times New Roman"/>
                <w:color w:val="000000"/>
                <w:sz w:val="12"/>
              </w:rPr>
              <w:t>units) (h)(j)(m)</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4/12/2011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Pfanstiehl, Inc.</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Products</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(2,550</w:t>
            </w:r>
            <w:r>
              <w:rPr>
                <w:rFonts w:ascii="Times New Roman" w:hAnsi="Times New Roman"/>
                <w:color w:val="000000"/>
                <w:sz w:val="20"/>
              </w:rPr>
              <w:t> </w:t>
            </w:r>
            <w:r>
              <w:rPr>
                <w:rFonts w:ascii="Times New Roman" w:hAnsi="Times New Roman"/>
                <w:color w:val="000000"/>
                <w:sz w:val="12"/>
              </w:rPr>
              <w:t>units)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3/29/2013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Spectra A&amp;D Acquisition, Inc. (fka FDS Avionics Corp.)</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 Manufacturing</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(j)(ag)</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+ 6.00%) / (1.00%)</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10.57%/0.00%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2/12/2021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2/11/2026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(12,035</w:t>
            </w:r>
            <w:r>
              <w:rPr>
                <w:rFonts w:ascii="Times New Roman" w:hAnsi="Times New Roman"/>
                <w:color w:val="000000"/>
                <w:sz w:val="20"/>
              </w:rPr>
              <w:t> </w:t>
            </w:r>
            <w:r>
              <w:rPr>
                <w:rFonts w:ascii="Times New Roman" w:hAnsi="Times New Roman"/>
                <w:color w:val="000000"/>
                <w:sz w:val="12"/>
              </w:rPr>
              <w:t>units)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8/25/2021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(38,493</w:t>
            </w:r>
            <w:r>
              <w:rPr>
                <w:rFonts w:ascii="Times New Roman" w:hAnsi="Times New Roman"/>
                <w:color w:val="000000"/>
                <w:sz w:val="20"/>
              </w:rPr>
              <w:t> </w:t>
            </w:r>
            <w:r>
              <w:rPr>
                <w:rFonts w:ascii="Times New Roman" w:hAnsi="Times New Roman"/>
                <w:color w:val="000000"/>
                <w:sz w:val="12"/>
              </w:rPr>
              <w:t>units)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12/16/2022</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(6,783</w:t>
            </w:r>
            <w:r>
              <w:rPr>
                <w:rFonts w:ascii="Times New Roman" w:hAnsi="Times New Roman"/>
                <w:color w:val="000000"/>
                <w:sz w:val="20"/>
              </w:rPr>
              <w:t> </w:t>
            </w:r>
            <w:r>
              <w:rPr>
                <w:rFonts w:ascii="Times New Roman" w:hAnsi="Times New Roman"/>
                <w:color w:val="000000"/>
                <w:sz w:val="12"/>
              </w:rPr>
              <w:t>units)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7/10/2023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(4,663</w:t>
            </w:r>
            <w:r>
              <w:rPr>
                <w:rFonts w:ascii="Times New Roman" w:hAnsi="Times New Roman"/>
                <w:color w:val="000000"/>
                <w:sz w:val="20"/>
              </w:rPr>
              <w:t> </w:t>
            </w:r>
            <w:r>
              <w:rPr>
                <w:rFonts w:ascii="Times New Roman" w:hAnsi="Times New Roman"/>
                <w:color w:val="000000"/>
                <w:sz w:val="12"/>
              </w:rPr>
              <w:t>units)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9/16/2022</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(21,689</w:t>
            </w:r>
            <w:r>
              <w:rPr>
                <w:rFonts w:ascii="Times New Roman" w:hAnsi="Times New Roman"/>
                <w:color w:val="000000"/>
                <w:sz w:val="20"/>
              </w:rPr>
              <w:t> </w:t>
            </w:r>
            <w:r>
              <w:rPr>
                <w:rFonts w:ascii="Times New Roman" w:hAnsi="Times New Roman"/>
                <w:color w:val="000000"/>
                <w:sz w:val="12"/>
              </w:rPr>
              <w:t>units)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5/22/2024</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Steward Holding LLC (dba Steward Advanced Materials)</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Aerospace &amp; Defense Manufacturing</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(1,000,000</w:t>
            </w:r>
            <w:r>
              <w:rPr>
                <w:rFonts w:ascii="Times New Roman" w:hAnsi="Times New Roman"/>
                <w:color w:val="000000"/>
                <w:sz w:val="20"/>
              </w:rPr>
              <w:t> </w:t>
            </w:r>
            <w:r>
              <w:rPr>
                <w:rFonts w:ascii="Times New Roman" w:hAnsi="Times New Roman"/>
                <w:color w:val="000000"/>
                <w:sz w:val="12"/>
              </w:rPr>
              <w:t>units)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11/12/2015</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Affiliate Investments</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56,679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u w:val="single"/>
              </w:rPr>
            </w:pPr>
            <w:r>
              <w:rPr>
                <w:rFonts w:ascii="Times New Roman" w:hAnsi="Times New Roman"/>
                <w:b/>
                <w:color w:val="000000"/>
                <w:sz w:val="12"/>
                <w:u w:val="single"/>
              </w:rPr>
              <w:t>Non-control/Non-affiliate Investments</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2KDirect, Inc. (dba iPromote)</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(k)(at)</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+ 8.00%) / (0.50%)</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12.74%/0.00%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6/25/2021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6/25/2026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(j)(aa)</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+ 8.00%) / (0.50%)</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8.99%/0.00%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7/30/2021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6/25/2026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(1,000,000</w:t>
            </w:r>
            <w:r>
              <w:rPr>
                <w:rFonts w:ascii="Times New Roman" w:hAnsi="Times New Roman"/>
                <w:color w:val="000000"/>
                <w:sz w:val="20"/>
              </w:rPr>
              <w:t> </w:t>
            </w:r>
            <w:r>
              <w:rPr>
                <w:rFonts w:ascii="Times New Roman" w:hAnsi="Times New Roman"/>
                <w:color w:val="000000"/>
                <w:sz w:val="12"/>
              </w:rPr>
              <w:t>units)</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6/25/2021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301 Edison Holdings Inc. (dba LGG Industrial)</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11.75%/1.50%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11/14/2023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11/13/2028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(518,135</w:t>
            </w:r>
            <w:r>
              <w:rPr>
                <w:rFonts w:ascii="Times New Roman" w:hAnsi="Times New Roman"/>
                <w:color w:val="000000"/>
                <w:sz w:val="20"/>
              </w:rPr>
              <w:t> </w:t>
            </w:r>
            <w:r>
              <w:rPr>
                <w:rFonts w:ascii="Times New Roman" w:hAnsi="Times New Roman"/>
                <w:color w:val="000000"/>
                <w:sz w:val="12"/>
              </w:rPr>
              <w:t>units)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11/14/2023</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Acendre Midco, Inc.</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+ 7.75%) / (0.50%)</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12.60%/0.00%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(0.50%)</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12.60%/0.00%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Revolving Loan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(0.50%)</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12.60%/0.00%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(500,000</w:t>
            </w:r>
            <w:r>
              <w:rPr>
                <w:rFonts w:ascii="Times New Roman" w:hAnsi="Times New Roman"/>
                <w:color w:val="000000"/>
                <w:sz w:val="20"/>
              </w:rPr>
              <w:t> </w:t>
            </w:r>
            <w:r>
              <w:rPr>
                <w:rFonts w:ascii="Times New Roman" w:hAnsi="Times New Roman"/>
                <w:color w:val="000000"/>
                <w:sz w:val="12"/>
              </w:rPr>
              <w:t>shares)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Warrant (150,000</w:t>
            </w:r>
            <w:r>
              <w:rPr>
                <w:rFonts w:ascii="Times New Roman" w:hAnsi="Times New Roman"/>
                <w:color w:val="000000"/>
                <w:sz w:val="20"/>
              </w:rPr>
              <w:t> </w:t>
            </w:r>
            <w:r>
              <w:rPr>
                <w:rFonts w:ascii="Times New Roman" w:hAnsi="Times New Roman"/>
                <w:color w:val="000000"/>
                <w:sz w:val="12"/>
              </w:rPr>
              <w:t>shares) (j)(m)</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10/6/2021</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(77,016</w:t>
            </w:r>
            <w:r>
              <w:rPr>
                <w:rFonts w:ascii="Times New Roman" w:hAnsi="Times New Roman"/>
                <w:color w:val="000000"/>
                <w:sz w:val="20"/>
              </w:rPr>
              <w:t> </w:t>
            </w:r>
            <w:r>
              <w:rPr>
                <w:rFonts w:ascii="Times New Roman" w:hAnsi="Times New Roman"/>
                <w:color w:val="000000"/>
                <w:sz w:val="12"/>
              </w:rPr>
              <w:t>shares)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9/26/2022</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Ad Info Parent, Inc. (dba MediaRadar)</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(1.00%)</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10.75%/0.00%</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11/1/2023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9/16/2029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($865</w:t>
            </w:r>
            <w:r>
              <w:rPr>
                <w:rFonts w:ascii="Times New Roman" w:hAnsi="Times New Roman"/>
                <w:color w:val="000000"/>
                <w:sz w:val="20"/>
              </w:rPr>
              <w:t> </w:t>
            </w:r>
            <w:r>
              <w:rPr>
                <w:rFonts w:ascii="Times New Roman" w:hAnsi="Times New Roman"/>
                <w:color w:val="000000"/>
                <w:sz w:val="12"/>
              </w:rPr>
              <w:t>unfunded commitment) (i)(j)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(1.00%)</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10.75%/0.00%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11/1/2023</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9/16/2029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(1,250,000</w:t>
            </w:r>
            <w:r>
              <w:rPr>
                <w:rFonts w:ascii="Times New Roman" w:hAnsi="Times New Roman"/>
                <w:color w:val="000000"/>
                <w:sz w:val="20"/>
              </w:rPr>
              <w:t> </w:t>
            </w:r>
            <w:r>
              <w:rPr>
                <w:rFonts w:ascii="Times New Roman" w:hAnsi="Times New Roman"/>
                <w:color w:val="000000"/>
                <w:sz w:val="12"/>
              </w:rPr>
              <w:t>units) (j)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11/1/2023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Aldinger Company</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(12,504</w:t>
            </w:r>
            <w:r>
              <w:rPr>
                <w:rFonts w:ascii="Times New Roman" w:hAnsi="Times New Roman"/>
                <w:color w:val="000000"/>
                <w:sz w:val="20"/>
              </w:rPr>
              <w:t> </w:t>
            </w:r>
            <w:r>
              <w:rPr>
                <w:rFonts w:ascii="Times New Roman" w:hAnsi="Times New Roman"/>
                <w:color w:val="000000"/>
                <w:sz w:val="12"/>
              </w:rPr>
              <w:t>units)</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6/30/2023</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(12,861</w:t>
            </w:r>
            <w:r>
              <w:rPr>
                <w:rFonts w:ascii="Times New Roman" w:hAnsi="Times New Roman"/>
                <w:color w:val="000000"/>
                <w:sz w:val="20"/>
              </w:rPr>
              <w:t> </w:t>
            </w:r>
            <w:r>
              <w:rPr>
                <w:rFonts w:ascii="Times New Roman" w:hAnsi="Times New Roman"/>
                <w:color w:val="000000"/>
                <w:sz w:val="12"/>
              </w:rPr>
              <w:t>units)</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Allredi, LLC (fka Marco Group International OpCo, LLC)</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 Cleaning &amp; Coatings</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0.00%/17.00%</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3/2/2020</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9/2/2026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(570,636</w:t>
            </w:r>
            <w:r>
              <w:rPr>
                <w:rFonts w:ascii="Times New Roman" w:hAnsi="Times New Roman"/>
                <w:color w:val="000000"/>
                <w:sz w:val="20"/>
              </w:rPr>
              <w:t> </w:t>
            </w:r>
            <w:r>
              <w:rPr>
                <w:rFonts w:ascii="Times New Roman" w:hAnsi="Times New Roman"/>
                <w:color w:val="000000"/>
                <w:sz w:val="12"/>
              </w:rPr>
              <w:t>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7/21/2017</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(39,443</w:t>
            </w:r>
            <w:r>
              <w:rPr>
                <w:rFonts w:ascii="Times New Roman" w:hAnsi="Times New Roman"/>
                <w:color w:val="000000"/>
                <w:sz w:val="20"/>
              </w:rPr>
              <w:t> </w:t>
            </w:r>
            <w:r>
              <w:rPr>
                <w:rFonts w:ascii="Times New Roman" w:hAnsi="Times New Roman"/>
                <w:color w:val="000000"/>
                <w:sz w:val="12"/>
              </w:rPr>
              <w:t>units) (h)(j)</w:t>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11/24/2021</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30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Common Equity (524,624units) (h)(j)</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8/3/2023</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2"/>
        <w:gridCol w:w="1427"/>
        <w:gridCol w:w="1022"/>
        <w:gridCol w:w="702"/>
        <w:gridCol w:w="538"/>
        <w:gridCol w:w="538"/>
        <w:gridCol w:w="146"/>
        <w:gridCol w:w="436"/>
        <w:gridCol w:w="146"/>
        <w:gridCol w:w="146"/>
        <w:gridCol w:w="146"/>
        <w:gridCol w:w="436"/>
        <w:gridCol w:w="151"/>
        <w:gridCol w:w="146"/>
        <w:gridCol w:w="146"/>
        <w:gridCol w:w="436"/>
        <w:gridCol w:w="146"/>
        <w:gridCol w:w="146"/>
        <w:gridCol w:w="166"/>
        <w:gridCol w:w="353"/>
      </w:tblGrid>
      <w:tr>
        <w:trPr/>
        <w:tc>
          <w:tcPr>
            <w:tcW w:w="2832"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American AllWaste LLC (dba WasteWater Transport Services)</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Environmental Industries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(j)(p)</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+ 6.75%) / (1.00%)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11.32%/0.00%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6/28/2021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(j)(o)</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+ 6.75%) / (1.00%)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8.82%/0.00%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6/28/2021</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15.25%/0.00%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3/28/2024</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(500</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5/31/2018</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(207</w:t>
            </w:r>
            <w:r>
              <w:rPr>
                <w:rFonts w:ascii="Times New Roman" w:hAnsi="Times New Roman"/>
                <w:color w:val="000000"/>
                <w:sz w:val="20"/>
              </w:rPr>
              <w:t> </w:t>
            </w:r>
            <w:r>
              <w:rPr>
                <w:rFonts w:ascii="Times New Roman" w:hAnsi="Times New Roman"/>
                <w:color w:val="000000"/>
                <w:sz w:val="12"/>
              </w:rPr>
              <w:t>units) (h)(j)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8/6/2019</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(141</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11/2/2020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(74</w:t>
            </w:r>
            <w:r>
              <w:rPr>
                <w:rFonts w:ascii="Times New Roman" w:hAnsi="Times New Roman"/>
                <w:color w:val="000000"/>
                <w:sz w:val="20"/>
              </w:rPr>
              <w:t> </w:t>
            </w:r>
            <w:r>
              <w:rPr>
                <w:rFonts w:ascii="Times New Roman" w:hAnsi="Times New Roman"/>
                <w:color w:val="000000"/>
                <w:sz w:val="12"/>
              </w:rPr>
              <w:t>units) (h)(j)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12/29/2021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(52</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11/27/2024</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(312</w:t>
            </w:r>
            <w:r>
              <w:rPr>
                <w:rFonts w:ascii="Times New Roman" w:hAnsi="Times New Roman"/>
                <w:color w:val="000000"/>
                <w:sz w:val="20"/>
              </w:rPr>
              <w:t> </w:t>
            </w:r>
            <w:r>
              <w:rPr>
                <w:rFonts w:ascii="Times New Roman" w:hAnsi="Times New Roman"/>
                <w:color w:val="000000"/>
                <w:sz w:val="12"/>
              </w:rPr>
              <w:t>units) (h)(j)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12/30/2024</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(1,405</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12/30/2024</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29,756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AmeriWater, LLC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(af)</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+ 6.25%) / (1.00%)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10.58%/0.00%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7/8/2022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7/8/2027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7.00%/7.00%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7/8/2022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(1,000</w:t>
            </w:r>
            <w:r>
              <w:rPr>
                <w:rFonts w:ascii="Times New Roman" w:hAnsi="Times New Roman"/>
                <w:color w:val="000000"/>
                <w:sz w:val="20"/>
              </w:rPr>
              <w:t> </w:t>
            </w:r>
            <w:r>
              <w:rPr>
                <w:rFonts w:ascii="Times New Roman" w:hAnsi="Times New Roman"/>
                <w:color w:val="000000"/>
                <w:sz w:val="12"/>
              </w:rPr>
              <w:t>units) (h)(j)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7/8/2022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AOM Intermediate Holdco, LLC (dba AllOver Media)</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(1,232</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APM Intermediate Holdings, LLC (dba Artistic Paver Manufacturing, Inc.)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Building Products Manufacturing</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(ai)</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+ 7.25%) / (2.00%)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11.84%/0.00%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(1,200</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11/8/2022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Auto CRM LLC (dba Dealer Holdings)</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0.00%/14.50%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10/1/2021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0.00%/14.50%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12/30/2024</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(500</w:t>
            </w:r>
            <w:r>
              <w:rPr>
                <w:rFonts w:ascii="Times New Roman" w:hAnsi="Times New Roman"/>
                <w:color w:val="000000"/>
                <w:sz w:val="20"/>
              </w:rPr>
              <w:t> </w:t>
            </w:r>
            <w:r>
              <w:rPr>
                <w:rFonts w:ascii="Times New Roman" w:hAnsi="Times New Roman"/>
                <w:color w:val="000000"/>
                <w:sz w:val="12"/>
              </w:rPr>
              <w:t>units) (j)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10/1/2021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Axis Medical Technologies LLC (dba MoveMedical)</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+ 6.50%) / (2.00%)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11.13%/0.00%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10/24/2024</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($800</w:t>
            </w:r>
            <w:r>
              <w:rPr>
                <w:rFonts w:ascii="Times New Roman" w:hAnsi="Times New Roman"/>
                <w:color w:val="000000"/>
                <w:sz w:val="20"/>
              </w:rPr>
              <w:t> </w:t>
            </w:r>
            <w:r>
              <w:rPr>
                <w:rFonts w:ascii="Times New Roman" w:hAnsi="Times New Roman"/>
                <w:color w:val="000000"/>
                <w:sz w:val="12"/>
              </w:rPr>
              <w:t>unfunded commitment) (j)(x)</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+ 6.50%) / (2.00%)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10/24/2024</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(1,200,000</w:t>
            </w:r>
            <w:r>
              <w:rPr>
                <w:rFonts w:ascii="Times New Roman" w:hAnsi="Times New Roman"/>
                <w:color w:val="000000"/>
                <w:sz w:val="20"/>
              </w:rPr>
              <w:t> </w:t>
            </w:r>
            <w:r>
              <w:rPr>
                <w:rFonts w:ascii="Times New Roman" w:hAnsi="Times New Roman"/>
                <w:color w:val="000000"/>
                <w:sz w:val="12"/>
              </w:rPr>
              <w:t>units)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10/25/2024</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Bad Boy Mowers JV Acquisition, LLC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Products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(k)</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9.00%/4.50%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11/9/2023</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11/9/2030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(13,000</w:t>
            </w:r>
            <w:r>
              <w:rPr>
                <w:rFonts w:ascii="Times New Roman" w:hAnsi="Times New Roman"/>
                <w:color w:val="000000"/>
                <w:sz w:val="20"/>
              </w:rPr>
              <w:t> </w:t>
            </w:r>
            <w:r>
              <w:rPr>
                <w:rFonts w:ascii="Times New Roman" w:hAnsi="Times New Roman"/>
                <w:color w:val="000000"/>
                <w:sz w:val="12"/>
              </w:rPr>
              <w:t>units)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11/9/2023</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Barefoot Mosquito and Pest Control, LLC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Services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(k)(s)</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+ 6.50%) / (2.00%)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11.02%/0.00%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11/27/2024</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(4,422</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12/22/2023</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(16,693</w:t>
            </w:r>
            <w:r>
              <w:rPr>
                <w:rFonts w:ascii="Times New Roman" w:hAnsi="Times New Roman"/>
                <w:color w:val="000000"/>
                <w:sz w:val="20"/>
              </w:rPr>
              <w:t> </w:t>
            </w:r>
            <w:r>
              <w:rPr>
                <w:rFonts w:ascii="Times New Roman" w:hAnsi="Times New Roman"/>
                <w:color w:val="000000"/>
                <w:sz w:val="12"/>
              </w:rPr>
              <w:t>units) (h)(j)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12/22/2023</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BCM One Group Holdings, Inc.</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11.75%/0.00%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11/17/2021</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Bedford Precision Parts LLC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(500,000</w:t>
            </w:r>
            <w:r>
              <w:rPr>
                <w:rFonts w:ascii="Times New Roman" w:hAnsi="Times New Roman"/>
                <w:color w:val="000000"/>
                <w:sz w:val="20"/>
              </w:rPr>
              <w:t> </w:t>
            </w:r>
            <w:r>
              <w:rPr>
                <w:rFonts w:ascii="Times New Roman" w:hAnsi="Times New Roman"/>
                <w:color w:val="000000"/>
                <w:sz w:val="12"/>
              </w:rPr>
              <w:t>units) (h)(j)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3/12/2019</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Brightmore Brands LLC</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Retail</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(j)(al)</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+ 5.38%) / (1.50%)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9.97%/0.00%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9/13/2022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(1,000</w:t>
            </w:r>
            <w:r>
              <w:rPr>
                <w:rFonts w:ascii="Times New Roman" w:hAnsi="Times New Roman"/>
                <w:color w:val="000000"/>
                <w:sz w:val="20"/>
              </w:rPr>
              <w:t> </w:t>
            </w:r>
            <w:r>
              <w:rPr>
                <w:rFonts w:ascii="Times New Roman" w:hAnsi="Times New Roman"/>
                <w:color w:val="000000"/>
                <w:sz w:val="12"/>
              </w:rPr>
              <w:t>units) (j)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9/13/2022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(371</w:t>
            </w:r>
            <w:r>
              <w:rPr>
                <w:rFonts w:ascii="Times New Roman" w:hAnsi="Times New Roman"/>
                <w:color w:val="000000"/>
                <w:sz w:val="20"/>
              </w:rPr>
              <w:t> </w:t>
            </w:r>
            <w:r>
              <w:rPr>
                <w:rFonts w:ascii="Times New Roman" w:hAnsi="Times New Roman"/>
                <w:color w:val="000000"/>
                <w:sz w:val="12"/>
              </w:rPr>
              <w:t>units)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9/9/2024</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25,388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Cardback Intermediate, LLC (dba Chargeback Gurus)</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(j)(ah)</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+ 6.50%) / (0.75%)</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11.35%/0.00%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8/10/2021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(495</w:t>
            </w:r>
            <w:r>
              <w:rPr>
                <w:rFonts w:ascii="Times New Roman" w:hAnsi="Times New Roman"/>
                <w:color w:val="000000"/>
                <w:sz w:val="20"/>
              </w:rPr>
              <w:t> </w:t>
            </w:r>
            <w:r>
              <w:rPr>
                <w:rFonts w:ascii="Times New Roman" w:hAnsi="Times New Roman"/>
                <w:color w:val="000000"/>
                <w:sz w:val="12"/>
              </w:rPr>
              <w:t>shares)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8/10/2021</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(495</w:t>
            </w:r>
            <w:r>
              <w:rPr>
                <w:rFonts w:ascii="Times New Roman" w:hAnsi="Times New Roman"/>
                <w:color w:val="000000"/>
                <w:sz w:val="20"/>
              </w:rPr>
              <w:t> </w:t>
            </w:r>
            <w:r>
              <w:rPr>
                <w:rFonts w:ascii="Times New Roman" w:hAnsi="Times New Roman"/>
                <w:color w:val="000000"/>
                <w:sz w:val="12"/>
              </w:rPr>
              <w:t>shares) (j)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8/10/2021</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Choice Technology Solutions, LLC (dba Choice Merchant Solutions, LLC)</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+ 7.25%) / (1.00%)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12.09%/0.00%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10,529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($1,000</w:t>
            </w:r>
            <w:r>
              <w:rPr>
                <w:rFonts w:ascii="Times New Roman" w:hAnsi="Times New Roman"/>
                <w:color w:val="000000"/>
                <w:sz w:val="20"/>
              </w:rPr>
              <w:t> </w:t>
            </w:r>
            <w:r>
              <w:rPr>
                <w:rFonts w:ascii="Times New Roman" w:hAnsi="Times New Roman"/>
                <w:color w:val="000000"/>
                <w:sz w:val="12"/>
              </w:rPr>
              <w:t>unfunded commitment) (i)(j)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(1.00%)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11.09%/0.00%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(500,000</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8/21/2023</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CIH Intermediate, LLC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(k)</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10.00%/1.00%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12,594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(563</w:t>
            </w:r>
            <w:r>
              <w:rPr>
                <w:rFonts w:ascii="Times New Roman" w:hAnsi="Times New Roman"/>
                <w:color w:val="000000"/>
                <w:sz w:val="20"/>
              </w:rPr>
              <w:t> </w:t>
            </w:r>
            <w:r>
              <w:rPr>
                <w:rFonts w:ascii="Times New Roman" w:hAnsi="Times New Roman"/>
                <w:color w:val="000000"/>
                <w:sz w:val="12"/>
              </w:rPr>
              <w:t>shares)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(563</w:t>
            </w:r>
            <w:r>
              <w:rPr>
                <w:rFonts w:ascii="Times New Roman" w:hAnsi="Times New Roman"/>
                <w:color w:val="000000"/>
                <w:sz w:val="20"/>
              </w:rPr>
              <w:t> </w:t>
            </w:r>
            <w:r>
              <w:rPr>
                <w:rFonts w:ascii="Times New Roman" w:hAnsi="Times New Roman"/>
                <w:color w:val="000000"/>
                <w:sz w:val="12"/>
              </w:rPr>
              <w:t>shares) (j)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3/3/2022</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CRS Solutions Holdings, LLC (dba CRS Texas)</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(574,929</w:t>
            </w:r>
            <w:r>
              <w:rPr>
                <w:rFonts w:ascii="Times New Roman" w:hAnsi="Times New Roman"/>
                <w:color w:val="000000"/>
                <w:sz w:val="20"/>
              </w:rPr>
              <w:t> </w:t>
            </w:r>
            <w:r>
              <w:rPr>
                <w:rFonts w:ascii="Times New Roman" w:hAnsi="Times New Roman"/>
                <w:color w:val="000000"/>
                <w:sz w:val="12"/>
              </w:rPr>
              <w:t>units) (h)(j)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6/28/2022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CTM Group, Inc. (dba Venuplus, Inc.)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+ 4.75%) / (1.00%)</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9.40%/2.75%</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2/28/2023</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7.75%/6.50%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2/28/2023</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(400,000</w:t>
            </w:r>
            <w:r>
              <w:rPr>
                <w:rFonts w:ascii="Times New Roman" w:hAnsi="Times New Roman"/>
                <w:color w:val="000000"/>
                <w:sz w:val="20"/>
              </w:rPr>
              <w:t> </w:t>
            </w:r>
            <w:r>
              <w:rPr>
                <w:rFonts w:ascii="Times New Roman" w:hAnsi="Times New Roman"/>
                <w:color w:val="000000"/>
                <w:sz w:val="12"/>
              </w:rPr>
              <w:t>units)</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2/28/2023</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Dataguise, Inc.</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11.00%/2.00%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11/23/2027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(909</w:t>
            </w:r>
            <w:r>
              <w:rPr>
                <w:rFonts w:ascii="Times New Roman" w:hAnsi="Times New Roman"/>
                <w:color w:val="000000"/>
                <w:sz w:val="20"/>
              </w:rPr>
              <w:t> </w:t>
            </w:r>
            <w:r>
              <w:rPr>
                <w:rFonts w:ascii="Times New Roman" w:hAnsi="Times New Roman"/>
                <w:color w:val="000000"/>
                <w:sz w:val="12"/>
              </w:rPr>
              <w:t>shares) (j)</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12/31/2020</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Dealerbuilt Acquisition, LLC</w:t>
            </w:r>
          </w:p>
        </w:tc>
        <w:tc>
          <w:tcPr>
            <w:tcW w:w="1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8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(ac)</w:t>
            </w:r>
          </w:p>
        </w:tc>
        <w:tc>
          <w:tcPr>
            <w:tcW w:w="1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+ 5.75%) / (4.00%)</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10.36%/1.00%</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7/21/2023</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82"/>
        <w:gridCol w:w="1504"/>
        <w:gridCol w:w="1015"/>
        <w:gridCol w:w="731"/>
        <w:gridCol w:w="563"/>
        <w:gridCol w:w="563"/>
        <w:gridCol w:w="146"/>
        <w:gridCol w:w="436"/>
        <w:gridCol w:w="146"/>
        <w:gridCol w:w="146"/>
        <w:gridCol w:w="146"/>
        <w:gridCol w:w="436"/>
        <w:gridCol w:w="151"/>
        <w:gridCol w:w="146"/>
        <w:gridCol w:w="146"/>
        <w:gridCol w:w="436"/>
        <w:gridCol w:w="146"/>
        <w:gridCol w:w="146"/>
        <w:gridCol w:w="166"/>
        <w:gridCol w:w="354"/>
      </w:tblGrid>
      <w:tr>
        <w:trPr/>
        <w:tc>
          <w:tcPr>
            <w:tcW w:w="2682"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ind w:left="0" w:right="0" w:firstLine="160"/>
              <w:jc w:val="left"/>
              <w:rPr>
                <w:sz w:val="4"/>
                <w:szCs w:val="4"/>
              </w:rPr>
            </w:pPr>
            <w:r>
              <w:rPr>
                <w:sz w:val="4"/>
                <w:szCs w:val="4"/>
              </w:rPr>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7.50%/7.50%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(1,000</w:t>
            </w:r>
            <w:r>
              <w:rPr>
                <w:rFonts w:ascii="Times New Roman" w:hAnsi="Times New Roman"/>
                <w:color w:val="000000"/>
                <w:sz w:val="20"/>
              </w:rPr>
              <w:t> </w:t>
            </w:r>
            <w:r>
              <w:rPr>
                <w:rFonts w:ascii="Times New Roman" w:hAnsi="Times New Roman"/>
                <w:color w:val="000000"/>
                <w:sz w:val="12"/>
              </w:rPr>
              <w:t>Units) (h)(j)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7/21/2023</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(1,000</w:t>
            </w:r>
            <w:r>
              <w:rPr>
                <w:rFonts w:ascii="Times New Roman" w:hAnsi="Times New Roman"/>
                <w:color w:val="000000"/>
                <w:sz w:val="20"/>
              </w:rPr>
              <w:t> </w:t>
            </w:r>
            <w:r>
              <w:rPr>
                <w:rFonts w:ascii="Times New Roman" w:hAnsi="Times New Roman"/>
                <w:color w:val="000000"/>
                <w:sz w:val="12"/>
              </w:rPr>
              <w:t>Units) (h)(j)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25,960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Detechtion Holdings,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+ 5.75%) / (2.25%)</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10.34%/2.00%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6/21/2023</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($1,000</w:t>
            </w:r>
            <w:r>
              <w:rPr>
                <w:rFonts w:ascii="Times New Roman" w:hAnsi="Times New Roman"/>
                <w:color w:val="000000"/>
                <w:sz w:val="20"/>
              </w:rPr>
              <w:t> </w:t>
            </w:r>
            <w:r>
              <w:rPr>
                <w:rFonts w:ascii="Times New Roman" w:hAnsi="Times New Roman"/>
                <w:color w:val="000000"/>
                <w:sz w:val="12"/>
              </w:rPr>
              <w:t>unfunded commitment) (j)(w)</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(2.25%)</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12.34%/0.00%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7/12/2024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0.00%/14.00%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6/21/2023</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(601,532</w:t>
            </w:r>
            <w:r>
              <w:rPr>
                <w:rFonts w:ascii="Times New Roman" w:hAnsi="Times New Roman"/>
                <w:color w:val="000000"/>
                <w:sz w:val="20"/>
              </w:rPr>
              <w:t> </w:t>
            </w:r>
            <w:r>
              <w:rPr>
                <w:rFonts w:ascii="Times New Roman" w:hAnsi="Times New Roman"/>
                <w:color w:val="000000"/>
                <w:sz w:val="12"/>
              </w:rPr>
              <w:t>units) (h)(j)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6/21/2023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Diversified Search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(j)(r)</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+ 7.50%) / (1.00%)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12.09%/0.00%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2/7/2019</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24,124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(573</w:t>
            </w:r>
            <w:r>
              <w:rPr>
                <w:rFonts w:ascii="Times New Roman" w:hAnsi="Times New Roman"/>
                <w:color w:val="000000"/>
                <w:sz w:val="20"/>
              </w:rPr>
              <w:t> </w:t>
            </w:r>
            <w:r>
              <w:rPr>
                <w:rFonts w:ascii="Times New Roman" w:hAnsi="Times New Roman"/>
                <w:color w:val="000000"/>
                <w:sz w:val="12"/>
              </w:rPr>
              <w:t>units) (h)(j)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2/7/2019</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Donovan Food Brokerage,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(ae)</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(2.00%)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10.84%/0.00%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2/23/2024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(598,832</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2/23/2024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17,642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Elements Brands,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Products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12.25%/0.00%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Revolving Loan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12.25%/0.00%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Enterprise Asset Management FM Purchaser, Inc. (dba MCIM)</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+ 5.75%) / (2.00%)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10.34%/2.00%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5/20/2024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5/20/2029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(551,470</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5/20/2024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Estex Manufacturing Company,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(j)(az)</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+ 5.00%) / (2.00%)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9.55%/0.00%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(75,000</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Fishbowl Solutions,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(1.00%)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3/25/2022</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(1.00%)</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12.62%/0.00%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12/27/2024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3/25/2027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($2,223</w:t>
            </w:r>
            <w:r>
              <w:rPr>
                <w:rFonts w:ascii="Times New Roman" w:hAnsi="Times New Roman"/>
                <w:color w:val="000000"/>
                <w:sz w:val="20"/>
              </w:rPr>
              <w:t> </w:t>
            </w:r>
            <w:r>
              <w:rPr>
                <w:rFonts w:ascii="Times New Roman" w:hAnsi="Times New Roman"/>
                <w:color w:val="000000"/>
                <w:sz w:val="12"/>
              </w:rPr>
              <w:t>unfunded commitment) (i)(j)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(1.00%)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12.62%/0.00%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12/27/2024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Fumex, LLC</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 Product Services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(j)(ar)</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+ 4.75%) / (1.00%)</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9.26%/0.00%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11/27/2024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(3,500</w:t>
            </w:r>
            <w:r>
              <w:rPr>
                <w:rFonts w:ascii="Times New Roman" w:hAnsi="Times New Roman"/>
                <w:color w:val="000000"/>
                <w:sz w:val="20"/>
              </w:rPr>
              <w:t> </w:t>
            </w:r>
            <w:r>
              <w:rPr>
                <w:rFonts w:ascii="Times New Roman" w:hAnsi="Times New Roman"/>
                <w:color w:val="000000"/>
                <w:sz w:val="12"/>
              </w:rPr>
              <w:t>units) (h)(j)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11/27/2024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Global Plasma Solutions, Inc.</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(601</w:t>
            </w:r>
            <w:r>
              <w:rPr>
                <w:rFonts w:ascii="Times New Roman" w:hAnsi="Times New Roman"/>
                <w:color w:val="000000"/>
                <w:sz w:val="20"/>
              </w:rPr>
              <w:t> </w:t>
            </w:r>
            <w:r>
              <w:rPr>
                <w:rFonts w:ascii="Times New Roman" w:hAnsi="Times New Roman"/>
                <w:color w:val="000000"/>
                <w:sz w:val="12"/>
              </w:rPr>
              <w:t>shares)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(1,705</w:t>
            </w:r>
            <w:r>
              <w:rPr>
                <w:rFonts w:ascii="Times New Roman" w:hAnsi="Times New Roman"/>
                <w:color w:val="000000"/>
                <w:sz w:val="20"/>
              </w:rPr>
              <w:t> </w:t>
            </w:r>
            <w:r>
              <w:rPr>
                <w:rFonts w:ascii="Times New Roman" w:hAnsi="Times New Roman"/>
                <w:color w:val="000000"/>
                <w:sz w:val="12"/>
              </w:rPr>
              <w:t>shares)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9/21/2018</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GMP HVAC, LLC (dba McGee Heating &amp; Air, LLC)</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Utilities: Services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+ 7.00%) / (2.00%)</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11.59%/0.00%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($1,500</w:t>
            </w:r>
            <w:r>
              <w:rPr>
                <w:rFonts w:ascii="Times New Roman" w:hAnsi="Times New Roman"/>
                <w:color w:val="000000"/>
                <w:sz w:val="20"/>
              </w:rPr>
              <w:t> </w:t>
            </w:r>
            <w:r>
              <w:rPr>
                <w:rFonts w:ascii="Times New Roman" w:hAnsi="Times New Roman"/>
                <w:color w:val="000000"/>
                <w:sz w:val="12"/>
              </w:rPr>
              <w:t>unfunded commitment) (i)(j)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+ 7.00%) / (2.00%)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11.59%/0.00%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12/8/2023</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(1,394</w:t>
            </w:r>
            <w:r>
              <w:rPr>
                <w:rFonts w:ascii="Times New Roman" w:hAnsi="Times New Roman"/>
                <w:color w:val="000000"/>
                <w:sz w:val="20"/>
              </w:rPr>
              <w:t> </w:t>
            </w:r>
            <w:r>
              <w:rPr>
                <w:rFonts w:ascii="Times New Roman" w:hAnsi="Times New Roman"/>
                <w:color w:val="000000"/>
                <w:sz w:val="12"/>
              </w:rPr>
              <w:t>units) (h)(j)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21,896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GP&amp;C Operations, LLC (dba Garlock Printing and Converting)</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(515,625</w:t>
            </w:r>
            <w:r>
              <w:rPr>
                <w:rFonts w:ascii="Times New Roman" w:hAnsi="Times New Roman"/>
                <w:color w:val="000000"/>
                <w:sz w:val="20"/>
              </w:rPr>
              <w:t> </w:t>
            </w:r>
            <w:r>
              <w:rPr>
                <w:rFonts w:ascii="Times New Roman" w:hAnsi="Times New Roman"/>
                <w:color w:val="000000"/>
                <w:sz w:val="12"/>
              </w:rPr>
              <w:t>units) (h)(j)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1/22/2021</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Green Cubes Technology, LLC (dba Green Cubes)</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(j)(ax)</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+ 7.50%) / (2.00%)</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12.13%/0.00%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10/16/2024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Haematologic Technologies, Inc.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+ 5.25%) / (3.00%)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10.11%/3.00%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10/11/2019</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(630</w:t>
            </w:r>
            <w:r>
              <w:rPr>
                <w:rFonts w:ascii="Times New Roman" w:hAnsi="Times New Roman"/>
                <w:color w:val="000000"/>
                <w:sz w:val="20"/>
              </w:rPr>
              <w:t> </w:t>
            </w:r>
            <w:r>
              <w:rPr>
                <w:rFonts w:ascii="Times New Roman" w:hAnsi="Times New Roman"/>
                <w:color w:val="000000"/>
                <w:sz w:val="12"/>
              </w:rPr>
              <w:t>units) (h)(j)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10/11/2019</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(169</w:t>
            </w:r>
            <w:r>
              <w:rPr>
                <w:rFonts w:ascii="Times New Roman" w:hAnsi="Times New Roman"/>
                <w:color w:val="000000"/>
                <w:sz w:val="20"/>
              </w:rPr>
              <w:t> </w:t>
            </w:r>
            <w:r>
              <w:rPr>
                <w:rFonts w:ascii="Times New Roman" w:hAnsi="Times New Roman"/>
                <w:color w:val="000000"/>
                <w:sz w:val="12"/>
              </w:rPr>
              <w:t>units) (h)(j)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6/26/2023</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Hallmark Health Care Solutions, Inc.</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(3,645,752</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9/18/2023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Healthfuse,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(197,980</w:t>
            </w:r>
            <w:r>
              <w:rPr>
                <w:rFonts w:ascii="Times New Roman" w:hAnsi="Times New Roman"/>
                <w:color w:val="000000"/>
                <w:sz w:val="20"/>
              </w:rPr>
              <w:t> </w:t>
            </w:r>
            <w:r>
              <w:rPr>
                <w:rFonts w:ascii="Times New Roman" w:hAnsi="Times New Roman"/>
                <w:color w:val="000000"/>
                <w:sz w:val="12"/>
              </w:rPr>
              <w:t>units)</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11/13/2020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Hub Acquisition Sub, LLC (dba Hub Pen)</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Promotional products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11.50%/1.25%</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4/25/2023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(5,837</w:t>
            </w:r>
            <w:r>
              <w:rPr>
                <w:rFonts w:ascii="Times New Roman" w:hAnsi="Times New Roman"/>
                <w:color w:val="000000"/>
                <w:sz w:val="20"/>
              </w:rPr>
              <w:t> </w:t>
            </w:r>
            <w:r>
              <w:rPr>
                <w:rFonts w:ascii="Times New Roman" w:hAnsi="Times New Roman"/>
                <w:color w:val="000000"/>
                <w:sz w:val="12"/>
              </w:rPr>
              <w:t>units)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3/23/2016</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(637</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8/7/2023</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(868</w:t>
            </w:r>
            <w:r>
              <w:rPr>
                <w:rFonts w:ascii="Times New Roman" w:hAnsi="Times New Roman"/>
                <w:color w:val="000000"/>
                <w:sz w:val="20"/>
              </w:rPr>
              <w:t> </w:t>
            </w:r>
            <w:r>
              <w:rPr>
                <w:rFonts w:ascii="Times New Roman" w:hAnsi="Times New Roman"/>
                <w:color w:val="000000"/>
                <w:sz w:val="12"/>
              </w:rPr>
              <w:t>units)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10/16/2020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IBH Holdings, LLC (fka Inflexxion, Inc.)</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(150,000</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6/20/2018</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InductiveHealth Informatics, LLC</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+ 7.75%) / (2.00%)</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12.44%/0.50%</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9/20/2024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(367</w:t>
            </w:r>
            <w:r>
              <w:rPr>
                <w:rFonts w:ascii="Times New Roman" w:hAnsi="Times New Roman"/>
                <w:color w:val="000000"/>
                <w:sz w:val="20"/>
              </w:rPr>
              <w:t> </w:t>
            </w:r>
            <w:r>
              <w:rPr>
                <w:rFonts w:ascii="Times New Roman" w:hAnsi="Times New Roman"/>
                <w:color w:val="000000"/>
                <w:sz w:val="12"/>
              </w:rPr>
              <w:t>units) (j)</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9/20/2024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(1,361</w:t>
            </w:r>
            <w:r>
              <w:rPr>
                <w:rFonts w:ascii="Times New Roman" w:hAnsi="Times New Roman"/>
                <w:color w:val="000000"/>
                <w:sz w:val="20"/>
              </w:rPr>
              <w:t> </w:t>
            </w:r>
            <w:r>
              <w:rPr>
                <w:rFonts w:ascii="Times New Roman" w:hAnsi="Times New Roman"/>
                <w:color w:val="000000"/>
                <w:sz w:val="12"/>
              </w:rPr>
              <w:t>units)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9/20/2024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Informatics Holdings, Inc. (dba Wasp Barcode Technologies)</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(j)(v)</w:t>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+ 6.50%) / (2.50%)</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11.09%/0.00%</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5/1/2024</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68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(1,000,000</w:t>
            </w:r>
            <w:r>
              <w:rPr>
                <w:rFonts w:ascii="Times New Roman" w:hAnsi="Times New Roman"/>
                <w:color w:val="000000"/>
                <w:sz w:val="20"/>
              </w:rPr>
              <w:t> </w:t>
            </w:r>
            <w:r>
              <w:rPr>
                <w:rFonts w:ascii="Times New Roman" w:hAnsi="Times New Roman"/>
                <w:color w:val="000000"/>
                <w:sz w:val="12"/>
              </w:rPr>
              <w:t>units) (j)</w:t>
            </w:r>
          </w:p>
        </w:tc>
        <w:tc>
          <w:tcPr>
            <w:tcW w:w="1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3/7/2024</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43"/>
        <w:gridCol w:w="1362"/>
        <w:gridCol w:w="983"/>
        <w:gridCol w:w="677"/>
        <w:gridCol w:w="516"/>
        <w:gridCol w:w="516"/>
        <w:gridCol w:w="146"/>
        <w:gridCol w:w="436"/>
        <w:gridCol w:w="146"/>
        <w:gridCol w:w="146"/>
        <w:gridCol w:w="146"/>
        <w:gridCol w:w="436"/>
        <w:gridCol w:w="146"/>
        <w:gridCol w:w="146"/>
        <w:gridCol w:w="146"/>
        <w:gridCol w:w="436"/>
        <w:gridCol w:w="146"/>
        <w:gridCol w:w="146"/>
        <w:gridCol w:w="166"/>
        <w:gridCol w:w="420"/>
      </w:tblGrid>
      <w:tr>
        <w:trPr/>
        <w:tc>
          <w:tcPr>
            <w:tcW w:w="294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ISI PSG Holdings, LLC (dba Incentive Solutions, Inc.)</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(j)(aj)</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+ 7.50%) / (0.50%)</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11.98%/0.00%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4/5/2021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(j)(an)</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+ 7.50%) / (0.50%)</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8.48%/0.00%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(256,964</w:t>
            </w:r>
            <w:r>
              <w:rPr>
                <w:rFonts w:ascii="Times New Roman" w:hAnsi="Times New Roman"/>
                <w:color w:val="000000"/>
                <w:sz w:val="20"/>
              </w:rPr>
              <w:t> </w:t>
            </w:r>
            <w:r>
              <w:rPr>
                <w:rFonts w:ascii="Times New Roman" w:hAnsi="Times New Roman"/>
                <w:color w:val="000000"/>
                <w:sz w:val="12"/>
              </w:rPr>
              <w:t>units) (h)(j)</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4/5/2021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Janus Health Technologies, Inc.</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12.00%/0.00%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1/3/2024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12.00%/0.00%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1/3/2024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(68,361</w:t>
            </w:r>
            <w:r>
              <w:rPr>
                <w:rFonts w:ascii="Times New Roman" w:hAnsi="Times New Roman"/>
                <w:color w:val="000000"/>
                <w:sz w:val="20"/>
              </w:rPr>
              <w:t> </w:t>
            </w:r>
            <w:r>
              <w:rPr>
                <w:rFonts w:ascii="Times New Roman" w:hAnsi="Times New Roman"/>
                <w:color w:val="000000"/>
                <w:sz w:val="12"/>
              </w:rPr>
              <w:t>units)</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1/3/2024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Jumo Health, Inc.</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(j)(aw)</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+ 5.50%) / (2.00%)</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8/16/2024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8/16/2029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(1,359</w:t>
            </w:r>
            <w:r>
              <w:rPr>
                <w:rFonts w:ascii="Times New Roman" w:hAnsi="Times New Roman"/>
                <w:color w:val="000000"/>
                <w:sz w:val="20"/>
              </w:rPr>
              <w:t> </w:t>
            </w:r>
            <w:r>
              <w:rPr>
                <w:rFonts w:ascii="Times New Roman" w:hAnsi="Times New Roman"/>
                <w:color w:val="000000"/>
                <w:sz w:val="12"/>
              </w:rPr>
              <w:t>shares) (j)</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8/16/2024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(1,359</w:t>
            </w:r>
            <w:r>
              <w:rPr>
                <w:rFonts w:ascii="Times New Roman" w:hAnsi="Times New Roman"/>
                <w:color w:val="000000"/>
                <w:sz w:val="20"/>
              </w:rPr>
              <w:t> </w:t>
            </w:r>
            <w:r>
              <w:rPr>
                <w:rFonts w:ascii="Times New Roman" w:hAnsi="Times New Roman"/>
                <w:color w:val="000000"/>
                <w:sz w:val="12"/>
              </w:rPr>
              <w:t>shares) (j)</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8/16/2024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The Kyjen Company, LLC (dba Outward Hound)</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Products</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(855</w:t>
            </w:r>
            <w:r>
              <w:rPr>
                <w:rFonts w:ascii="Times New Roman" w:hAnsi="Times New Roman"/>
                <w:color w:val="000000"/>
                <w:sz w:val="20"/>
              </w:rPr>
              <w:t> </w:t>
            </w:r>
            <w:r>
              <w:rPr>
                <w:rFonts w:ascii="Times New Roman" w:hAnsi="Times New Roman"/>
                <w:color w:val="000000"/>
                <w:sz w:val="12"/>
              </w:rPr>
              <w:t>shares) (j)</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12/8/2017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Level Education Group, LLC (dba CE4Less)</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(ak)</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+ 5.75%) / (2.00%)</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10.62%/0.00%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(1,000,000</w:t>
            </w:r>
            <w:r>
              <w:rPr>
                <w:rFonts w:ascii="Times New Roman" w:hAnsi="Times New Roman"/>
                <w:color w:val="000000"/>
                <w:sz w:val="20"/>
              </w:rPr>
              <w:t> </w:t>
            </w:r>
            <w:r>
              <w:rPr>
                <w:rFonts w:ascii="Times New Roman" w:hAnsi="Times New Roman"/>
                <w:color w:val="000000"/>
                <w:sz w:val="12"/>
              </w:rPr>
              <w:t>units) (j)</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4/1/2021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LifeSpan Biosciences, Inc.</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Products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11.50%/0.00%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3/19/2021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4/7/2028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(108</w:t>
            </w:r>
            <w:r>
              <w:rPr>
                <w:rFonts w:ascii="Times New Roman" w:hAnsi="Times New Roman"/>
                <w:color w:val="000000"/>
                <w:sz w:val="20"/>
              </w:rPr>
              <w:t> </w:t>
            </w:r>
            <w:r>
              <w:rPr>
                <w:rFonts w:ascii="Times New Roman" w:hAnsi="Times New Roman"/>
                <w:color w:val="000000"/>
                <w:sz w:val="12"/>
              </w:rPr>
              <w:t>shares) (j)</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6/7/2024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MBS Opco, LLC (dba Marketron)</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+ 8.50%) / (1.50%)</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13.35%/0.00%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9/29/2022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9/28/2026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MDME Holding Corp.</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Products</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+ 6.25%) / (1.00%)</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10.73%/0.00%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8/31/2023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8/3/2027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(4,735</w:t>
            </w:r>
            <w:r>
              <w:rPr>
                <w:rFonts w:ascii="Times New Roman" w:hAnsi="Times New Roman"/>
                <w:color w:val="000000"/>
                <w:sz w:val="20"/>
              </w:rPr>
              <w:t> </w:t>
            </w:r>
            <w:r>
              <w:rPr>
                <w:rFonts w:ascii="Times New Roman" w:hAnsi="Times New Roman"/>
                <w:color w:val="000000"/>
                <w:sz w:val="12"/>
              </w:rPr>
              <w:t>units) (j)</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9/18/2023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(12,500</w:t>
            </w:r>
            <w:r>
              <w:rPr>
                <w:rFonts w:ascii="Times New Roman" w:hAnsi="Times New Roman"/>
                <w:color w:val="000000"/>
                <w:sz w:val="20"/>
              </w:rPr>
              <w:t> </w:t>
            </w:r>
            <w:r>
              <w:rPr>
                <w:rFonts w:ascii="Times New Roman" w:hAnsi="Times New Roman"/>
                <w:color w:val="000000"/>
                <w:sz w:val="12"/>
              </w:rPr>
              <w:t>units) (j)</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9/18/2023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Micronics Filtration Holdings, Inc. (dba Micronics Engineered Filtration Group, Inc.)</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(k)(as)</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+ 5.25%) / (0.50%)</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10.10%/0.00%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2/17/2022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2/17/2027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(14,400</w:t>
            </w:r>
            <w:r>
              <w:rPr>
                <w:rFonts w:ascii="Times New Roman" w:hAnsi="Times New Roman"/>
                <w:color w:val="000000"/>
                <w:sz w:val="20"/>
              </w:rPr>
              <w:t> </w:t>
            </w:r>
            <w:r>
              <w:rPr>
                <w:rFonts w:ascii="Times New Roman" w:hAnsi="Times New Roman"/>
                <w:color w:val="000000"/>
                <w:sz w:val="12"/>
              </w:rPr>
              <w:t>units) (j)</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2/17/2022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Netbase Solutions, Inc. (dba Netbase Quid)</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(k)(ap)</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 + 4.00%) / (3.25%)</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11.50%/0.00%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11/18/2021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NWS Technologies, LLC</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Utilities: Services</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(u)</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+ 8.00%) / (2.50%)</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12.59%/0.00%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6/20/2023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6/16/2028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w:t>
            </w:r>
            <w:r>
              <w:rPr>
                <w:rFonts w:ascii="Times New Roman" w:hAnsi="Times New Roman"/>
                <w:color w:val="000000"/>
                <w:sz w:val="20"/>
              </w:rPr>
              <w:t> </w:t>
            </w:r>
            <w:r>
              <w:rPr>
                <w:rFonts w:ascii="Times New Roman" w:hAnsi="Times New Roman"/>
                <w:color w:val="000000"/>
                <w:sz w:val="12"/>
              </w:rPr>
              <w:t>unit) (h)(j)</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6/20/2023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(0.375</w:t>
            </w:r>
            <w:r>
              <w:rPr>
                <w:rFonts w:ascii="Times New Roman" w:hAnsi="Times New Roman"/>
                <w:color w:val="000000"/>
                <w:sz w:val="20"/>
              </w:rPr>
              <w:t> </w:t>
            </w:r>
            <w:r>
              <w:rPr>
                <w:rFonts w:ascii="Times New Roman" w:hAnsi="Times New Roman"/>
                <w:color w:val="000000"/>
                <w:sz w:val="12"/>
              </w:rPr>
              <w:t>units) (h)(j)</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6/20/2023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OnePath Systems, LLC</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(732,542</w:t>
            </w:r>
            <w:r>
              <w:rPr>
                <w:rFonts w:ascii="Times New Roman" w:hAnsi="Times New Roman"/>
                <w:color w:val="000000"/>
                <w:sz w:val="20"/>
              </w:rPr>
              <w:t> </w:t>
            </w:r>
            <w:r>
              <w:rPr>
                <w:rFonts w:ascii="Times New Roman" w:hAnsi="Times New Roman"/>
                <w:color w:val="000000"/>
                <w:sz w:val="12"/>
              </w:rPr>
              <w:t>shares) (j)</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9/30/2022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Palmetto Moon, LLC</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Retail</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(499</w:t>
            </w:r>
            <w:r>
              <w:rPr>
                <w:rFonts w:ascii="Times New Roman" w:hAnsi="Times New Roman"/>
                <w:color w:val="000000"/>
                <w:sz w:val="20"/>
              </w:rPr>
              <w:t> </w:t>
            </w:r>
            <w:r>
              <w:rPr>
                <w:rFonts w:ascii="Times New Roman" w:hAnsi="Times New Roman"/>
                <w:color w:val="000000"/>
                <w:sz w:val="12"/>
              </w:rPr>
              <w:t>units) (j)</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11/3/2016</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Pinnergy, Ltd.</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Oil &amp; Gas Services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10.00%/0.00%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PowerGrid Services Acquisition, LLC</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Utilities: Services</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(5,461</w:t>
            </w:r>
            <w:r>
              <w:rPr>
                <w:rFonts w:ascii="Times New Roman" w:hAnsi="Times New Roman"/>
                <w:color w:val="000000"/>
                <w:sz w:val="20"/>
              </w:rPr>
              <w:t> </w:t>
            </w:r>
            <w:r>
              <w:rPr>
                <w:rFonts w:ascii="Times New Roman" w:hAnsi="Times New Roman"/>
                <w:color w:val="000000"/>
                <w:sz w:val="12"/>
              </w:rPr>
              <w:t>units) (h)(j)</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9/21/2021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Prime AE Group, Inc.</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(j)(ab)</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+ 8.75%) / (2.00%)</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13.21%/0.00%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11/25/2019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11/22/2025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(900,000</w:t>
            </w:r>
            <w:r>
              <w:rPr>
                <w:rFonts w:ascii="Times New Roman" w:hAnsi="Times New Roman"/>
                <w:color w:val="000000"/>
                <w:sz w:val="20"/>
              </w:rPr>
              <w:t> </w:t>
            </w:r>
            <w:r>
              <w:rPr>
                <w:rFonts w:ascii="Times New Roman" w:hAnsi="Times New Roman"/>
                <w:color w:val="000000"/>
                <w:sz w:val="12"/>
              </w:rPr>
              <w:t>shares) (j)</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11/25/2019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Puget Collision, LLC</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Retail</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(j)(av)</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+ 7.00%) / (2.00%)</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11.59%/0.00%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1/4/2024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(h)(j)</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0.00%/10.00%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11/22/2024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5/22/2026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(h)(j)</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12/20/2024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6/20/2026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(310</w:t>
            </w:r>
            <w:r>
              <w:rPr>
                <w:rFonts w:ascii="Times New Roman" w:hAnsi="Times New Roman"/>
                <w:color w:val="000000"/>
                <w:sz w:val="20"/>
              </w:rPr>
              <w:t> </w:t>
            </w:r>
            <w:r>
              <w:rPr>
                <w:rFonts w:ascii="Times New Roman" w:hAnsi="Times New Roman"/>
                <w:color w:val="000000"/>
                <w:sz w:val="12"/>
              </w:rPr>
              <w:t>units) (h)(j)</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1/4/2024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QED Technologies International, Inc.</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(q)</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 + 5.25%) / (1.50%)</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9.84%/0.50%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3/1/2023</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(140</w:t>
            </w:r>
            <w:r>
              <w:rPr>
                <w:rFonts w:ascii="Times New Roman" w:hAnsi="Times New Roman"/>
                <w:color w:val="000000"/>
                <w:sz w:val="20"/>
              </w:rPr>
              <w:t> </w:t>
            </w:r>
            <w:r>
              <w:rPr>
                <w:rFonts w:ascii="Times New Roman" w:hAnsi="Times New Roman"/>
                <w:color w:val="000000"/>
                <w:sz w:val="12"/>
              </w:rPr>
              <w:t>shares) (j)</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2/28/2023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Quantum IR Technologies, LLC</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(j)(y)</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14.00%/0.00%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3/19/2024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(12,183</w:t>
            </w:r>
            <w:r>
              <w:rPr>
                <w:rFonts w:ascii="Times New Roman" w:hAnsi="Times New Roman"/>
                <w:color w:val="000000"/>
                <w:sz w:val="20"/>
              </w:rPr>
              <w:t> </w:t>
            </w:r>
            <w:r>
              <w:rPr>
                <w:rFonts w:ascii="Times New Roman" w:hAnsi="Times New Roman"/>
                <w:color w:val="000000"/>
                <w:sz w:val="12"/>
              </w:rPr>
              <w:t>shares) (j)</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3/19/2024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Quest Software US Holdings Inc.</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+ 7.50%) / (0.50%)</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12.24%/0.00%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3/1/2022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R1 Holdings, LLC (dba RoadOne IntermodaLogistics)</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services</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+ 6.25%) / (1.00%)</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10.84%/0.00%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8.75%/5.00%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(280,000</w:t>
            </w:r>
            <w:r>
              <w:rPr>
                <w:rFonts w:ascii="Times New Roman" w:hAnsi="Times New Roman"/>
                <w:color w:val="000000"/>
                <w:sz w:val="20"/>
              </w:rPr>
              <w:t> </w:t>
            </w:r>
            <w:r>
              <w:rPr>
                <w:rFonts w:ascii="Times New Roman" w:hAnsi="Times New Roman"/>
                <w:color w:val="000000"/>
                <w:sz w:val="12"/>
              </w:rPr>
              <w:t>units) (j)</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12/30/2022</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R.F. Fager Company LLC</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w:t>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12.75%/0.00%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8/4/2030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94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(12,500</w:t>
            </w:r>
            <w:r>
              <w:rPr>
                <w:rFonts w:ascii="Times New Roman" w:hAnsi="Times New Roman"/>
                <w:color w:val="000000"/>
                <w:sz w:val="20"/>
              </w:rPr>
              <w:t> </w:t>
            </w:r>
            <w:r>
              <w:rPr>
                <w:rFonts w:ascii="Times New Roman" w:hAnsi="Times New Roman"/>
                <w:color w:val="000000"/>
                <w:sz w:val="12"/>
              </w:rPr>
              <w:t>units) (h)(j)</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23"/>
        <w:gridCol w:w="1238"/>
        <w:gridCol w:w="910"/>
        <w:gridCol w:w="630"/>
        <w:gridCol w:w="476"/>
        <w:gridCol w:w="476"/>
        <w:gridCol w:w="146"/>
        <w:gridCol w:w="436"/>
        <w:gridCol w:w="146"/>
        <w:gridCol w:w="146"/>
        <w:gridCol w:w="166"/>
        <w:gridCol w:w="586"/>
        <w:gridCol w:w="151"/>
        <w:gridCol w:w="146"/>
        <w:gridCol w:w="166"/>
        <w:gridCol w:w="586"/>
        <w:gridCol w:w="146"/>
        <w:gridCol w:w="146"/>
        <w:gridCol w:w="286"/>
        <w:gridCol w:w="499"/>
      </w:tblGrid>
      <w:tr>
        <w:trPr/>
        <w:tc>
          <w:tcPr>
            <w:tcW w:w="272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Rhino Assembly Company, LLC (n)</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(Class A Units) (10,915</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8/11/2017</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Preferred Equity (Units N/A) (h)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12/10/2020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(Class F Units) (710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12/10/2020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ServicePower, Inc.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+ 8.00%) / (3.25%)</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12.61%/0.00%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3/15/2024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3/15/2028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20,750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SES Investors, LLC (dba SES Foam) (n)</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Building Products Manufacturing</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(6,000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9/8/2016</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Suited Connector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(j)(y)</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0.00%/13.00%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10/29/2021</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(97,808</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12/1/2021</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Tedia Company,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Products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+ 8.75%) / (1.00%)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13.60%/0.00%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15,562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Revolving Loan ($2,250</w:t>
            </w:r>
            <w:r>
              <w:rPr>
                <w:rFonts w:ascii="Times New Roman" w:hAnsi="Times New Roman"/>
                <w:color w:val="000000"/>
                <w:sz w:val="20"/>
              </w:rPr>
              <w:t> </w:t>
            </w:r>
            <w:r>
              <w:rPr>
                <w:rFonts w:ascii="Times New Roman" w:hAnsi="Times New Roman"/>
                <w:color w:val="000000"/>
                <w:sz w:val="12"/>
              </w:rPr>
              <w:t>unfunded commitment) (i)(j)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+ 8.75%) / (1.00%)</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13.60%/0.00%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7.75%/7.75%</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3,081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(1,000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3/4/2022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Thrust Flight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First Lien Debt ($2,625</w:t>
            </w:r>
            <w:r>
              <w:rPr>
                <w:rFonts w:ascii="Times New Roman" w:hAnsi="Times New Roman"/>
                <w:color w:val="000000"/>
                <w:sz w:val="20"/>
              </w:rPr>
              <w:t> </w:t>
            </w:r>
            <w:r>
              <w:rPr>
                <w:rFonts w:ascii="Times New Roman" w:hAnsi="Times New Roman"/>
                <w:color w:val="000000"/>
                <w:sz w:val="12"/>
              </w:rPr>
              <w:t>unfunded commitment)(i)(j)(au)</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+ 5.75%) / (2.00%)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10.36%/0.00%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9/9/2024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9/9/2029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(1,050,000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9/9/2024</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Tiger Calcium Services Inc. (aq)</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(j) (ao)</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12.50%/0.00%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12/21/2022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12,489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UBEO, LLC</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(705,000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4/3/2018</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United Biologics,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(98,377</w:t>
            </w:r>
            <w:r>
              <w:rPr>
                <w:rFonts w:ascii="Times New Roman" w:hAnsi="Times New Roman"/>
                <w:color w:val="000000"/>
                <w:sz w:val="20"/>
              </w:rPr>
              <w:t> </w:t>
            </w:r>
            <w:r>
              <w:rPr>
                <w:rFonts w:ascii="Times New Roman" w:hAnsi="Times New Roman"/>
                <w:color w:val="000000"/>
                <w:sz w:val="12"/>
              </w:rPr>
              <w:t>units) (h)(j)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4/1/2012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Warrant (57,469</w:t>
            </w:r>
            <w:r>
              <w:rPr>
                <w:rFonts w:ascii="Times New Roman" w:hAnsi="Times New Roman"/>
                <w:color w:val="000000"/>
                <w:sz w:val="20"/>
              </w:rPr>
              <w:t> </w:t>
            </w:r>
            <w:r>
              <w:rPr>
                <w:rFonts w:ascii="Times New Roman" w:hAnsi="Times New Roman"/>
                <w:color w:val="000000"/>
                <w:sz w:val="12"/>
              </w:rPr>
              <w:t>units) (j)(m)</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3/5/2012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USG AS Holdings,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Utilities: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+ 8.50%) / (2.50%)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13.24%/0.00%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2/23/2023</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Common Equity (Units N/A) (j)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2/21/2023</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Virginia Tile Company, LLC (n)</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Common Equity ( units)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12/19/2014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Virtex Enterprises, LP</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Second Lien Debt (y)</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+ 0.00%) / (2.50%)</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4.46%/9.75%</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4/13/2022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6/30/2026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(y)</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+ 4.00%) / (2.50%)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10.46%/0.00%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9/20/2023</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12/31/2025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W50 Holdings, LLC</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center"/>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Subordinated Debt (j)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12.50%/0.00%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3/22/2024</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3/24/2031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(Units N/A) ($100</w:t>
            </w:r>
            <w:r>
              <w:rPr>
                <w:rFonts w:ascii="Times New Roman" w:hAnsi="Times New Roman"/>
                <w:color w:val="000000"/>
                <w:sz w:val="20"/>
              </w:rPr>
              <w:t> </w:t>
            </w:r>
            <w:r>
              <w:rPr>
                <w:rFonts w:ascii="Times New Roman" w:hAnsi="Times New Roman"/>
                <w:color w:val="000000"/>
                <w:sz w:val="12"/>
              </w:rPr>
              <w:t>unfunded commitment)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3/21/2024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White Label Communication, LLC</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+ 6.00%) / (1.00%)</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10.36%/0.00%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10/11/2023</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(536</w:t>
            </w:r>
            <w:r>
              <w:rPr>
                <w:rFonts w:ascii="Times New Roman" w:hAnsi="Times New Roman"/>
                <w:color w:val="000000"/>
                <w:sz w:val="20"/>
              </w:rPr>
              <w:t> </w:t>
            </w:r>
            <w:r>
              <w:rPr>
                <w:rFonts w:ascii="Times New Roman" w:hAnsi="Times New Roman"/>
                <w:color w:val="000000"/>
                <w:sz w:val="12"/>
              </w:rPr>
              <w:t>units) (h)(j)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10/11/2023</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(5,000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10/11/2023</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17,790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Winona Foods, Inc.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Specialty Distribution</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+ 6.00%) / (6.00%)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17.00%/0.00%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12/13/2023</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6/13/2027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Wonderware Holdings, LLC (dba CORE Business Technologies)</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 Services</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(k)(z)</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+ 7.00%) / (1.00%)</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11.73%/0.00%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2/10/2021</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World Tours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(ay)</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+ 6.50%) / (2.00%)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11.02%/0.00%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11/13/2024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Preferred Equity (1,000,000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11/13/2024</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Worldwide Express Operations,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Transportation services</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(795,000</w:t>
            </w:r>
            <w:r>
              <w:rPr>
                <w:rFonts w:ascii="Times New Roman" w:hAnsi="Times New Roman"/>
                <w:color w:val="000000"/>
                <w:sz w:val="20"/>
              </w:rPr>
              <w:t> </w:t>
            </w:r>
            <w:r>
              <w:rPr>
                <w:rFonts w:ascii="Times New Roman" w:hAnsi="Times New Roman"/>
                <w:color w:val="000000"/>
                <w:sz w:val="12"/>
              </w:rPr>
              <w:t>units)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7/21/2021</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(752,380</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7/26/2021</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2"/>
              </w:rPr>
            </w:pPr>
            <w:r>
              <w:rPr>
                <w:rFonts w:ascii="Times New Roman" w:hAnsi="Times New Roman"/>
                <w:i/>
                <w:color w:val="000000"/>
                <w:sz w:val="12"/>
              </w:rPr>
              <w:t>Zonkd, LLC</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Component Manufacturing</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First Lien Debt (j)</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w:t>
            </w:r>
            <w:r>
              <w:rPr>
                <w:rFonts w:ascii="Times New Roman" w:hAnsi="Times New Roman"/>
                <w:color w:val="000000"/>
                <w:sz w:val="20"/>
              </w:rPr>
              <w:t> </w:t>
            </w:r>
            <w:r>
              <w:rPr>
                <w:rFonts w:ascii="Times New Roman" w:hAnsi="Times New Roman"/>
                <w:color w:val="000000"/>
                <w:sz w:val="12"/>
              </w:rPr>
              <w:t>+ 9.00%) / (1.00%)</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14.75%/0.00%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3/18/2022</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3/18/2027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sz w:val="20"/>
              </w:rPr>
            </w:pPr>
            <w:r>
              <w:rPr>
                <w:rFonts w:ascii="Times New Roman" w:hAnsi="Times New Roman"/>
                <w:color w:val="000000"/>
                <w:sz w:val="12"/>
              </w:rPr>
              <w:t>Common Equity (4,987</w:t>
            </w:r>
            <w:r>
              <w:rPr>
                <w:rFonts w:ascii="Times New Roman" w:hAnsi="Times New Roman"/>
                <w:color w:val="000000"/>
                <w:sz w:val="20"/>
              </w:rPr>
              <w:t> </w:t>
            </w:r>
            <w:r>
              <w:rPr>
                <w:rFonts w:ascii="Times New Roman" w:hAnsi="Times New Roman"/>
                <w:color w:val="000000"/>
                <w:sz w:val="12"/>
              </w:rPr>
              <w:t>units) (h)(j)</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3/18/2022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Non-control/Non-affiliate Investments</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1,011,646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988,482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1,075,157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1,090,506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Money market funds (included in cash and cash equivalents)</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2723"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2"/>
              </w:rPr>
            </w:pPr>
            <w:r>
              <w:rPr>
                <w:rFonts w:ascii="Times New Roman" w:hAnsi="Times New Roman"/>
                <w:color w:val="000000"/>
                <w:sz w:val="12"/>
              </w:rPr>
              <w:t>Goldman Sachs Financial Square Treasury Obligation Institution CUSIP (38141W323) (ad)</w:t>
            </w:r>
          </w:p>
        </w:tc>
        <w:tc>
          <w:tcPr>
            <w:tcW w:w="1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4.40%/0.00%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499" w:type="dxa"/>
            <w:tcBorders/>
            <w:shd w:fill="CFF0FC"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2"/>
              </w:rPr>
            </w:pPr>
            <w:r>
              <w:rPr>
                <w:rFonts w:ascii="Times New Roman" w:hAnsi="Times New Roman"/>
                <w:color w:val="000000"/>
                <w:sz w:val="12"/>
              </w:rPr>
              <w:t>%</w:t>
            </w:r>
          </w:p>
        </w:tc>
      </w:tr>
      <w:tr>
        <w:trPr/>
        <w:tc>
          <w:tcPr>
            <w:tcW w:w="2723"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12"/>
              </w:rPr>
            </w:pPr>
            <w:r>
              <w:rPr>
                <w:rFonts w:ascii="Times New Roman" w:hAnsi="Times New Roman"/>
                <w:b/>
                <w:color w:val="000000"/>
                <w:sz w:val="12"/>
              </w:rPr>
              <w:t>Total money market funds</w:t>
            </w:r>
          </w:p>
        </w:tc>
        <w:tc>
          <w:tcPr>
            <w:tcW w:w="1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48,715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214" w:type="dxa"/>
        <w:jc w:val="left"/>
        <w:tblInd w:w="0" w:type="dxa"/>
        <w:tblLayout w:type="fixed"/>
        <w:tblCellMar>
          <w:top w:w="28" w:type="dxa"/>
          <w:left w:w="28" w:type="dxa"/>
          <w:bottom w:w="28" w:type="dxa"/>
          <w:right w:w="28" w:type="dxa"/>
        </w:tblCellMar>
      </w:tblPr>
      <w:tblGrid>
        <w:gridCol w:w="2416"/>
        <w:gridCol w:w="146"/>
        <w:gridCol w:w="146"/>
        <w:gridCol w:w="146"/>
        <w:gridCol w:w="146"/>
        <w:gridCol w:w="146"/>
        <w:gridCol w:w="146"/>
        <w:gridCol w:w="146"/>
        <w:gridCol w:w="146"/>
        <w:gridCol w:w="166"/>
        <w:gridCol w:w="586"/>
        <w:gridCol w:w="146"/>
        <w:gridCol w:w="146"/>
        <w:gridCol w:w="166"/>
        <w:gridCol w:w="586"/>
        <w:gridCol w:w="146"/>
        <w:gridCol w:w="146"/>
        <w:gridCol w:w="286"/>
        <w:gridCol w:w="256"/>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and 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1,123,872</w:t>
            </w:r>
          </w:p>
        </w:tc>
        <w:tc>
          <w:tcPr>
            <w:tcW w:w="146" w:type="dxa"/>
            <w:tcBorders>
              <w:top w:val="double" w:sz="6"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top w:val="double" w:sz="6"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1,139,221</w:t>
            </w:r>
          </w:p>
        </w:tc>
        <w:tc>
          <w:tcPr>
            <w:tcW w:w="146" w:type="dxa"/>
            <w:tcBorders>
              <w:top w:val="double" w:sz="6"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(a) See Note 3 to the consolidated financial statements for portfolio composition by geographic location.</w:t>
      </w:r>
    </w:p>
    <w:p>
      <w:pPr>
        <w:pStyle w:val="TextBody"/>
        <w:bidi w:val="0"/>
        <w:jc w:val="left"/>
        <w:rPr>
          <w:rFonts w:ascii="Times New Roman" w:hAnsi="Times New Roman"/>
          <w:color w:val="000000"/>
          <w:sz w:val="12"/>
        </w:rPr>
      </w:pPr>
      <w:r>
        <w:rPr>
          <w:rFonts w:ascii="Times New Roman" w:hAnsi="Times New Roman"/>
          <w:color w:val="000000"/>
          <w:sz w:val="12"/>
        </w:rPr>
        <w:t>(b) Equity ownership may be held in shares or units of companies related to the portfolio companies. The Company’s investments are generally classified as “restricted securities”, unless otherwise noted, as such term is defined under Regulation S-X Rule 6-03(f) or Securities Act Rule 144. As of December 31, 2024, the Company held restricted securities with an aggregate fair value of $1,090,506, or 166% of the Company's net assets.</w:t>
      </w:r>
    </w:p>
    <w:p>
      <w:pPr>
        <w:pStyle w:val="TextBody"/>
        <w:bidi w:val="0"/>
        <w:jc w:val="left"/>
        <w:rPr>
          <w:rFonts w:ascii="Times New Roman" w:hAnsi="Times New Roman"/>
          <w:color w:val="000000"/>
          <w:sz w:val="12"/>
        </w:rPr>
      </w:pPr>
      <w:r>
        <w:rPr>
          <w:rFonts w:ascii="Times New Roman" w:hAnsi="Times New Roman"/>
          <w:color w:val="000000"/>
          <w:sz w:val="12"/>
        </w:rPr>
        <w:t>(c) All debt investments are income producing, unless otherwise indicated. Equity investments are non-income producing unless otherwise noted.</w:t>
      </w:r>
    </w:p>
    <w:p>
      <w:pPr>
        <w:pStyle w:val="TextBody"/>
        <w:bidi w:val="0"/>
        <w:jc w:val="left"/>
        <w:rPr>
          <w:rFonts w:ascii="Times New Roman" w:hAnsi="Times New Roman"/>
          <w:color w:val="000000"/>
          <w:sz w:val="12"/>
        </w:rPr>
      </w:pPr>
      <w:r>
        <w:rPr>
          <w:rFonts w:ascii="Times New Roman" w:hAnsi="Times New Roman"/>
          <w:color w:val="000000"/>
          <w:sz w:val="12"/>
        </w:rPr>
        <w:t>(d) Variable rate investments bear interest at a rate indexed to Prime (P) or SOFR (S), which are reset monthly, bimonthly, quarterly, or semi-annually. Certain variable rate investments also include a Prime or SOFR interest rate floor. For each investment, the Company has provided the spread over the reference rate and the Prime or SOFR floor, if any, as of December 31, 2024.</w:t>
      </w:r>
    </w:p>
    <w:p>
      <w:pPr>
        <w:pStyle w:val="TextBody"/>
        <w:bidi w:val="0"/>
        <w:jc w:val="left"/>
        <w:rPr>
          <w:rFonts w:ascii="Times New Roman" w:hAnsi="Times New Roman"/>
          <w:color w:val="000000"/>
          <w:sz w:val="12"/>
        </w:rPr>
      </w:pPr>
      <w:r>
        <w:rPr>
          <w:rFonts w:ascii="Times New Roman" w:hAnsi="Times New Roman"/>
          <w:color w:val="000000"/>
          <w:sz w:val="12"/>
        </w:rPr>
        <w:t>(e) Rate includes the cash interest or dividend rate and paid-in-kind interest or dividend rate, if any, as of December 31, 2024. Generally, payment-in-kind interest can be paid-in-kind or all in cash.</w:t>
      </w:r>
    </w:p>
    <w:p>
      <w:pPr>
        <w:pStyle w:val="TextBody"/>
        <w:bidi w:val="0"/>
        <w:jc w:val="left"/>
        <w:rPr>
          <w:rFonts w:ascii="Times New Roman" w:hAnsi="Times New Roman"/>
          <w:color w:val="000000"/>
          <w:sz w:val="12"/>
        </w:rPr>
      </w:pPr>
      <w:r>
        <w:rPr>
          <w:rFonts w:ascii="Times New Roman" w:hAnsi="Times New Roman"/>
          <w:color w:val="000000"/>
          <w:sz w:val="12"/>
        </w:rPr>
        <w:t>(f) Investment date represents the date of the initial investment in the security.</w:t>
      </w:r>
    </w:p>
    <w:p>
      <w:pPr>
        <w:pStyle w:val="TextBody"/>
        <w:bidi w:val="0"/>
        <w:jc w:val="left"/>
        <w:rPr>
          <w:rFonts w:ascii="Times New Roman" w:hAnsi="Times New Roman"/>
          <w:color w:val="000000"/>
          <w:sz w:val="12"/>
        </w:rPr>
      </w:pPr>
      <w:r>
        <w:rPr>
          <w:rFonts w:ascii="Times New Roman" w:hAnsi="Times New Roman"/>
          <w:color w:val="000000"/>
          <w:sz w:val="12"/>
        </w:rPr>
        <w:t>(g) 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pStyle w:val="TextBody"/>
        <w:bidi w:val="0"/>
        <w:jc w:val="left"/>
        <w:rPr>
          <w:rFonts w:ascii="Times New Roman" w:hAnsi="Times New Roman"/>
          <w:color w:val="000000"/>
          <w:sz w:val="12"/>
        </w:rPr>
      </w:pPr>
      <w:r>
        <w:rPr>
          <w:rFonts w:ascii="Times New Roman" w:hAnsi="Times New Roman"/>
          <w:color w:val="000000"/>
          <w:sz w:val="12"/>
        </w:rPr>
        <w:t>(h) Investment is held by a taxable subsidiary of the Company.</w:t>
      </w:r>
    </w:p>
    <w:p>
      <w:pPr>
        <w:pStyle w:val="TextBody"/>
        <w:bidi w:val="0"/>
        <w:jc w:val="left"/>
        <w:rPr>
          <w:rFonts w:ascii="Times New Roman" w:hAnsi="Times New Roman"/>
          <w:color w:val="000000"/>
          <w:sz w:val="12"/>
        </w:rPr>
      </w:pPr>
      <w:r>
        <w:rPr>
          <w:rFonts w:ascii="Times New Roman" w:hAnsi="Times New Roman"/>
          <w:color w:val="000000"/>
          <w:sz w:val="12"/>
        </w:rPr>
        <w:t>(i) The disclosed commitment represents the unfunded amount as of December 31, 2024. The Company is earning 0.50% interest on the unfunded balance of the commitment. The interest rate disclosed represents the rate which will be earned if the commitment is funded.</w:t>
      </w:r>
    </w:p>
    <w:p>
      <w:pPr>
        <w:pStyle w:val="TextBody"/>
        <w:bidi w:val="0"/>
        <w:jc w:val="left"/>
        <w:rPr>
          <w:rFonts w:ascii="Times New Roman" w:hAnsi="Times New Roman"/>
          <w:color w:val="000000"/>
          <w:sz w:val="12"/>
        </w:rPr>
      </w:pPr>
      <w:r>
        <w:rPr>
          <w:rFonts w:ascii="Times New Roman" w:hAnsi="Times New Roman"/>
          <w:color w:val="000000"/>
          <w:sz w:val="12"/>
        </w:rPr>
        <w:t>(j) 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(k) The portion of the investment not held by the SBIC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(l) 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(m) Warrants entitle the Company to purchase a predetermined number of shares or units of common equity, and are non-income producing. The purchase price and number of shares are subject to adjustment under certain conditions until the expiration date, if any.</w:t>
      </w:r>
    </w:p>
    <w:p>
      <w:pPr>
        <w:pStyle w:val="TextBody"/>
        <w:bidi w:val="0"/>
        <w:jc w:val="left"/>
        <w:rPr>
          <w:rFonts w:ascii="Times New Roman" w:hAnsi="Times New Roman"/>
          <w:color w:val="000000"/>
          <w:sz w:val="12"/>
        </w:rPr>
      </w:pPr>
      <w:r>
        <w:rPr>
          <w:rFonts w:ascii="Times New Roman" w:hAnsi="Times New Roman"/>
          <w:color w:val="000000"/>
          <w:sz w:val="12"/>
        </w:rPr>
        <w:t>(n) Investment in portfolio company that has sold its operations and is in the process of winding down.</w:t>
      </w:r>
    </w:p>
    <w:p>
      <w:pPr>
        <w:pStyle w:val="TextBody"/>
        <w:bidi w:val="0"/>
        <w:jc w:val="left"/>
        <w:rPr>
          <w:rFonts w:ascii="Times New Roman" w:hAnsi="Times New Roman"/>
          <w:sz w:val="20"/>
        </w:rPr>
      </w:pPr>
      <w:r>
        <w:rPr>
          <w:rFonts w:ascii="Times New Roman" w:hAnsi="Times New Roman"/>
          <w:color w:val="000000"/>
          <w:sz w:val="12"/>
        </w:rPr>
        <w:t>(o) The Company sold a participating interest of approximately $0.3</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(p) In addition to the interest earned based on the stated interest rate of this security, the Company is entitled to receive an additional interest amount of 3.49%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(q) In addition to the interest earned based on the stated interest rate of this security, the Company is entitled to receive an additional interest amount of 2.38%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(r) In addition to the interest earned based on the stated interest rate of this security, the Company is entitled to receive an additional interest amount of 2.98%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(s) In addition to the interest earned based on the stated interest rate of this security, the Company is entitled to receive an additional interest amount of 1.34%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(t) 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(u) In addition to the interest earned based on the stated interest rate of this security, the Company is entitled to receive an additional interest amount of 2.17%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(v) In addition to the interest earned based on the stated interest rate of this security, the Company is entitled to receive an additional interest amount of 1.14%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(w) The disclosed commitment represents the unfunded amount as of December 31, 2024. The Company is earning 0.75% interest on the unfunded balance of the commitment. The interest rate disclosed represents the rate earned on the outstanding, funded balance of the commitment.</w:t>
      </w:r>
    </w:p>
    <w:p>
      <w:pPr>
        <w:pStyle w:val="TextBody"/>
        <w:bidi w:val="0"/>
        <w:jc w:val="left"/>
        <w:rPr>
          <w:rFonts w:ascii="Times New Roman" w:hAnsi="Times New Roman"/>
          <w:color w:val="000000"/>
          <w:sz w:val="12"/>
        </w:rPr>
      </w:pPr>
      <w:r>
        <w:rPr>
          <w:rFonts w:ascii="Times New Roman" w:hAnsi="Times New Roman"/>
          <w:color w:val="000000"/>
          <w:sz w:val="12"/>
        </w:rPr>
        <w:t>(x) The disclosed commitment represents the unfunded amount as of December 31, 2024. The Company is earning 1.00% interest on the unfunded balance of the commitment. The interest rate disclosed represents the rate earned on the outstanding, funded balance of the commitment.</w:t>
      </w:r>
    </w:p>
    <w:p>
      <w:pPr>
        <w:pStyle w:val="TextBody"/>
        <w:bidi w:val="0"/>
        <w:jc w:val="left"/>
        <w:rPr>
          <w:rFonts w:ascii="Times New Roman" w:hAnsi="Times New Roman"/>
          <w:color w:val="000000"/>
          <w:sz w:val="12"/>
        </w:rPr>
      </w:pPr>
      <w:r>
        <w:rPr>
          <w:rFonts w:ascii="Times New Roman" w:hAnsi="Times New Roman"/>
          <w:color w:val="000000"/>
          <w:sz w:val="12"/>
        </w:rPr>
        <w:t>(y) Investment was on non-accrual status as of December 31, 2024.</w:t>
      </w:r>
    </w:p>
    <w:p>
      <w:pPr>
        <w:pStyle w:val="TextBody"/>
        <w:bidi w:val="0"/>
        <w:jc w:val="left"/>
        <w:rPr>
          <w:rFonts w:ascii="Times New Roman" w:hAnsi="Times New Roman"/>
          <w:color w:val="000000"/>
          <w:sz w:val="12"/>
        </w:rPr>
      </w:pPr>
      <w:r>
        <w:rPr>
          <w:rFonts w:ascii="Times New Roman" w:hAnsi="Times New Roman"/>
          <w:color w:val="000000"/>
          <w:sz w:val="12"/>
        </w:rPr>
        <w:t>(z) In addition to the interest earned based on the stated interest rate of this security, the Company is entitled to receive an additional interest amount of 4.28%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(aa) The Company sold a participating interest of approximately $4.0</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(ab) In addition to the interest earned based on the stated interest rate of this security, the Company is entitled to receive an additional interest amount of 5.25%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(ac) In addition to the interest earned based on the stated interest rate of this security, the Company is entitled to receive an additional cash interest amount of 2.76% and PIK interest amount of 1.26%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(ad) This investment is classified as a Level 1 investment. For further detail on the fair value measurements, see Note 4 to the consolidated financial statements.</w:t>
      </w:r>
    </w:p>
    <w:p>
      <w:pPr>
        <w:pStyle w:val="TextBody"/>
        <w:bidi w:val="0"/>
        <w:jc w:val="left"/>
        <w:rPr>
          <w:rFonts w:ascii="Times New Roman" w:hAnsi="Times New Roman"/>
          <w:color w:val="000000"/>
          <w:sz w:val="12"/>
        </w:rPr>
      </w:pPr>
      <w:r>
        <w:rPr>
          <w:rFonts w:ascii="Times New Roman" w:hAnsi="Times New Roman"/>
          <w:color w:val="000000"/>
          <w:sz w:val="12"/>
        </w:rPr>
        <w:t>(ae) In addition to the interest earned based on the stated interest rate of this security, the Company is entitled to receive an additional interest amount of 1.52%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(ag) In addition to the interest earned based on the stated interest rate of this security, the Company is entitled to receive an additional interest amount of 3.92%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(ah) In addition to the interest earned based on the stated interest rate of this security, the Company is entitled to receive an additional interest amount of 1.63%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(ai) In addition to the interest earned based on the stated interest rate of this security, the Company is entitled to receive an additional interest amount of 3.32%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(aj) In addition to the interest earned based on the stated interest rate of this security, the Company is entitled to receive an additional interest amount of 4.75%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(ak) In addition to the interest earned based on the stated interest rate of this security, the Company is entitled to receive an additional interest amount of 3.48%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(al) In addition to the interest earned based on the stated interest rate of this security, the Company is entitled to receive an additional interest amount of 4.08%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(am) In addition to the interest earned based on the stated interest rate of this security, the Company is entitled to receive an additional interest amount of 2.85%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sz w:val="20"/>
        </w:rPr>
      </w:pPr>
      <w:r>
        <w:rPr>
          <w:rFonts w:ascii="Times New Roman" w:hAnsi="Times New Roman"/>
          <w:color w:val="000000"/>
          <w:sz w:val="12"/>
        </w:rPr>
        <w:t>(an) The Company sold a participating interest of approximately $13.5</w:t>
      </w:r>
      <w:r>
        <w:rPr>
          <w:rFonts w:ascii="Times New Roman" w:hAnsi="Times New Roman"/>
          <w:color w:val="000000"/>
          <w:sz w:val="20"/>
        </w:rPr>
        <w:t xml:space="preserve"> </w:t>
      </w:r>
      <w:r>
        <w:rPr>
          <w:rFonts w:ascii="Times New Roman" w:hAnsi="Times New Roman"/>
          <w:color w:val="000000"/>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bidi w:val="0"/>
        <w:jc w:val="left"/>
        <w:rPr>
          <w:rFonts w:ascii="Times New Roman" w:hAnsi="Times New Roman"/>
          <w:color w:val="000000"/>
          <w:sz w:val="12"/>
        </w:rPr>
      </w:pPr>
      <w:r>
        <w:rPr>
          <w:rFonts w:ascii="Times New Roman" w:hAnsi="Times New Roman"/>
          <w:color w:val="000000"/>
          <w:sz w:val="12"/>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2024, total non-qualifying assets at fair value represented 1.08% of the Company's total assets calculated in accordance with the 1940 Act.</w:t>
      </w:r>
    </w:p>
    <w:p>
      <w:pPr>
        <w:pStyle w:val="TextBody"/>
        <w:bidi w:val="0"/>
        <w:jc w:val="left"/>
        <w:rPr>
          <w:rFonts w:ascii="Times New Roman" w:hAnsi="Times New Roman"/>
          <w:color w:val="000000"/>
          <w:sz w:val="12"/>
        </w:rPr>
      </w:pPr>
      <w:r>
        <w:rPr>
          <w:rFonts w:ascii="Times New Roman" w:hAnsi="Times New Roman"/>
          <w:color w:val="000000"/>
          <w:sz w:val="12"/>
        </w:rPr>
        <w:t>(ap) In addition to the interest earned based on the stated interest rate of this security, the Company is entitled to receive an additional cash interest amount of 2.00%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(aq) The headquarters of this portfolio company is located in Canada.</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(ar) In addition to the interest earned based on the stated interest rate of this security, the Company is entitled to receive an additional interest amount of 2.63%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(as) In addition to the interest earned based on the stated interest rate of this security, the Company is entitled to receive an additional interest amount of 3.08%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(at) In addition to the interest earned based on the stated interest rate of this security, the Company is entitled to receive an additional interest amount of 2.56%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(au) In addition to the interest earned based on the stated interest rate of this security, the Company is entitled to receive an additional interest amount of 2.21%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(av) In addition to the interest earned based on the stated interest rate of this security, the Company is entitled to receive an additional interest amount of 0.69%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(aw) In addition to the interest earned based on the stated interest rate of this security, the Company is entitled to receive an additional interest amount of 2.50%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(ax) In addition to the interest earned based on the stated interest rate of this security, the Company is entitled to receive an additional interest amount of 1.06%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(ay) In addition to the interest earned based on the stated interest rate of this security, the Company is entitled to receive an additional interest amount of 2.16%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left"/>
        <w:rPr>
          <w:rFonts w:ascii="Times New Roman" w:hAnsi="Times New Roman"/>
          <w:color w:val="000000"/>
          <w:sz w:val="12"/>
        </w:rPr>
      </w:pPr>
      <w:r>
        <w:rPr>
          <w:rFonts w:ascii="Times New Roman" w:hAnsi="Times New Roman"/>
          <w:color w:val="000000"/>
          <w:sz w:val="12"/>
        </w:rPr>
        <w:t>(az) In addition to the interest earned based on the stated interest rate of this security, the Company is entitled to receive an additional interest amount of 2.41%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bidi w:val="0"/>
        <w:jc w:val="center"/>
        <w:rPr>
          <w:rFonts w:ascii="Times New Roman" w:hAnsi="Times New Roman"/>
          <w:i/>
          <w:color w:val="000000"/>
          <w:sz w:val="12"/>
        </w:rPr>
      </w:pPr>
      <w:r>
        <w:rPr>
          <w:rFonts w:ascii="Times New Roman" w:hAnsi="Times New Roman"/>
          <w:i/>
          <w:color w:val="000000"/>
          <w:sz w:val="12"/>
        </w:rPr>
        <w:t>See Notes to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b/>
          <w:color w:val="000000"/>
          <w:sz w:val="20"/>
        </w:rPr>
      </w:pPr>
      <w:bookmarkStart w:id="9" w:name="notes_consolidated_financial_statements"/>
      <w:bookmarkEnd w:id="9"/>
      <w:r>
        <w:rPr>
          <w:rFonts w:ascii="Times New Roman" w:hAnsi="Times New Roman"/>
          <w:b/>
          <w:color w:val="000000"/>
          <w:sz w:val="20"/>
        </w:rPr>
        <w:t>Note 1. Organization and Nature of Business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U.S. federal income tax purposes, the Company has elected, and intends to qualify annually, to be treated as a regulated investment company (“RIC”) under subchapter M of the Internal Revenue Code of 1986, as amended (the “Code”).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provides customized debt and equity financing solutions to lower middle-market companies, and may make investments directly or through its two wholly-owned investment company subsidiaries, Fidus Mezzanine Capital III, L.P. (“Fund III”) and Fidus Mezzanine Capital IV, L.P. (“Fund IV” and together with Fund III, the “SBIC Funds”). Each SBIC Fund is licensed by the U.S. Small Business Administration (the “SBA”) as a small business investment company (“SBIC”). The SBIC licenses allow the SBIC Funds to obtain leverage by issuing SBA-guaranteed debentures (“SBA debentures”), subject to the issuance of leverage commitments by the SBA and other customary procedures. As SBICs, the SBIC Funds are subject to regulations of and oversight by the SBA under the Small Business Investment Act of 1958, as amended (the “SBIC Act”), concerning, among other things, the size and nature of the companies in which they may invest and the structure of those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believe that utilizing both FIC and the SBIC Funds as investment vehicles provides us with access to a broader array of investment opportunities. Given our access to lower cost capital through the SBA’s SBIC debenture program, we expect that we will make investments through active SBIC funds until the earlier of the end of such fund's investment period or when the fund reaches its borrowing limit under the SBA program. For two or more SBICs under common control, the maximum amount of outstanding SBA debentures cannot exceed $350,000.</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Fund III and Fund IV are not registered under the 1940 Act and rely on the exclusion from the definition of investment company contained in Section 3(c)(7) of the 1940 Act.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pays a quarterly base management fee and an incentive fee to Fidus Investment Advisors, LLC, our investment advisor (the “Investment Advisor” or “Fidus Investment Advisors”) under an investment advisory agreement (the “Investment Advisory Agreement”).</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spacing w:before="180" w:after="283"/>
        <w:jc w:val="both"/>
        <w:rPr>
          <w:rFonts w:ascii="Times New Roman" w:hAnsi="Times New Roman"/>
          <w:sz w:val="20"/>
        </w:rPr>
      </w:pPr>
      <w:r>
        <w:rPr>
          <w:rFonts w:ascii="Times New Roman" w:hAnsi="Times New Roman"/>
          <w:i/>
          <w:color w:val="000000"/>
          <w:sz w:val="20"/>
        </w:rPr>
        <w:t>Basis of presentation:</w:t>
      </w:r>
      <w:r>
        <w:rPr>
          <w:rFonts w:ascii="Times New Roman" w:hAnsi="Times New Roman"/>
          <w:color w:val="000000"/>
          <w:sz w:val="20"/>
        </w:rPr>
        <w:t xml:space="preserve"> The accompanying consolidated financial statements of the Company have been prepared in accordance with generally accepted accounting principles in the United States of America (“GAAP”) pursuant to the requirements for reporting on Form 10-Q, Accounting Standards Codification (“ASC”) 946, </w:t>
      </w:r>
      <w:r>
        <w:rPr>
          <w:rFonts w:ascii="Times New Roman" w:hAnsi="Times New Roman"/>
          <w:i/>
          <w:color w:val="000000"/>
          <w:sz w:val="20"/>
        </w:rPr>
        <w:t xml:space="preserve">Financial Services – Investment Companies </w:t>
      </w:r>
      <w:r>
        <w:rPr>
          <w:rFonts w:ascii="Times New Roman" w:hAnsi="Times New Roman"/>
          <w:color w:val="000000"/>
          <w:sz w:val="20"/>
        </w:rPr>
        <w:t>(“ASC 946”), and Articles 6 and 10 of Regulation S-X. In the opinion of management, the consolidated financial statements reflect all adjustments and reclassifications consisting solely of normal accruals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2024.</w:t>
      </w:r>
    </w:p>
    <w:p>
      <w:pPr>
        <w:pStyle w:val="TextBody"/>
        <w:bidi w:val="0"/>
        <w:spacing w:before="180" w:after="283"/>
        <w:jc w:val="both"/>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180" w:after="283"/>
        <w:jc w:val="both"/>
        <w:rPr>
          <w:rFonts w:ascii="Times New Roman" w:hAnsi="Times New Roman"/>
          <w:sz w:val="20"/>
        </w:rPr>
      </w:pPr>
      <w:r>
        <w:rPr>
          <w:rFonts w:ascii="Times New Roman" w:hAnsi="Times New Roman"/>
          <w:i/>
          <w:color w:val="000000"/>
          <w:sz w:val="20"/>
        </w:rPr>
        <w:t>Consolidation:</w:t>
      </w:r>
      <w:r>
        <w:rPr>
          <w:rFonts w:ascii="Times New Roman" w:hAnsi="Times New Roman"/>
          <w:color w:val="000000"/>
          <w:sz w:val="20"/>
        </w:rPr>
        <w:t xml:space="preserve"> Pursuant to Article 6 of Regulation S-X and ASC 946, the Company will generally not consolidate its investments in a company other than an investment company subsidiary or a controlled operating company whose business consists of providing services to the Company. As a result, the consolidated financial statements of the Company include only the accounts of the Company and its wholly-owned subsidiaries. All significant intercompany balances and transactions have been eliminated.</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 risks:</w:t>
      </w:r>
      <w:r>
        <w:rPr>
          <w:rFonts w:ascii="Times New Roman" w:hAnsi="Times New Roman"/>
          <w:color w:val="000000"/>
          <w:sz w:val="20"/>
        </w:rPr>
        <w:t xml:space="preserve"> The Company’s investments are subject to a variety of risks. These risks may include, but are not limited to the following: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sz w:val="20"/>
        </w:rPr>
      </w:pPr>
      <w:r>
        <w:rPr>
          <w:rFonts w:ascii="Times New Roman" w:hAnsi="Times New Roman"/>
          <w:i/>
          <w:color w:val="000000"/>
          <w:sz w:val="20"/>
        </w:rPr>
        <w:t xml:space="preserve">Market risk - </w:t>
      </w:r>
      <w:r>
        <w:rPr>
          <w:rFonts w:ascii="Times New Roman" w:hAnsi="Times New Roman"/>
          <w:color w:val="000000"/>
          <w:sz w:val="20"/>
        </w:rPr>
        <w:t>In contrast to investment-grade bonds (the market prices of which change primarily as a reaction to changes in interest 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Credit risk - </w:t>
      </w:r>
      <w:r>
        <w:rPr>
          <w:rFonts w:ascii="Times New Roman" w:hAnsi="Times New Roman"/>
          <w:color w:val="000000"/>
          <w:sz w:val="20"/>
        </w:rPr>
        <w:t xml:space="preserve">Credit risk represents the risk of counterparties failing to perform pursuant to the terms of their agreements with the Company. Issues of high-yield debt securities in which the Company invests are more likely to default on interest or principal than are issues of investment-grade securities.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Liquidity risk - </w:t>
      </w:r>
      <w:r>
        <w:rPr>
          <w:rFonts w:ascii="Times New Roman" w:hAnsi="Times New Roman"/>
          <w:color w:val="000000"/>
          <w:sz w:val="20"/>
        </w:rPr>
        <w:t xml:space="preserve">Liquidity risk represents the possibility that the Company may not be able to sell its investments quickly or at a reasonable price (given the lack of an established market).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Interest rate risk - </w:t>
      </w:r>
      <w:r>
        <w:rPr>
          <w:rFonts w:ascii="Times New Roman" w:hAnsi="Times New Roman"/>
          <w:color w:val="000000"/>
          <w:sz w:val="20"/>
        </w:rPr>
        <w:t xml:space="preserve">Interest rate risk represents the likelihood that a change in interest rates could have an adverse impact on the fair value of an interest-bearing financial instrument.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Prepayment risk - </w:t>
      </w:r>
      <w:r>
        <w:rPr>
          <w:rFonts w:ascii="Times New Roman" w:hAnsi="Times New Roman"/>
          <w:color w:val="000000"/>
          <w:sz w:val="20"/>
        </w:rPr>
        <w:t>Certain of the Company’s debt investments allow for prepayment of principal without penalty. Downward changes 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Off-Balance sheet risk - </w:t>
      </w:r>
      <w:r>
        <w:rPr>
          <w:rFonts w:ascii="Times New Roman" w:hAnsi="Times New Roman"/>
          <w:color w:val="000000"/>
          <w:sz w:val="20"/>
        </w:rPr>
        <w:t>Some of the Company’s financial instruments contain off-balance sheet risk. Generally, these financial instruments represent future commitments to purchase other financial instruments at defined terms at defined future dates. See Note 7 for further details.</w:t>
      </w:r>
    </w:p>
    <w:p>
      <w:pPr>
        <w:pStyle w:val="TextBody"/>
        <w:bidi w:val="0"/>
        <w:spacing w:before="180" w:after="283"/>
        <w:jc w:val="both"/>
        <w:rPr>
          <w:rFonts w:ascii="Times New Roman" w:hAnsi="Times New Roman"/>
          <w:sz w:val="20"/>
        </w:rPr>
      </w:pPr>
      <w:r>
        <w:rPr>
          <w:rFonts w:ascii="Times New Roman" w:hAnsi="Times New Roman"/>
          <w:i/>
          <w:color w:val="000000"/>
          <w:sz w:val="20"/>
        </w:rPr>
        <w:t>Fair value of financial instruments:</w:t>
      </w:r>
      <w:r>
        <w:rPr>
          <w:rFonts w:ascii="Times New Roman" w:hAnsi="Times New Roman"/>
          <w:color w:val="000000"/>
          <w:sz w:val="20"/>
        </w:rPr>
        <w:t xml:space="preserve"> The Company measures and discloses fair value with respect to substantially all of its financial instruments in accordance with ASC Topic 820 — </w:t>
      </w:r>
      <w:r>
        <w:rPr>
          <w:rFonts w:ascii="Times New Roman" w:hAnsi="Times New Roman"/>
          <w:i/>
          <w:color w:val="000000"/>
          <w:sz w:val="20"/>
        </w:rPr>
        <w:t>Fair Value Measurements and Disclosures</w:t>
      </w:r>
      <w:r>
        <w:rPr>
          <w:rFonts w:ascii="Times New Roman" w:hAnsi="Times New Roman"/>
          <w:color w:val="000000"/>
          <w:sz w:val="20"/>
        </w:rPr>
        <w:t xml:space="preserve"> (“ASC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 classification:</w:t>
      </w:r>
      <w:r>
        <w:rPr>
          <w:rFonts w:ascii="Times New Roman" w:hAnsi="Times New Roman"/>
          <w:color w:val="000000"/>
          <w:sz w:val="20"/>
        </w:rPr>
        <w:t xml:space="preserve"> The Company classifies its investments in accordance with the requirements of the 1940 Act. Under the 1940 Act, “Control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 </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Segments: </w:t>
      </w:r>
      <w:r>
        <w:rPr>
          <w:rFonts w:ascii="Times New Roman" w:hAnsi="Times New Roman"/>
          <w:color w:val="000000"/>
          <w:sz w:val="20"/>
        </w:rPr>
        <w:t>In accordance with ASC Topic 280 — Segment Reporting, the Company is externally managed and has determined that it has a single reporting segment and operating unit structure, which derives investment income from its portfolio investments. The chief operating decision maker (the “CODM”) assesses performance for the Company based on net investment income, net realized and unrealized gains (losses) from investments, and net increase (decrease) in net assets resulting from operations, which are reported on the consolidated statements of operations. The CODM also may assess the Company's performance by completing an industry benchmarking analysis using the metrics disclosed in Note 10. Financial Highlights. The CODM is the Investment Advisor’s investment committee. Subject to the overall supervision of the Company's board of directors, the Investment Advisor manages the day-to-day operations of, and provides investment advisory and management services to, the Company. The information and operating expense categories included in the consolidated statements of operations are fully reflective of the significant expense categories and amounts that are regularly provided to the CODM.</w:t>
      </w:r>
    </w:p>
    <w:p>
      <w:pPr>
        <w:pStyle w:val="TextBody"/>
        <w:bidi w:val="0"/>
        <w:spacing w:before="180" w:after="283"/>
        <w:jc w:val="both"/>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Cash and cash equivalents are highly liquid investments with an original maturity of three months or less at the date of acquisition. The Company places its cash in financial institutions and, at times, such balances may be in excess of the Federal Deposit Insurance Corporation insurance limits. The Company does not believe its cash balances are exposed to any significant credit risk.</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sz w:val="20"/>
        </w:rPr>
      </w:pPr>
      <w:r>
        <w:rPr>
          <w:rFonts w:ascii="Times New Roman" w:hAnsi="Times New Roman"/>
          <w:i/>
          <w:color w:val="000000"/>
          <w:sz w:val="20"/>
        </w:rPr>
        <w:t>Deferred financing costs:</w:t>
      </w:r>
      <w:r>
        <w:rPr>
          <w:rFonts w:ascii="Times New Roman" w:hAnsi="Times New Roman"/>
          <w:color w:val="000000"/>
          <w:sz w:val="20"/>
        </w:rPr>
        <w:t xml:space="preserve"> Deferred financing costs consist of fees and expenses paid in connection with the SBA debentures, the Credit Facility and the Notes (as defined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pStyle w:val="TextBody"/>
        <w:bidi w:val="0"/>
        <w:spacing w:before="180" w:after="283"/>
        <w:jc w:val="both"/>
        <w:rPr>
          <w:rFonts w:ascii="Times New Roman" w:hAnsi="Times New Roman"/>
          <w:sz w:val="20"/>
        </w:rPr>
      </w:pPr>
      <w:r>
        <w:rPr>
          <w:rFonts w:ascii="Times New Roman" w:hAnsi="Times New Roman"/>
          <w:i/>
          <w:color w:val="000000"/>
          <w:sz w:val="20"/>
        </w:rPr>
        <w:t>Realized losses on extinguishment of debt:</w:t>
      </w:r>
      <w:r>
        <w:rPr>
          <w:rFonts w:ascii="Times New Roman" w:hAnsi="Times New Roman"/>
          <w:color w:val="000000"/>
          <w:sz w:val="20"/>
        </w:rPr>
        <w:t xml:space="preserve"> Upon the repayment of debt obligations which are deemed to be extinguishments, the difference between the principal amount due at maturity, adjusted for any unamortized deferred financing costs, is recognized as a loss (i.e., the unamortized deferred financing costs are recognized as a loss upon extinguishment of the underlying debt obligation).</w:t>
      </w:r>
    </w:p>
    <w:p>
      <w:pPr>
        <w:pStyle w:val="TextBody"/>
        <w:bidi w:val="0"/>
        <w:spacing w:before="180" w:after="283"/>
        <w:jc w:val="both"/>
        <w:rPr>
          <w:rFonts w:ascii="Times New Roman" w:hAnsi="Times New Roman"/>
          <w:sz w:val="20"/>
        </w:rPr>
      </w:pPr>
      <w:r>
        <w:rPr>
          <w:rFonts w:ascii="Times New Roman" w:hAnsi="Times New Roman"/>
          <w:i/>
          <w:color w:val="000000"/>
          <w:sz w:val="20"/>
        </w:rPr>
        <w:t>Deferred offering costs:</w:t>
      </w:r>
      <w:r>
        <w:rPr>
          <w:rFonts w:ascii="Times New Roman" w:hAnsi="Times New Roman"/>
          <w:color w:val="000000"/>
          <w:sz w:val="20"/>
        </w:rPr>
        <w:t xml:space="preserve"> Deferred offering costs include registration expenses related to the shelf registration statement filing pursuant to which the Company may offer its securities, from time to time, in one or more offerings. These expenses primarily consist of U.S. 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Realized gains or losses and unrealized appreciation or depreciation on investments: </w:t>
      </w:r>
      <w:r>
        <w:rPr>
          <w:rFonts w:ascii="Times New Roman" w:hAnsi="Times New Roman"/>
          <w:color w:val="000000"/>
          <w:sz w:val="20"/>
        </w:rPr>
        <w:t>Realized gains or losses on investments are recorded upon 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pStyle w:val="TextBody"/>
        <w:bidi w:val="0"/>
        <w:spacing w:before="180" w:after="283"/>
        <w:jc w:val="both"/>
        <w:rPr>
          <w:rFonts w:ascii="Times New Roman" w:hAnsi="Times New Roman"/>
          <w:sz w:val="20"/>
        </w:rPr>
      </w:pPr>
      <w:r>
        <w:rPr>
          <w:rFonts w:ascii="Times New Roman" w:hAnsi="Times New Roman"/>
          <w:i/>
          <w:color w:val="000000"/>
          <w:sz w:val="20"/>
        </w:rPr>
        <w:t>Interest and dividend income:</w:t>
      </w:r>
      <w:r>
        <w:rPr>
          <w:rFonts w:ascii="Times New Roman" w:hAnsi="Times New Roman"/>
          <w:color w:val="000000"/>
          <w:sz w:val="20"/>
        </w:rPr>
        <w:t xml:space="preserve"> Interest and dividend income are recorded on the accrual basis to the extent that the Company expects to collect such 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PIK income: </w:t>
      </w:r>
      <w:r>
        <w:rPr>
          <w:rFonts w:ascii="Times New Roman" w:hAnsi="Times New Roman"/>
          <w:color w:val="000000"/>
          <w:sz w:val="20"/>
        </w:rPr>
        <w:t xml:space="preserve">Certain of the Company’s investments contain a payment-in-kind (“PIK”) income provision. The PIK income, computed at the 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even though the Company has not yet collected the cash. </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Non-accrual: </w:t>
      </w:r>
      <w:r>
        <w:rPr>
          <w:rFonts w:ascii="Times New Roman" w:hAnsi="Times New Roman"/>
          <w:color w:val="000000"/>
          <w:sz w:val="20"/>
        </w:rPr>
        <w:t>Debt investments or preferred equity investments (for which the Company is accruing PIK dividends) are placed on non-accrual status 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Origination and closing fees: </w:t>
      </w:r>
      <w:r>
        <w:rPr>
          <w:rFonts w:ascii="Times New Roman" w:hAnsi="Times New Roman"/>
          <w:color w:val="000000"/>
          <w:sz w:val="20"/>
        </w:rPr>
        <w:t>The Company also typically receives debt investment origination or closing fees in connection with such 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pStyle w:val="TextBody"/>
        <w:bidi w:val="0"/>
        <w:spacing w:before="180" w:after="283"/>
        <w:jc w:val="both"/>
        <w:rPr>
          <w:rFonts w:ascii="Times New Roman" w:hAnsi="Times New Roman"/>
          <w:sz w:val="20"/>
        </w:rPr>
      </w:pPr>
      <w:r>
        <w:rPr>
          <w:rFonts w:ascii="Times New Roman" w:hAnsi="Times New Roman"/>
          <w:i/>
          <w:color w:val="000000"/>
          <w:sz w:val="20"/>
        </w:rPr>
        <w:t>Warrants</w:t>
      </w:r>
      <w:r>
        <w:rPr>
          <w:rFonts w:ascii="Times New Roman" w:hAnsi="Times New Roman"/>
          <w:color w:val="000000"/>
          <w:sz w:val="20"/>
        </w:rPr>
        <w:t xml:space="preserve">: In connection with the Company’s debt investments, the Company will sometimes receive warrants or other equity-related securities 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original issue discount (“OID”), and accreted into interest income using the effective interest method over the term of the debt investment. Upon the prepayment of a debt investment, any unaccreted OID is accelerated into interest income.</w:t>
      </w:r>
    </w:p>
    <w:p>
      <w:pPr>
        <w:pStyle w:val="TextBody"/>
        <w:bidi w:val="0"/>
        <w:spacing w:before="180" w:after="283"/>
        <w:jc w:val="both"/>
        <w:rPr>
          <w:rFonts w:ascii="Times New Roman" w:hAnsi="Times New Roman"/>
          <w:sz w:val="20"/>
        </w:rPr>
      </w:pPr>
      <w:r>
        <w:rPr>
          <w:rFonts w:ascii="Times New Roman" w:hAnsi="Times New Roman"/>
          <w:i/>
          <w:color w:val="000000"/>
          <w:sz w:val="20"/>
        </w:rPr>
        <w:t>Fee income</w:t>
      </w:r>
      <w:r>
        <w:rPr>
          <w:rFonts w:ascii="Times New Roman" w:hAnsi="Times New Roman"/>
          <w:color w:val="000000"/>
          <w:sz w:val="20"/>
        </w:rPr>
        <w:t>: Transaction fees earned in connection with the Company’s investments are recognized as fee income and are generally non-recurring. 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Partial loan and equity sales: </w:t>
      </w:r>
      <w:r>
        <w:rPr>
          <w:rFonts w:ascii="Times New Roman" w:hAnsi="Times New Roman"/>
          <w:color w:val="000000"/>
          <w:sz w:val="20"/>
        </w:rPr>
        <w:t xml:space="preserve">The Company follows the guidance in ASC 860, </w:t>
      </w:r>
      <w:r>
        <w:rPr>
          <w:rFonts w:ascii="Times New Roman" w:hAnsi="Times New Roman"/>
          <w:i/>
          <w:color w:val="000000"/>
          <w:sz w:val="20"/>
        </w:rPr>
        <w:t>Transfers and Servicing</w:t>
      </w:r>
      <w:r>
        <w:rPr>
          <w:rFonts w:ascii="Times New Roman" w:hAnsi="Times New Roman"/>
          <w:color w:val="000000"/>
          <w:sz w:val="20"/>
        </w:rPr>
        <w:t xml:space="preserve"> (“ASC 860”)</w:t>
      </w:r>
      <w:r>
        <w:rPr>
          <w:rFonts w:ascii="Times New Roman" w:hAnsi="Times New Roman"/>
          <w:i/>
          <w:color w:val="000000"/>
          <w:sz w:val="20"/>
        </w:rPr>
        <w:t xml:space="preserve">, </w:t>
      </w:r>
      <w:r>
        <w:rPr>
          <w:rFonts w:ascii="Times New Roman" w:hAnsi="Times New Roman"/>
          <w:color w:val="000000"/>
          <w:sz w:val="20"/>
        </w:rPr>
        <w:t>when accounting for loan (debt 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For these partial loan sales, the interest earned on the entire loan balance is recorded within “interest income” and the interest earned by the buyer in the partial loan sale is recorded within “interest and financing expenses” in the accompanying consolidated statements of operations.</w:t>
      </w:r>
    </w:p>
    <w:p>
      <w:pPr>
        <w:pStyle w:val="TextBody"/>
        <w:bidi w:val="0"/>
        <w:spacing w:before="180" w:after="283"/>
        <w:jc w:val="both"/>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The Company has elected, and intends to qualify annually, to be treated as a RIC under subchapter M of the Code, and, as such will not be subject to U.S. federal income tax on the portion of its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 The Company’s net assets as included on the Consolidated Statements of Assets and Liabilities and Consolidated Statements of Changes in Net Assets include an adjustment to classification as a result of permanent book-to-tax differences, which include differences in the book and tax treatment of income and expenses.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To qualify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U.S. federal income tax purposes.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the future, the SBIC Funds may be limited by provisions of the SBIC Act and SBA regulations governing SBICs from making certain distributions to FIC that may be necessary to enable FIC to make the minimum distributions required to maintain its RIC tax treatment.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certain wholly-owned subsidiaries (the “Taxable Subsidiaries”) that have elected to be treated as corporations for U.S. federal income tax purposes and are thus subject to U.S. federal income tax imposed at corporate rates, each of which generally holds one or more of the Company’s portfolio investments listed on the consolidated schedules of investments.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income tax purposes, and each Taxable Subsidiary will be subject to U.S. federal income tax on its taxable income. Any such income or expense is reflected in the consolidated statements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U.S. federal income tax determinations differ from GAAP, and as a result, distributions for U.S. federal income tax purposes may differ from net investment income and realized gains recognized under GAAP. Differences may be permanent or temporary. Permanent differences may arise as a result of, among other items, a difference in the book and adjusted tax basis of certain assets and nondeductible U.S. federal income tax. Temporary differences arise when certain items of income, expense, gain or loss are recognized at some time in the future.</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ASC Topic 740 — </w:t>
      </w:r>
      <w:r>
        <w:rPr>
          <w:rFonts w:ascii="Times New Roman" w:hAnsi="Times New Roman"/>
          <w:i/>
          <w:color w:val="000000"/>
          <w:sz w:val="20"/>
        </w:rPr>
        <w:t>Accounting for Uncertainty in Income Taxes</w:t>
      </w:r>
      <w:r>
        <w:rPr>
          <w:rFonts w:ascii="Times New Roman" w:hAnsi="Times New Roman"/>
          <w:color w:val="000000"/>
          <w:sz w:val="20"/>
        </w:rPr>
        <w:t xml:space="preserve"> (“ASC Topic 740”) provides guidance for how uncertain tax positions should be recognized, measured, presented and disclosed in the consolidated financial statements. ASC Topic 740 requires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March 31, 2025 and December 31, 2024. The Company’s tax returns are generally subject to examination by U.S. federal and most state tax authorities for a period of three years from the date the respective returns are filed, and, accordingly, the Company’s 2021 through 2023 tax years remain subject to examination. </w:t>
      </w:r>
    </w:p>
    <w:p>
      <w:pPr>
        <w:pStyle w:val="TextBody"/>
        <w:bidi w:val="0"/>
        <w:spacing w:before="180" w:after="283"/>
        <w:jc w:val="both"/>
        <w:rPr>
          <w:rFonts w:ascii="Times New Roman" w:hAnsi="Times New Roman"/>
          <w:sz w:val="20"/>
        </w:rPr>
      </w:pPr>
      <w:r>
        <w:rPr>
          <w:rFonts w:ascii="Times New Roman" w:hAnsi="Times New Roman"/>
          <w:i/>
          <w:color w:val="000000"/>
          <w:sz w:val="20"/>
        </w:rPr>
        <w:t>Dividends to stockholders:</w:t>
      </w:r>
      <w:r>
        <w:rPr>
          <w:rFonts w:ascii="Times New Roman" w:hAnsi="Times New Roman"/>
          <w:color w:val="000000"/>
          <w:sz w:val="20"/>
        </w:rPr>
        <w:t xml:space="preserve"> Dividends to stockholders are recorded on the record date with respect to such distributions. The amount, if any, to be 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pStyle w:val="TextBody"/>
        <w:bidi w:val="0"/>
        <w:spacing w:before="180" w:after="283"/>
        <w:jc w:val="both"/>
        <w:rPr>
          <w:rFonts w:ascii="Times New Roman" w:hAnsi="Times New Roman"/>
          <w:sz w:val="20"/>
        </w:rPr>
      </w:pPr>
      <w:r>
        <w:rPr>
          <w:rFonts w:ascii="Times New Roman" w:hAnsi="Times New Roman"/>
          <w:i/>
          <w:color w:val="000000"/>
          <w:sz w:val="20"/>
        </w:rPr>
        <w:t>Earnings and net asset value per share:</w:t>
      </w:r>
      <w:r>
        <w:rPr>
          <w:rFonts w:ascii="Times New Roman" w:hAnsi="Times New Roman"/>
          <w:color w:val="000000"/>
          <w:sz w:val="20"/>
        </w:rPr>
        <w:t xml:space="preserve"> The earnings per share calculations for the three months ended March 31, 2025 and 2024 are computed utilizing the weighted average shares outstanding for the period. Net asset value per share is calculated using the number of shares outstanding as of the end of the period.</w:t>
      </w:r>
    </w:p>
    <w:p>
      <w:pPr>
        <w:pStyle w:val="TextBody"/>
        <w:bidi w:val="0"/>
        <w:spacing w:before="180" w:after="283"/>
        <w:jc w:val="both"/>
        <w:rPr>
          <w:rFonts w:ascii="Times New Roman" w:hAnsi="Times New Roman"/>
          <w:sz w:val="20"/>
        </w:rPr>
      </w:pPr>
      <w:r>
        <w:rPr>
          <w:rFonts w:ascii="Times New Roman" w:hAnsi="Times New Roman"/>
          <w:i/>
          <w:color w:val="000000"/>
          <w:sz w:val="20"/>
        </w:rPr>
        <w:t>Stock Repurchase Program:</w:t>
      </w:r>
      <w:r>
        <w:rPr>
          <w:rFonts w:ascii="Times New Roman" w:hAnsi="Times New Roman"/>
          <w:color w:val="000000"/>
          <w:sz w:val="20"/>
        </w:rPr>
        <w:t xml:space="preserve"> The Company has an open market stock repurchase program (the “Stock Repurchase Program”) under which the Company may acquire up to $5,000 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28, 2024, the Board extended the Stock Repurchase Program through December 31, 2025,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three months ended March 31, 2025 and 2024. Refer to Note 8 for additional information concerning stock repurchases.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Recent accounting pronouncement: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December 2023, the Financial Accounting Standards Board (“FASB”) issued Accounting Standards Update (“ASU”) No. 2023-09, “Improvements to Income Tax Disclosures (Topic 740),” which requires disclosure of additional information pertaining to income taxes. Such changes include disclosing (i) a reconciliation of the effective tax rate to statutory rate for federal, state, and foreign income taxes and (ii) taxes paid (net of refunds received) should be disaggregated for federal, state and foreign taxes. The guidance is effective for annual reporting periods beginning after December 15, 2024 and may be applied on a prospective or retrospective basis. We are currently evaluating the impact this ASU will have on our consolidated financial position or disclosures, but we do not expect the impact to be material.</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3. Portfolio Company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Company’s portfolio investments principally consist of secured and unsecured debt, equity warrants and direct equity investments primarily in privately held companies. The debt investments may or may not be secured by either a first or second lien on the assets of the portfolio company. The debt investments generally bear interest at fixed rates or variable rates, and generally mature between five and seven years 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makes equity investments in portfolio companies organized as LLCs or other forms of pass-through entities through Taxable Subsidiaries. In both situations, the investment is generally reported under the name of the operating company on the consolidated schedules of investments.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March 31, 2025, the Company had active investments in 92 portfolio companies and residual investments in four portfolio companies that have sold their underlying operations. The aggregate fair value of the total portfolio was $1,154,408 and the weighted average yield on the Company’s debt investments was 13.2% as of such date. As of March 31, 2025, the Company held equity investments in 85.4% of its portfolio companies and the average fully diluted equity ownership in those portfolio companies was 1.9%.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December 31, 2024, the Company had active investments in 87 portfolio companies and residual investments in four portfolio companies that have sold their underlying operations. The aggregate fair value of the total portfolio was $1,090,506 and the weighted average yield on the Company’s debt investments was 13.3% as of such date. As of December 31, 2024, the Company held equity investments in 85.7% of its portfolio companies and the average fully diluted equity ownership in those portfolio companies was 2.0%. </w:t>
      </w:r>
    </w:p>
    <w:p>
      <w:pPr>
        <w:pStyle w:val="TextBody"/>
        <w:bidi w:val="0"/>
        <w:spacing w:before="180" w:after="283"/>
        <w:jc w:val="both"/>
        <w:rPr>
          <w:rFonts w:ascii="Times New Roman" w:hAnsi="Times New Roman"/>
          <w:sz w:val="20"/>
        </w:rPr>
      </w:pPr>
      <w:r>
        <w:rPr>
          <w:rFonts w:ascii="Times New Roman" w:hAnsi="Times New Roman"/>
          <w:color w:val="000000"/>
          <w:sz w:val="20"/>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w:t>
      </w:r>
      <w:r>
        <w:rPr>
          <w:rFonts w:ascii="Times New Roman" w:hAnsi="Times New Roman"/>
          <w:color w:val="0070C0"/>
          <w:sz w:val="20"/>
        </w:rPr>
        <w:t xml:space="preserve"> </w:t>
      </w:r>
      <w:r>
        <w:rPr>
          <w:rFonts w:ascii="Times New Roman" w:hAnsi="Times New Roman"/>
          <w:color w:val="000000"/>
          <w:sz w:val="20"/>
        </w:rPr>
        <w:t>The weighted average yields were computed using the effective interest rates for debt investments at cost as of March 31, 2025 and December 31, 2024, including accretion of OID and debt investment origination fees, but excluding investments on non-accrual status and investments recorded as a secured borrowing, if any.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Purchases of debt and equity investments for the three months ended March 31, 2025 and 2024 totaled $115,555 and $145,861, respectively. Proceeds from sales and repayments, including principal, return of capital distributions and realized gains, of portfolio investments for the three months ended March 31, 2025 and 2024 totaled $57,343 and $60,247, respectively. </w:t>
      </w:r>
    </w:p>
    <w:p>
      <w:pPr>
        <w:pStyle w:val="TextBody"/>
        <w:bidi w:val="0"/>
        <w:spacing w:before="180" w:after="283"/>
        <w:jc w:val="both"/>
        <w:rPr>
          <w:rFonts w:ascii="Times New Roman" w:hAnsi="Times New Roman"/>
          <w:color w:val="000000"/>
          <w:sz w:val="20"/>
        </w:rPr>
      </w:pPr>
      <w:bookmarkStart w:id="10" w:name="fis_unidentified_table_8"/>
      <w:bookmarkEnd w:id="10"/>
      <w:r>
        <w:rPr>
          <w:rFonts w:ascii="Times New Roman" w:hAnsi="Times New Roman"/>
          <w:color w:val="000000"/>
          <w:sz w:val="20"/>
        </w:rPr>
        <w:t>Investments by type with corresponding percentage of total portfolio investments consisted of the following:</w:t>
      </w:r>
    </w:p>
    <w:tbl>
      <w:tblPr>
        <w:tblW w:w="11112" w:type="dxa"/>
        <w:jc w:val="left"/>
        <w:tblInd w:w="0" w:type="dxa"/>
        <w:tblLayout w:type="fixed"/>
        <w:tblCellMar>
          <w:top w:w="28" w:type="dxa"/>
          <w:left w:w="28" w:type="dxa"/>
          <w:bottom w:w="28" w:type="dxa"/>
          <w:right w:w="28" w:type="dxa"/>
        </w:tblCellMar>
      </w:tblPr>
      <w:tblGrid>
        <w:gridCol w:w="1051"/>
        <w:gridCol w:w="146"/>
        <w:gridCol w:w="196"/>
        <w:gridCol w:w="826"/>
        <w:gridCol w:w="146"/>
        <w:gridCol w:w="146"/>
        <w:gridCol w:w="146"/>
        <w:gridCol w:w="511"/>
        <w:gridCol w:w="241"/>
        <w:gridCol w:w="146"/>
        <w:gridCol w:w="146"/>
        <w:gridCol w:w="196"/>
        <w:gridCol w:w="826"/>
        <w:gridCol w:w="146"/>
        <w:gridCol w:w="146"/>
        <w:gridCol w:w="146"/>
        <w:gridCol w:w="511"/>
        <w:gridCol w:w="241"/>
        <w:gridCol w:w="146"/>
        <w:gridCol w:w="146"/>
        <w:gridCol w:w="196"/>
        <w:gridCol w:w="826"/>
        <w:gridCol w:w="146"/>
        <w:gridCol w:w="146"/>
        <w:gridCol w:w="146"/>
        <w:gridCol w:w="511"/>
        <w:gridCol w:w="241"/>
        <w:gridCol w:w="146"/>
        <w:gridCol w:w="146"/>
        <w:gridCol w:w="196"/>
        <w:gridCol w:w="826"/>
        <w:gridCol w:w="146"/>
        <w:gridCol w:w="146"/>
        <w:gridCol w:w="146"/>
        <w:gridCol w:w="511"/>
        <w:gridCol w:w="24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First Lien Debt</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810,708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1,154,408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1,148,852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1,075,157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5"/>
        <w:gridCol w:w="9910"/>
      </w:tblGrid>
      <w:tr>
        <w:trPr/>
        <w:tc>
          <w:tcPr>
            <w:tcW w:w="295" w:type="dxa"/>
            <w:tcBorders/>
            <w:vAlign w:val="center"/>
          </w:tcPr>
          <w:p>
            <w:pPr>
              <w:pStyle w:val="TableContents"/>
              <w:bidi w:val="0"/>
              <w:spacing w:before="0" w:after="283"/>
              <w:jc w:val="left"/>
              <w:rPr>
                <w:sz w:val="4"/>
                <w:szCs w:val="4"/>
              </w:rPr>
            </w:pPr>
            <w:r>
              <w:rPr>
                <w:sz w:val="4"/>
                <w:szCs w:val="4"/>
              </w:rPr>
            </w:r>
          </w:p>
        </w:tc>
        <w:tc>
          <w:tcPr>
            <w:tcW w:w="9910" w:type="dxa"/>
            <w:tcBorders/>
            <w:vAlign w:val="center"/>
          </w:tcPr>
          <w:p>
            <w:pPr>
              <w:pStyle w:val="TableContents"/>
              <w:bidi w:val="0"/>
              <w:spacing w:before="0" w:after="283"/>
              <w:jc w:val="left"/>
              <w:rPr>
                <w:sz w:val="4"/>
                <w:szCs w:val="4"/>
              </w:rPr>
            </w:pPr>
            <w:r>
              <w:rPr>
                <w:sz w:val="4"/>
                <w:szCs w:val="4"/>
              </w:rPr>
            </w:r>
          </w:p>
        </w:tc>
      </w:tr>
      <w:tr>
        <w:trPr/>
        <w:tc>
          <w:tcPr>
            <w:tcW w:w="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1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Includes unitranche investments, which account for 44.6% and 44.7% of the Company's portfolio on a fair value and cost basis as of March 31, 2025, respectively. Includes unitranche investments, which account for 39.9% and 40.4% of the Company's portfolio on a fair value and cost basis as of December 31, 2024, respectively.</w:t>
            </w:r>
          </w:p>
        </w:tc>
      </w:tr>
    </w:tbl>
    <w:p>
      <w:pPr>
        <w:pStyle w:val="TextBody"/>
        <w:bidi w:val="0"/>
        <w:jc w:val="both"/>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1087" w:type="dxa"/>
        <w:jc w:val="left"/>
        <w:tblInd w:w="0" w:type="dxa"/>
        <w:tblLayout w:type="fixed"/>
        <w:tblCellMar>
          <w:top w:w="28" w:type="dxa"/>
          <w:left w:w="28" w:type="dxa"/>
          <w:bottom w:w="28" w:type="dxa"/>
          <w:right w:w="28" w:type="dxa"/>
        </w:tblCellMar>
      </w:tblPr>
      <w:tblGrid>
        <w:gridCol w:w="926"/>
        <w:gridCol w:w="146"/>
        <w:gridCol w:w="196"/>
        <w:gridCol w:w="826"/>
        <w:gridCol w:w="146"/>
        <w:gridCol w:w="146"/>
        <w:gridCol w:w="146"/>
        <w:gridCol w:w="511"/>
        <w:gridCol w:w="241"/>
        <w:gridCol w:w="146"/>
        <w:gridCol w:w="146"/>
        <w:gridCol w:w="196"/>
        <w:gridCol w:w="826"/>
        <w:gridCol w:w="146"/>
        <w:gridCol w:w="146"/>
        <w:gridCol w:w="146"/>
        <w:gridCol w:w="511"/>
        <w:gridCol w:w="241"/>
        <w:gridCol w:w="146"/>
        <w:gridCol w:w="146"/>
        <w:gridCol w:w="196"/>
        <w:gridCol w:w="826"/>
        <w:gridCol w:w="146"/>
        <w:gridCol w:w="146"/>
        <w:gridCol w:w="146"/>
        <w:gridCol w:w="511"/>
        <w:gridCol w:w="241"/>
        <w:gridCol w:w="146"/>
        <w:gridCol w:w="146"/>
        <w:gridCol w:w="196"/>
        <w:gridCol w:w="826"/>
        <w:gridCol w:w="146"/>
        <w:gridCol w:w="146"/>
        <w:gridCol w:w="146"/>
        <w:gridCol w:w="511"/>
        <w:gridCol w:w="241"/>
        <w:gridCol w:w="291"/>
      </w:tblGrid>
      <w:tr>
        <w:trPr/>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Midwest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Northeast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1,154,408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1,148,852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1,075,157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portfolio composition by type and by geographic region at fair value as a percentage of net assets.</w:t>
      </w:r>
    </w:p>
    <w:p>
      <w:pPr>
        <w:pStyle w:val="TextBody"/>
        <w:bidi w:val="0"/>
        <w:jc w:val="both"/>
        <w:rPr/>
      </w:pPr>
      <w:r>
        <w:rPr/>
        <w:t> </w:t>
      </w:r>
    </w:p>
    <w:tbl>
      <w:tblPr>
        <w:tblW w:w="8609" w:type="dxa"/>
        <w:jc w:val="left"/>
        <w:tblInd w:w="0" w:type="dxa"/>
        <w:tblLayout w:type="fixed"/>
        <w:tblCellMar>
          <w:top w:w="28" w:type="dxa"/>
          <w:left w:w="28" w:type="dxa"/>
          <w:bottom w:w="28" w:type="dxa"/>
          <w:right w:w="28" w:type="dxa"/>
        </w:tblCellMar>
      </w:tblPr>
      <w:tblGrid>
        <w:gridCol w:w="1426"/>
        <w:gridCol w:w="146"/>
        <w:gridCol w:w="190"/>
        <w:gridCol w:w="665"/>
        <w:gridCol w:w="241"/>
        <w:gridCol w:w="146"/>
        <w:gridCol w:w="146"/>
        <w:gridCol w:w="242"/>
        <w:gridCol w:w="853"/>
        <w:gridCol w:w="241"/>
        <w:gridCol w:w="146"/>
        <w:gridCol w:w="246"/>
        <w:gridCol w:w="1006"/>
        <w:gridCol w:w="146"/>
        <w:gridCol w:w="190"/>
        <w:gridCol w:w="665"/>
        <w:gridCol w:w="241"/>
        <w:gridCol w:w="146"/>
        <w:gridCol w:w="146"/>
        <w:gridCol w:w="242"/>
        <w:gridCol w:w="853"/>
        <w:gridCol w:w="28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05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By Type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5"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By Geographic Region</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States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Midwest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Southeast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West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8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166.3</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As of March 31, 2025 and December 31, 2024, the Company had no portfolio company investments that represented more than 10% of the total investment portfolio on a fair value or cost basis. As of March 31, 2025 and December 31, 2024, the Company had no investments that exceeded 5% of total assets.</w:t>
      </w:r>
    </w:p>
    <w:p>
      <w:pPr>
        <w:pStyle w:val="TextBody"/>
        <w:bidi w:val="0"/>
        <w:jc w:val="both"/>
        <w:rPr>
          <w:rFonts w:ascii="Times New Roman" w:hAnsi="Times New Roman"/>
          <w:color w:val="000000"/>
          <w:sz w:val="20"/>
        </w:rPr>
      </w:pPr>
      <w:r>
        <w:rPr>
          <w:rFonts w:ascii="Times New Roman" w:hAnsi="Times New Roman"/>
          <w:color w:val="000000"/>
          <w:sz w:val="20"/>
        </w:rPr>
        <w:t>As of March 31, 2025 and December 31, 2024, the Company had debt investments in four portfolio companies on non-accrual status.</w:t>
      </w:r>
    </w:p>
    <w:p>
      <w:pPr>
        <w:pStyle w:val="TextBody"/>
        <w:bidi w:val="0"/>
        <w:jc w:val="both"/>
        <w:rPr/>
      </w:pPr>
      <w:r>
        <w:rPr/>
        <w:t> </w:t>
      </w:r>
    </w:p>
    <w:tbl>
      <w:tblPr>
        <w:tblW w:w="5973" w:type="dxa"/>
        <w:jc w:val="left"/>
        <w:tblInd w:w="0" w:type="dxa"/>
        <w:tblLayout w:type="fixed"/>
        <w:tblCellMar>
          <w:top w:w="28" w:type="dxa"/>
          <w:left w:w="28" w:type="dxa"/>
          <w:bottom w:w="28" w:type="dxa"/>
          <w:right w:w="28" w:type="dxa"/>
        </w:tblCellMar>
      </w:tblPr>
      <w:tblGrid>
        <w:gridCol w:w="1921"/>
        <w:gridCol w:w="146"/>
        <w:gridCol w:w="181"/>
        <w:gridCol w:w="436"/>
        <w:gridCol w:w="146"/>
        <w:gridCol w:w="146"/>
        <w:gridCol w:w="181"/>
        <w:gridCol w:w="511"/>
        <w:gridCol w:w="146"/>
        <w:gridCol w:w="146"/>
        <w:gridCol w:w="181"/>
        <w:gridCol w:w="511"/>
        <w:gridCol w:w="146"/>
        <w:gridCol w:w="146"/>
        <w:gridCol w:w="181"/>
        <w:gridCol w:w="511"/>
        <w:gridCol w:w="146"/>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Quantum IR Technologies,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US GreenFiber,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Suited Connector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Virtex Enterprises,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8,987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44,375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10,270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44,379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80"/>
        <w:jc w:val="both"/>
        <w:rPr/>
      </w:pPr>
      <w:r>
        <w:rPr/>
        <w:t> </w:t>
      </w:r>
    </w:p>
    <w:p>
      <w:pPr>
        <w:pStyle w:val="TextBody"/>
        <w:bidi w:val="0"/>
        <w:spacing w:before="0" w:after="180"/>
        <w:jc w:val="both"/>
        <w:rPr>
          <w:rFonts w:ascii="Times New Roman" w:hAnsi="Times New Roman"/>
          <w:i/>
          <w:color w:val="000000"/>
          <w:sz w:val="20"/>
        </w:rPr>
      </w:pPr>
      <w:r>
        <w:rPr>
          <w:rFonts w:ascii="Times New Roman" w:hAnsi="Times New Roman"/>
          <w:i/>
          <w:color w:val="000000"/>
          <w:sz w:val="20"/>
        </w:rPr>
        <w:t>Consolidated Schedule of Investments In and Advances To Affiliates</w:t>
      </w:r>
    </w:p>
    <w:p>
      <w:pPr>
        <w:pStyle w:val="TextBody"/>
        <w:bidi w:val="0"/>
        <w:jc w:val="both"/>
        <w:rPr>
          <w:rFonts w:ascii="Times New Roman" w:hAnsi="Times New Roman"/>
          <w:color w:val="000000"/>
          <w:sz w:val="20"/>
        </w:rPr>
      </w:pPr>
      <w:r>
        <w:rPr>
          <w:rFonts w:ascii="Times New Roman" w:hAnsi="Times New Roman"/>
          <w:color w:val="000000"/>
          <w:sz w:val="20"/>
        </w:rPr>
        <w:t>The table below represents the fair value of control and affiliate investments as of December 31, 2024 and any additions and reductions made to such investments during the three months ended March 31, 2025, the ending fair value as of March 31, 2025, and the total investment income earned on such investments during the period.</w:t>
      </w:r>
    </w:p>
    <w:tbl>
      <w:tblPr>
        <w:tblW w:w="10278" w:type="dxa"/>
        <w:jc w:val="left"/>
        <w:tblInd w:w="0" w:type="dxa"/>
        <w:tblLayout w:type="fixed"/>
        <w:tblCellMar>
          <w:top w:w="28" w:type="dxa"/>
          <w:left w:w="28" w:type="dxa"/>
          <w:bottom w:w="28" w:type="dxa"/>
          <w:right w:w="28" w:type="dxa"/>
        </w:tblCellMar>
      </w:tblPr>
      <w:tblGrid>
        <w:gridCol w:w="796"/>
        <w:gridCol w:w="146"/>
        <w:gridCol w:w="146"/>
        <w:gridCol w:w="163"/>
        <w:gridCol w:w="393"/>
        <w:gridCol w:w="146"/>
        <w:gridCol w:w="146"/>
        <w:gridCol w:w="151"/>
        <w:gridCol w:w="406"/>
        <w:gridCol w:w="146"/>
        <w:gridCol w:w="146"/>
        <w:gridCol w:w="151"/>
        <w:gridCol w:w="361"/>
        <w:gridCol w:w="146"/>
        <w:gridCol w:w="146"/>
        <w:gridCol w:w="151"/>
        <w:gridCol w:w="391"/>
        <w:gridCol w:w="146"/>
        <w:gridCol w:w="146"/>
        <w:gridCol w:w="151"/>
        <w:gridCol w:w="361"/>
        <w:gridCol w:w="146"/>
        <w:gridCol w:w="146"/>
        <w:gridCol w:w="151"/>
        <w:gridCol w:w="361"/>
        <w:gridCol w:w="146"/>
        <w:gridCol w:w="146"/>
        <w:gridCol w:w="196"/>
        <w:gridCol w:w="450"/>
        <w:gridCol w:w="146"/>
        <w:gridCol w:w="146"/>
        <w:gridCol w:w="151"/>
        <w:gridCol w:w="346"/>
        <w:gridCol w:w="146"/>
        <w:gridCol w:w="146"/>
        <w:gridCol w:w="228"/>
        <w:gridCol w:w="523"/>
        <w:gridCol w:w="146"/>
        <w:gridCol w:w="146"/>
        <w:gridCol w:w="151"/>
        <w:gridCol w:w="346"/>
        <w:gridCol w:w="146"/>
        <w:gridCol w:w="146"/>
        <w:gridCol w:w="151"/>
        <w:gridCol w:w="346"/>
        <w:gridCol w:w="191"/>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6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Three Months Ended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9"/>
              </w:rPr>
            </w:pPr>
            <w:r>
              <w:rPr>
                <w:rFonts w:ascii="Times New Roman" w:hAnsi="Times New Roman"/>
                <w:b/>
                <w:color w:val="000000"/>
                <w:sz w:val="9"/>
              </w:rPr>
              <w:t xml:space="preserve">Portfolio Company </w:t>
            </w:r>
            <w:r>
              <w:rPr>
                <w:rFonts w:ascii="Times New Roman" w:hAnsi="Times New Roman"/>
                <w:b/>
                <w:color w:val="000000"/>
                <w:sz w:val="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March 31, 2025 Principal Amount - Debt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December 31, 2024</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9"/>
              </w:rPr>
            </w:pPr>
            <w:r>
              <w:rPr>
                <w:rFonts w:ascii="Times New Roman" w:hAnsi="Times New Roman"/>
                <w:b/>
                <w:color w:val="000000"/>
                <w:sz w:val="9"/>
              </w:rPr>
              <w:t xml:space="preserve">Gross Additions </w:t>
            </w:r>
            <w:r>
              <w:rPr>
                <w:rFonts w:ascii="Times New Roman" w:hAnsi="Times New Roman"/>
                <w:b/>
                <w:color w:val="000000"/>
                <w:sz w:val="6"/>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9"/>
              </w:rPr>
            </w:pPr>
            <w:r>
              <w:rPr>
                <w:rFonts w:ascii="Times New Roman" w:hAnsi="Times New Roman"/>
                <w:b/>
                <w:color w:val="000000"/>
                <w:sz w:val="9"/>
              </w:rPr>
              <w:t xml:space="preserve">Gross Reductions </w:t>
            </w:r>
            <w:r>
              <w:rPr>
                <w:rFonts w:ascii="Times New Roman" w:hAnsi="Times New Roman"/>
                <w:b/>
                <w:color w:val="000000"/>
                <w:sz w:val="6"/>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March 31, 2025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9"/>
              </w:rPr>
            </w:pPr>
            <w:r>
              <w:rPr>
                <w:rFonts w:ascii="Times New Roman" w:hAnsi="Times New Roman"/>
                <w:b/>
                <w:color w:val="000000"/>
                <w:sz w:val="9"/>
              </w:rPr>
              <w:t xml:space="preserve">Net Realized Gains (Losses) </w:t>
            </w:r>
            <w:r>
              <w:rPr>
                <w:rFonts w:ascii="Times New Roman" w:hAnsi="Times New Roman"/>
                <w:b/>
                <w:color w:val="000000"/>
                <w:sz w:val="6"/>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Net Change in 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Payment-in-kind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Dividend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9"/>
              </w:rPr>
            </w:pPr>
            <w:r>
              <w:rPr>
                <w:rFonts w:ascii="Times New Roman" w:hAnsi="Times New Roman"/>
                <w:b/>
                <w:color w:val="000000"/>
                <w:sz w:val="9"/>
              </w:rPr>
              <w:t>Fee 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Control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US GreenFiber,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Total Control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5,226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5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5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Applegate Greenfiber Intermediate Inc. (fka US GreenFiber,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9,602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24,387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(1,278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23,109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(1,278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CP Communications,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6,350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6,806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Medsurant Holdings,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9,863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10,066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(19,558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10,066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(6,918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Pfanstiehl,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39,923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42,088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Spectra A&amp;D Acquisition, Inc. (fka FDS Avionics Corp.)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14,921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(393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14,533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(394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545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Steward Holding LLC (dba Steward Advanced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4,624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4,159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9"/>
              </w:rPr>
            </w:pPr>
            <w:r>
              <w:rPr>
                <w:rFonts w:ascii="Times New Roman" w:hAnsi="Times New Roman"/>
                <w:b/>
                <w:color w:val="000000"/>
                <w:sz w:val="9"/>
              </w:rPr>
              <w:t>Total Affiliate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30,952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0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102,024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12,246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(23,204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91,066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6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10,066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45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(6,890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1,094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52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886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9"/>
              </w:rPr>
            </w:pPr>
            <w:r>
              <w:rPr>
                <w:rFonts w:ascii="Times New Roman" w:hAnsi="Times New Roman"/>
                <w:color w:val="000000"/>
                <w:sz w:val="9"/>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9"/>
              </w:rPr>
            </w:pPr>
            <w:r>
              <w:rPr>
                <w:rFonts w:ascii="Times New Roman" w:hAnsi="Times New Roman"/>
                <w:color w:val="000000"/>
                <w:sz w:val="9"/>
              </w:rPr>
              <w:t>8</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investment type, industry, ownership detail for equity investments, interest rate and maturity date for debt investments, and if the investment is income producing is disclosed in the consolidated schedule of investments.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jc w:val="left"/>
        <w:rPr>
          <w:rFonts w:ascii="Times New Roman" w:hAnsi="Times New Roman"/>
          <w:color w:val="000000"/>
          <w:sz w:val="16"/>
        </w:rPr>
      </w:pPr>
      <w:r>
        <w:rPr>
          <w:rFonts w:ascii="Times New Roman" w:hAnsi="Times New Roman"/>
          <w:color w:val="000000"/>
          <w:sz w:val="16"/>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jc w:val="left"/>
        <w:rPr>
          <w:rFonts w:ascii="Times New Roman" w:hAnsi="Times New Roman"/>
          <w:color w:val="000000"/>
          <w:sz w:val="16"/>
        </w:rPr>
      </w:pPr>
      <w:r>
        <w:rPr>
          <w:rFonts w:ascii="Times New Roman" w:hAnsi="Times New Roman"/>
          <w:color w:val="000000"/>
          <w:sz w:val="16"/>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p>
      <w:pPr>
        <w:pStyle w:val="TextBody"/>
        <w:bidi w:val="0"/>
        <w:jc w:val="left"/>
        <w:rPr/>
      </w:pPr>
      <w:r>
        <w:rPr/>
        <w:t> </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table below represents the fair value of control and affiliate investments as of December 31, 2023 and any additions and reductions made to such investments during the year ended December 31, 2024, including the total investment income earned on such investments during the period.</w:t>
      </w:r>
    </w:p>
    <w:tbl>
      <w:tblPr>
        <w:tblW w:w="11147" w:type="dxa"/>
        <w:jc w:val="left"/>
        <w:tblInd w:w="0" w:type="dxa"/>
        <w:tblLayout w:type="fixed"/>
        <w:tblCellMar>
          <w:top w:w="28" w:type="dxa"/>
          <w:left w:w="28" w:type="dxa"/>
          <w:bottom w:w="28" w:type="dxa"/>
          <w:right w:w="28" w:type="dxa"/>
        </w:tblCellMar>
      </w:tblPr>
      <w:tblGrid>
        <w:gridCol w:w="901"/>
        <w:gridCol w:w="146"/>
        <w:gridCol w:w="146"/>
        <w:gridCol w:w="182"/>
        <w:gridCol w:w="479"/>
        <w:gridCol w:w="146"/>
        <w:gridCol w:w="146"/>
        <w:gridCol w:w="166"/>
        <w:gridCol w:w="436"/>
        <w:gridCol w:w="146"/>
        <w:gridCol w:w="146"/>
        <w:gridCol w:w="166"/>
        <w:gridCol w:w="436"/>
        <w:gridCol w:w="146"/>
        <w:gridCol w:w="146"/>
        <w:gridCol w:w="178"/>
        <w:gridCol w:w="438"/>
        <w:gridCol w:w="146"/>
        <w:gridCol w:w="146"/>
        <w:gridCol w:w="166"/>
        <w:gridCol w:w="496"/>
        <w:gridCol w:w="146"/>
        <w:gridCol w:w="146"/>
        <w:gridCol w:w="166"/>
        <w:gridCol w:w="346"/>
        <w:gridCol w:w="146"/>
        <w:gridCol w:w="146"/>
        <w:gridCol w:w="209"/>
        <w:gridCol w:w="512"/>
        <w:gridCol w:w="146"/>
        <w:gridCol w:w="146"/>
        <w:gridCol w:w="166"/>
        <w:gridCol w:w="376"/>
        <w:gridCol w:w="146"/>
        <w:gridCol w:w="146"/>
        <w:gridCol w:w="282"/>
        <w:gridCol w:w="589"/>
        <w:gridCol w:w="146"/>
        <w:gridCol w:w="146"/>
        <w:gridCol w:w="166"/>
        <w:gridCol w:w="376"/>
        <w:gridCol w:w="146"/>
        <w:gridCol w:w="146"/>
        <w:gridCol w:w="166"/>
        <w:gridCol w:w="346"/>
        <w:gridCol w:w="191"/>
      </w:tblGrid>
      <w:tr>
        <w:trPr/>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Year Ended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0"/>
              </w:rPr>
            </w:pPr>
            <w:r>
              <w:rPr>
                <w:rFonts w:ascii="Times New Roman" w:hAnsi="Times New Roman"/>
                <w:b/>
                <w:color w:val="000000"/>
                <w:sz w:val="10"/>
              </w:rPr>
              <w:t xml:space="preserve">Portfolio Company </w:t>
            </w:r>
            <w:r>
              <w:rPr>
                <w:rFonts w:ascii="Times New Roman" w:hAnsi="Times New Roman"/>
                <w:b/>
                <w:color w:val="000000"/>
                <w:sz w:val="7"/>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2024 Principal Amount - Debt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2023</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Gross Additions </w:t>
            </w:r>
            <w:r>
              <w:rPr>
                <w:rFonts w:ascii="Times New Roman" w:hAnsi="Times New Roman"/>
                <w:b/>
                <w:color w:val="000000"/>
                <w:sz w:val="7"/>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Gross Reductions </w:t>
            </w:r>
            <w:r>
              <w:rPr>
                <w:rFonts w:ascii="Times New Roman" w:hAnsi="Times New Roman"/>
                <w:b/>
                <w:color w:val="000000"/>
                <w:sz w:val="7"/>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December 31, 2024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0"/>
              </w:rPr>
            </w:pPr>
            <w:r>
              <w:rPr>
                <w:rFonts w:ascii="Times New Roman" w:hAnsi="Times New Roman"/>
                <w:b/>
                <w:color w:val="000000"/>
                <w:sz w:val="10"/>
              </w:rPr>
              <w:t xml:space="preserve">Net Realized Gains (Losses) </w:t>
            </w:r>
            <w:r>
              <w:rPr>
                <w:rFonts w:ascii="Times New Roman" w:hAnsi="Times New Roman"/>
                <w:b/>
                <w:color w:val="000000"/>
                <w:sz w:val="7"/>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Net Change in 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Payment-in-kind 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Dividend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0"/>
              </w:rPr>
            </w:pPr>
            <w:r>
              <w:rPr>
                <w:rFonts w:ascii="Times New Roman" w:hAnsi="Times New Roman"/>
                <w:b/>
                <w:color w:val="000000"/>
                <w:sz w:val="10"/>
              </w:rPr>
              <w:t>Fee Income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Control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US GreenFiber,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Control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5,226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Applegate Greenfiber Intermediate Inc. (fka US GreenFiber,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9,602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24,590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24,387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CP Communications,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7,859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Medsurant Holdings,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5,930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9,863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4,261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1,328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Pfanstiehl,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33,321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39,923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6,602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Spectra A&amp;D Acquisition, Inc. (fka FDS Avionics Corp.)</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15,321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2,217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14,921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(2,617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2,371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Steward Holding LLC (dba Steward Advanced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4,714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4,624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0"/>
              </w:rPr>
            </w:pPr>
            <w:r>
              <w:rPr>
                <w:rFonts w:ascii="Times New Roman" w:hAnsi="Times New Roman"/>
                <w:b/>
                <w:color w:val="000000"/>
                <w:sz w:val="10"/>
              </w:rPr>
              <w:t>Total Affiliate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7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32,461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83,876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21,441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38"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(3,293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4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102,024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1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7,954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3,533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589"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9</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7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0"/>
              </w:rPr>
            </w:pPr>
            <w:r>
              <w:rPr>
                <w:rFonts w:ascii="Times New Roman" w:hAnsi="Times New Roman"/>
                <w:color w:val="000000"/>
                <w:sz w:val="10"/>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0"/>
              </w:rPr>
            </w:pPr>
            <w:r>
              <w:rPr>
                <w:rFonts w:ascii="Times New Roman" w:hAnsi="Times New Roman"/>
                <w:color w:val="000000"/>
                <w:sz w:val="10"/>
              </w:rPr>
              <w:t>183</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
        <w:gridCol w:w="9918"/>
      </w:tblGrid>
      <w:tr>
        <w:trPr/>
        <w:tc>
          <w:tcPr>
            <w:tcW w:w="287" w:type="dxa"/>
            <w:tcBorders/>
            <w:vAlign w:val="center"/>
          </w:tcPr>
          <w:p>
            <w:pPr>
              <w:pStyle w:val="TableContents"/>
              <w:bidi w:val="0"/>
              <w:spacing w:before="0" w:after="283"/>
              <w:jc w:val="left"/>
              <w:rPr>
                <w:sz w:val="4"/>
                <w:szCs w:val="4"/>
              </w:rPr>
            </w:pPr>
            <w:r>
              <w:rPr>
                <w:sz w:val="4"/>
                <w:szCs w:val="4"/>
              </w:rPr>
            </w:r>
          </w:p>
        </w:tc>
        <w:tc>
          <w:tcPr>
            <w:tcW w:w="9918" w:type="dxa"/>
            <w:tcBorders/>
            <w:vAlign w:val="center"/>
          </w:tcPr>
          <w:p>
            <w:pPr>
              <w:pStyle w:val="TableContents"/>
              <w:bidi w:val="0"/>
              <w:spacing w:before="0" w:after="283"/>
              <w:jc w:val="left"/>
              <w:rPr>
                <w:sz w:val="4"/>
                <w:szCs w:val="4"/>
              </w:rPr>
            </w:pPr>
            <w:r>
              <w:rPr>
                <w:sz w:val="4"/>
                <w:szCs w:val="4"/>
              </w:rPr>
            </w:r>
          </w:p>
        </w:tc>
      </w:tr>
      <w:tr>
        <w:trPr/>
        <w:tc>
          <w:tcPr>
            <w:tcW w:w="2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investment type, industry, ownership detail for equity investments, interest rate and maturity date for debt investments, and if the investment is income producing is disclosed in the consolidated schedule of investments.</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4. Fair Value Measurements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pStyle w:val="TextBody"/>
        <w:bidi w:val="0"/>
        <w:spacing w:before="180" w:after="283"/>
        <w:jc w:val="both"/>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Inputs are unadjusted, quoted prices in active markets for identical assets as of the measurement date.</w:t>
      </w:r>
    </w:p>
    <w:p>
      <w:pPr>
        <w:pStyle w:val="TextBody"/>
        <w:bidi w:val="0"/>
        <w:spacing w:before="180" w:after="283"/>
        <w:jc w:val="both"/>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Inputs include quoted prices for similar assets in active markets, or that are quoted prices for identical or similar assets in markets that are not active and inputs that are observable, either directly or indirectly, for substantially the full term, if applicable, of the investment.</w:t>
      </w:r>
    </w:p>
    <w:p>
      <w:pPr>
        <w:pStyle w:val="TextBody"/>
        <w:bidi w:val="0"/>
        <w:spacing w:before="180" w:after="283"/>
        <w:jc w:val="both"/>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Inputs include those that are both unobservable and significant to the overall fair value measurement.</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with the exception of money market funds, which are valued using Level 1 inputs as of March 31, 2025. Therefore, the Company values such portfolio investments at fair value, as determined in good faith by the Board, using Level 3 inputs with the exception of money market funds that were valued using Level 1 inputs as of March 31, 2025. The degree of judgment exercised by the Board in determining fair value is greatest for investments classified as Level 3 inputs. Due to the inherent uncertainty of determining the fair values of investments that do not have readily available market quotations,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With respect to investments for which market quotations are not readily available, the Board undertakes a multi-step valuation process each quarter, as described below: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quarterly valuation process begins with each portfolio company or investment being initially evaluated and rated by the investment professionals of the Investment Advisor responsible for the portfolio investment;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preliminary valuation conclusions are then documented and discussed with the investment committee of the Investment Advisor;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audit committee of the Board reviews the preliminary valuations of the Investment Advisor and of the independent valuation firm(s) and responds and supplements the valuation recommendations to reflect any comments;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discusses these valuations and determines the fair value of each investment in our portfolio in good faith, based on the input of the Investment Advisor, the independent valuation firm(s) and the audit committee.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Board consulted with the independent third-party valuation firm(s) in arriving at our determination of fair value for 18 and 21 of our portfolio company investments representing 28.3% and 27.5% of the total portfolio investments at fair value (exclusive of new portfolio company investments made during the three months ended March 31, 2025 and December 31, 2024, respectively) as of March 31, 2025 and December 31, 2024,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For the Company’s equity investments, including equity securities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may also utilize an income approach when estimating the fair value of its equity investments,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pStyle w:val="TextBody"/>
        <w:bidi w:val="0"/>
        <w:spacing w:before="180" w:after="240"/>
        <w:jc w:val="both"/>
        <w:rPr>
          <w:rFonts w:ascii="Times New Roman" w:hAnsi="Times New Roman"/>
          <w:color w:val="000000"/>
          <w:sz w:val="20"/>
        </w:rPr>
      </w:pPr>
      <w:r>
        <w:rPr>
          <w:rFonts w:ascii="Times New Roman" w:hAnsi="Times New Roman"/>
          <w:color w:val="000000"/>
          <w:sz w:val="20"/>
        </w:rPr>
        <w:t>The following tables present fair value measurements of investments by major class according to the fair value hierarchy:</w:t>
      </w:r>
    </w:p>
    <w:tbl>
      <w:tblPr>
        <w:tblW w:w="6430" w:type="dxa"/>
        <w:jc w:val="left"/>
        <w:tblInd w:w="0" w:type="dxa"/>
        <w:tblLayout w:type="fixed"/>
        <w:tblCellMar>
          <w:top w:w="28" w:type="dxa"/>
          <w:left w:w="28" w:type="dxa"/>
          <w:bottom w:w="28" w:type="dxa"/>
          <w:right w:w="28" w:type="dxa"/>
        </w:tblCellMar>
      </w:tblPr>
      <w:tblGrid>
        <w:gridCol w:w="1681"/>
        <w:gridCol w:w="196"/>
        <w:gridCol w:w="146"/>
        <w:gridCol w:w="601"/>
        <w:gridCol w:w="146"/>
        <w:gridCol w:w="196"/>
        <w:gridCol w:w="190"/>
        <w:gridCol w:w="455"/>
        <w:gridCol w:w="146"/>
        <w:gridCol w:w="196"/>
        <w:gridCol w:w="146"/>
        <w:gridCol w:w="826"/>
        <w:gridCol w:w="146"/>
        <w:gridCol w:w="196"/>
        <w:gridCol w:w="146"/>
        <w:gridCol w:w="82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 Lien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800,924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 Lien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137,471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1,154,408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1,217,024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430" w:type="dxa"/>
        <w:jc w:val="left"/>
        <w:tblInd w:w="0" w:type="dxa"/>
        <w:tblLayout w:type="fixed"/>
        <w:tblCellMar>
          <w:top w:w="28" w:type="dxa"/>
          <w:left w:w="28" w:type="dxa"/>
          <w:bottom w:w="28" w:type="dxa"/>
          <w:right w:w="28" w:type="dxa"/>
        </w:tblCellMar>
      </w:tblPr>
      <w:tblGrid>
        <w:gridCol w:w="1681"/>
        <w:gridCol w:w="196"/>
        <w:gridCol w:w="146"/>
        <w:gridCol w:w="601"/>
        <w:gridCol w:w="146"/>
        <w:gridCol w:w="196"/>
        <w:gridCol w:w="190"/>
        <w:gridCol w:w="455"/>
        <w:gridCol w:w="146"/>
        <w:gridCol w:w="196"/>
        <w:gridCol w:w="146"/>
        <w:gridCol w:w="826"/>
        <w:gridCol w:w="146"/>
        <w:gridCol w:w="196"/>
        <w:gridCol w:w="146"/>
        <w:gridCol w:w="826"/>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First Lien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718,120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Second Lien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Debt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138,371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Money Market Funds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1,139,221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 transfers among Levels 1, 2, and 3 during the three months ended March 31, 2025 and 2024.</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tables present a reconciliation of the beginning and ending balances for fair valued investments measured using significant unobservable inputs (Level 3) for the three months ended March 31,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49"/>
        <w:gridCol w:w="146"/>
        <w:gridCol w:w="181"/>
        <w:gridCol w:w="586"/>
        <w:gridCol w:w="151"/>
        <w:gridCol w:w="146"/>
        <w:gridCol w:w="191"/>
        <w:gridCol w:w="623"/>
        <w:gridCol w:w="151"/>
        <w:gridCol w:w="146"/>
        <w:gridCol w:w="216"/>
        <w:gridCol w:w="700"/>
        <w:gridCol w:w="151"/>
        <w:gridCol w:w="146"/>
        <w:gridCol w:w="181"/>
        <w:gridCol w:w="586"/>
        <w:gridCol w:w="151"/>
        <w:gridCol w:w="146"/>
        <w:gridCol w:w="188"/>
        <w:gridCol w:w="503"/>
        <w:gridCol w:w="151"/>
        <w:gridCol w:w="146"/>
        <w:gridCol w:w="181"/>
        <w:gridCol w:w="691"/>
        <w:gridCol w:w="198"/>
      </w:tblGrid>
      <w:tr>
        <w:trPr/>
        <w:tc>
          <w:tcPr>
            <w:tcW w:w="3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First Lien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Second Lien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Subordinated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Warrants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578,140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119,561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135,173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957,649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96,142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145,861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sales and repayments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(41,963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(60,247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and dividend income paid-in-kind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loan origination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Accretion of loan origination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Accretion of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633,290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134,749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148,387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125,441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5,951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1,047,818</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718,120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83,543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142,839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138,371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1,090,506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realized gains (losses)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13,330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change in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(9,793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104,846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115,555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sales and repayments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(23,729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(16,690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(57,343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and dividend income paid-in-kind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loan origination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Accretion of loan origination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Accretion of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800,924</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88,794</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126,932</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137,471</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287</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1,154,408</w:t>
            </w:r>
          </w:p>
        </w:tc>
        <w:tc>
          <w:tcPr>
            <w:tcW w:w="1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change in unrealized appreciation/(depreciation) of $(6,416) for the three months ended March 31, 2025 was attributable to Level 3 investments held at March 31, 2025. Net change in unrealized appreciation/(depreciation) of $2,840 for the three months ended March 31, 2024 was attributable to Level 3 investments held at March 31, 2024.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tables summarize the significant unobservable inputs by valuation technique used to determine the fair value of the Company’s Level 3 debt and equity investments as of March 31, 2025 and December 31, 2024. The tables are not intended to be all-inclusive, but instead capture the significant unobservable inputs relevant to the Company’s determination of fair values.</w:t>
      </w:r>
    </w:p>
    <w:p>
      <w:pPr>
        <w:pStyle w:val="TextBody"/>
        <w:bidi w:val="0"/>
        <w:jc w:val="both"/>
        <w:rPr/>
      </w:pPr>
      <w:r>
        <w:rPr/>
        <w:t> </w:t>
      </w:r>
    </w:p>
    <w:tbl>
      <w:tblPr>
        <w:tblW w:w="9839" w:type="dxa"/>
        <w:jc w:val="left"/>
        <w:tblInd w:w="0" w:type="dxa"/>
        <w:tblLayout w:type="fixed"/>
        <w:tblCellMar>
          <w:top w:w="28" w:type="dxa"/>
          <w:left w:w="28" w:type="dxa"/>
          <w:bottom w:w="28" w:type="dxa"/>
          <w:right w:w="28" w:type="dxa"/>
        </w:tblCellMar>
      </w:tblPr>
      <w:tblGrid>
        <w:gridCol w:w="1666"/>
        <w:gridCol w:w="146"/>
        <w:gridCol w:w="284"/>
        <w:gridCol w:w="1006"/>
        <w:gridCol w:w="146"/>
        <w:gridCol w:w="146"/>
        <w:gridCol w:w="1906"/>
        <w:gridCol w:w="146"/>
        <w:gridCol w:w="2386"/>
        <w:gridCol w:w="146"/>
        <w:gridCol w:w="18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Techniques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 average)</w:t>
            </w:r>
            <w:r>
              <w:rPr>
                <w:rFonts w:ascii="Times New Roman" w:hAnsi="Times New Roman"/>
                <w:b/>
                <w:color w:val="000000"/>
                <w:sz w:val="12"/>
              </w:rPr>
              <w:t>(1)</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6.9% - 30.0% (13.8%)</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 Coverage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1.0x - 1.0x (1.0x)</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1.3x - 1.3x (1.3x)</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Discounted cash flow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12.6% - 69.5% (19.5%)</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Subordinated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 - 20.0% (13.3%)</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3.5x - 30.0x (10.7x)</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0.8x - 9.0x (6.3x)</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3.5x - 3.5x (3.5x)</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4.0x - 4.0x (4.0x)</w:t>
            </w:r>
          </w:p>
        </w:tc>
      </w:tr>
    </w:tbl>
    <w:p>
      <w:pPr>
        <w:pStyle w:val="TextBody"/>
        <w:bidi w:val="0"/>
        <w:spacing w:before="180" w:after="283"/>
        <w:jc w:val="both"/>
        <w:rPr>
          <w:rFonts w:ascii="Times New Roman" w:hAnsi="Times New Roman"/>
          <w:color w:val="000000"/>
          <w:sz w:val="16"/>
        </w:rPr>
      </w:pPr>
      <w:r>
        <w:rPr>
          <w:rFonts w:ascii="Times New Roman" w:hAnsi="Times New Roman"/>
          <w:color w:val="000000"/>
          <w:sz w:val="16"/>
        </w:rPr>
        <w:t>(1) Unobservable inputs were weighted by the relative fair value of the instruments.</w:t>
      </w:r>
    </w:p>
    <w:p>
      <w:pPr>
        <w:pStyle w:val="TextBody"/>
        <w:bidi w:val="0"/>
        <w:jc w:val="both"/>
        <w:rPr>
          <w:rFonts w:ascii="Times New Roman" w:hAnsi="Times New Roman"/>
          <w:sz w:val="20"/>
        </w:rPr>
      </w:pPr>
      <w:r>
        <w:rPr>
          <w:rFonts w:ascii="Times New Roman" w:hAnsi="Times New Roman"/>
          <w:color w:val="000000"/>
          <w:sz w:val="16"/>
        </w:rPr>
        <w:t>(2) Includes $9.7</w:t>
      </w:r>
      <w:r>
        <w:rPr>
          <w:rFonts w:ascii="Times New Roman" w:hAnsi="Times New Roman"/>
          <w:color w:val="000000"/>
          <w:sz w:val="20"/>
        </w:rPr>
        <w:t xml:space="preserve"> </w:t>
      </w:r>
      <w:r>
        <w:rPr>
          <w:rFonts w:ascii="Times New Roman" w:hAnsi="Times New Roman"/>
          <w:color w:val="000000"/>
          <w:sz w:val="16"/>
        </w:rPr>
        <w:t>million of debt investments which were valued using a trading discount to par.</w:t>
      </w:r>
    </w:p>
    <w:p>
      <w:pPr>
        <w:pStyle w:val="TextBody"/>
        <w:bidi w:val="0"/>
        <w:spacing w:before="18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10094" w:type="dxa"/>
        <w:jc w:val="left"/>
        <w:tblInd w:w="0" w:type="dxa"/>
        <w:tblLayout w:type="fixed"/>
        <w:tblCellMar>
          <w:top w:w="28" w:type="dxa"/>
          <w:left w:w="28" w:type="dxa"/>
          <w:bottom w:w="28" w:type="dxa"/>
          <w:right w:w="28" w:type="dxa"/>
        </w:tblCellMar>
      </w:tblPr>
      <w:tblGrid>
        <w:gridCol w:w="1666"/>
        <w:gridCol w:w="146"/>
        <w:gridCol w:w="341"/>
        <w:gridCol w:w="1204"/>
        <w:gridCol w:w="146"/>
        <w:gridCol w:w="146"/>
        <w:gridCol w:w="1906"/>
        <w:gridCol w:w="146"/>
        <w:gridCol w:w="2386"/>
        <w:gridCol w:w="146"/>
        <w:gridCol w:w="18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 at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Unobservable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Range</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Techniques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(weighted average)</w:t>
            </w:r>
            <w:r>
              <w:rPr>
                <w:rFonts w:ascii="Times New Roman" w:hAnsi="Times New Roman"/>
                <w:b/>
                <w:color w:val="000000"/>
                <w:sz w:val="12"/>
              </w:rPr>
              <w:t>(1)</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7.8% - 26.2% (14.5%)</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 Coverage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1.0x - 1.0x (1.0x)</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Enterprise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EBITDA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4.3x - 4.3x (4.3x)</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Discounted cash flow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13.4% - 55.5% (20.7%)</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 Pricing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Volatility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85.0% - 85.0% (85.0%)</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Discounted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cost of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 - 20.0% (13.2%)</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3.5x - 30.0x (11.0x)</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0.8x - 9.0x (6.6x)</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EBITDA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3.5x - 3.5x (3.5x)</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Enterprise value waterfall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4.0x - 4.0x (4.0x)</w:t>
            </w:r>
          </w:p>
        </w:tc>
      </w:tr>
    </w:tbl>
    <w:p>
      <w:pPr>
        <w:pStyle w:val="TextBody"/>
        <w:bidi w:val="0"/>
        <w:spacing w:before="180" w:after="283"/>
        <w:jc w:val="both"/>
        <w:rPr>
          <w:rFonts w:ascii="Times New Roman" w:hAnsi="Times New Roman"/>
          <w:color w:val="000000"/>
          <w:sz w:val="16"/>
        </w:rPr>
      </w:pPr>
      <w:r>
        <w:rPr>
          <w:rFonts w:ascii="Times New Roman" w:hAnsi="Times New Roman"/>
          <w:color w:val="000000"/>
          <w:sz w:val="16"/>
        </w:rPr>
        <w:t>(1) Unobservable inputs were weighted by the relative fair value of the instruments.</w:t>
      </w:r>
    </w:p>
    <w:p>
      <w:pPr>
        <w:pStyle w:val="TextBody"/>
        <w:bidi w:val="0"/>
        <w:jc w:val="both"/>
        <w:rPr>
          <w:rFonts w:ascii="Times New Roman" w:hAnsi="Times New Roman"/>
          <w:sz w:val="20"/>
        </w:rPr>
      </w:pPr>
      <w:r>
        <w:rPr>
          <w:rFonts w:ascii="Times New Roman" w:hAnsi="Times New Roman"/>
          <w:color w:val="000000"/>
          <w:sz w:val="16"/>
        </w:rPr>
        <w:t>(2) Includes $9.6</w:t>
      </w:r>
      <w:r>
        <w:rPr>
          <w:rFonts w:ascii="Times New Roman" w:hAnsi="Times New Roman"/>
          <w:color w:val="000000"/>
          <w:sz w:val="20"/>
        </w:rPr>
        <w:t xml:space="preserve"> </w:t>
      </w:r>
      <w:r>
        <w:rPr>
          <w:rFonts w:ascii="Times New Roman" w:hAnsi="Times New Roman"/>
          <w:color w:val="000000"/>
          <w:sz w:val="16"/>
        </w:rPr>
        <w:t>million of debt investments which were valued using a trading discount to par.</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significant unobservable input used in determining fair value under the option pricing technique (or Black-Scholes model) is volatility. Significant increases (or decreases) in this input could result in significantly higher (or lower) fair value estimates.</w:t>
      </w:r>
    </w:p>
    <w:p>
      <w:pPr>
        <w:pStyle w:val="TextBody"/>
        <w:bidi w:val="0"/>
        <w:spacing w:before="0" w:after="180"/>
        <w:jc w:val="both"/>
        <w:rPr>
          <w:rFonts w:ascii="Times New Roman" w:hAnsi="Times New Roman"/>
          <w:i/>
          <w:color w:val="000000"/>
          <w:sz w:val="20"/>
        </w:rPr>
      </w:pPr>
      <w:r>
        <w:rPr>
          <w:rFonts w:ascii="Times New Roman" w:hAnsi="Times New Roman"/>
          <w:i/>
          <w:color w:val="000000"/>
          <w:sz w:val="20"/>
        </w:rPr>
        <w:t>Other Financial Assets and Liabilities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 xml:space="preserve">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the SBA debentures, and the Notes (as defined in Note 6) are recorded at their respective carrying values.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tables summarize the carrying value and fair value of the Company’s debt obligations as of March 31, 2025 and December 31, 2024.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9029" w:type="dxa"/>
        <w:jc w:val="left"/>
        <w:tblInd w:w="0" w:type="dxa"/>
        <w:tblLayout w:type="fixed"/>
        <w:tblCellMar>
          <w:top w:w="28" w:type="dxa"/>
          <w:left w:w="28" w:type="dxa"/>
          <w:bottom w:w="28" w:type="dxa"/>
          <w:right w:w="28" w:type="dxa"/>
        </w:tblCellMar>
      </w:tblPr>
      <w:tblGrid>
        <w:gridCol w:w="2476"/>
        <w:gridCol w:w="146"/>
        <w:gridCol w:w="351"/>
        <w:gridCol w:w="1299"/>
        <w:gridCol w:w="146"/>
        <w:gridCol w:w="146"/>
        <w:gridCol w:w="217"/>
        <w:gridCol w:w="803"/>
        <w:gridCol w:w="146"/>
        <w:gridCol w:w="146"/>
        <w:gridCol w:w="351"/>
        <w:gridCol w:w="1299"/>
        <w:gridCol w:w="146"/>
        <w:gridCol w:w="146"/>
        <w:gridCol w:w="217"/>
        <w:gridCol w:w="803"/>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March 31, 2025</w:t>
            </w:r>
            <w:r>
              <w:rPr>
                <w:rFonts w:ascii="Times New Roman" w:hAnsi="Times New Roman"/>
                <w:b/>
                <w:color w:val="000000"/>
                <w:sz w:val="13"/>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December 31, 2024</w:t>
            </w:r>
            <w:r>
              <w:rPr>
                <w:rFonts w:ascii="Times New Roman" w:hAnsi="Times New Roman"/>
                <w:b/>
                <w:color w:val="000000"/>
                <w:sz w:val="13"/>
              </w:rPr>
              <w:t>(5)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Carrying Value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Carrying Value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SBA debentures </w:t>
            </w:r>
            <w:r>
              <w:rPr>
                <w:rFonts w:ascii="Times New Roman" w:hAnsi="Times New Roman"/>
                <w:color w:val="000000"/>
                <w:sz w:val="13"/>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Credit Facility borrowings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January 2026 Notes </w:t>
            </w:r>
            <w:r>
              <w:rPr>
                <w:rFonts w:ascii="Times New Roman" w:hAnsi="Times New Roman"/>
                <w:color w:val="000000"/>
                <w:sz w:val="13"/>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120,188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November 2026 Notes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March 2030 Notes </w:t>
            </w:r>
            <w:r>
              <w:rPr>
                <w:rFonts w:ascii="Times New Roman" w:hAnsi="Times New Roman"/>
                <w:color w:val="000000"/>
                <w:sz w:val="13"/>
              </w:rPr>
              <w:t>(4)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93,471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2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Carrying value represents the outstanding principal balance of the debt obligation.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fair value of borrowings under the Credit Facility, if valued under ASC Topic 820, are based on a market yield approach and current interest rates, which are Level 3 inputs to the market yield model.</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fair value of the January 2026 Notes (as defined in Note 6), the November 2026 Notes (as defined in Note 6), and the March 2030 Notes (as defined in Note 6) are estimated by discounting the remaining payments using current market rates for similar instruments and considering such factors as the legal maturity date, which are Level 3 inputs under ASC Topic 820.</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jc w:val="both"/>
        <w:rPr>
          <w:rFonts w:ascii="Times New Roman" w:hAnsi="Times New Roman"/>
          <w:sz w:val="20"/>
        </w:rPr>
      </w:pPr>
      <w:r>
        <w:rPr>
          <w:rFonts w:ascii="Times New Roman" w:hAnsi="Times New Roman"/>
          <w:color w:val="000000"/>
          <w:sz w:val="16"/>
        </w:rPr>
        <w:t>Totals exclude $13,601</w:t>
      </w:r>
      <w:r>
        <w:rPr>
          <w:rFonts w:ascii="Times New Roman" w:hAnsi="Times New Roman"/>
          <w:color w:val="000000"/>
          <w:sz w:val="20"/>
        </w:rPr>
        <w:t xml:space="preserve"> </w:t>
      </w:r>
      <w:r>
        <w:rPr>
          <w:rFonts w:ascii="Times New Roman" w:hAnsi="Times New Roman"/>
          <w:color w:val="000000"/>
          <w:sz w:val="16"/>
        </w:rPr>
        <w:t>and $13,674</w:t>
      </w:r>
      <w:r>
        <w:rPr>
          <w:rFonts w:ascii="Times New Roman" w:hAnsi="Times New Roman"/>
          <w:color w:val="000000"/>
          <w:sz w:val="20"/>
        </w:rPr>
        <w:t xml:space="preserve"> </w:t>
      </w:r>
      <w:r>
        <w:rPr>
          <w:rFonts w:ascii="Times New Roman" w:hAnsi="Times New Roman"/>
          <w:color w:val="000000"/>
          <w:sz w:val="16"/>
        </w:rPr>
        <w:t>of Secured Borrowings as of March 31, 2025 and December 31, 2024,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inputs used to value the Company’s debt obligations if measured at fair value as of March 31, 2025 and December 31, 2024.</w:t>
      </w:r>
    </w:p>
    <w:p>
      <w:pPr>
        <w:pStyle w:val="TextBody"/>
        <w:bidi w:val="0"/>
        <w:jc w:val="both"/>
        <w:rPr/>
      </w:pPr>
      <w:r>
        <w:rPr/>
        <w:t> </w:t>
      </w:r>
    </w:p>
    <w:tbl>
      <w:tblPr>
        <w:tblW w:w="4412" w:type="dxa"/>
        <w:jc w:val="left"/>
        <w:tblInd w:w="0" w:type="dxa"/>
        <w:tblLayout w:type="fixed"/>
        <w:tblCellMar>
          <w:top w:w="28" w:type="dxa"/>
          <w:left w:w="28" w:type="dxa"/>
          <w:bottom w:w="28" w:type="dxa"/>
          <w:right w:w="28" w:type="dxa"/>
        </w:tblCellMar>
      </w:tblPr>
      <w:tblGrid>
        <w:gridCol w:w="1531"/>
        <w:gridCol w:w="146"/>
        <w:gridCol w:w="211"/>
        <w:gridCol w:w="781"/>
        <w:gridCol w:w="146"/>
        <w:gridCol w:w="146"/>
        <w:gridCol w:w="268"/>
        <w:gridCol w:w="992"/>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Valuation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5. Related Party Transactions</w:t>
      </w:r>
    </w:p>
    <w:p>
      <w:pPr>
        <w:pStyle w:val="TextBody"/>
        <w:bidi w:val="0"/>
        <w:spacing w:before="180" w:after="283"/>
        <w:jc w:val="both"/>
        <w:rPr>
          <w:rFonts w:ascii="Times New Roman" w:hAnsi="Times New Roman"/>
          <w:sz w:val="20"/>
        </w:rPr>
      </w:pPr>
      <w:r>
        <w:rPr>
          <w:rFonts w:ascii="Times New Roman" w:hAnsi="Times New Roman"/>
          <w:i/>
          <w:color w:val="000000"/>
          <w:sz w:val="20"/>
        </w:rPr>
        <w:t>Investment Advisory Agreement:</w:t>
      </w:r>
      <w:r>
        <w:rPr>
          <w:rFonts w:ascii="Times New Roman" w:hAnsi="Times New Roman"/>
          <w:color w:val="000000"/>
          <w:sz w:val="20"/>
        </w:rPr>
        <w:t xml:space="preserve"> The Company has entered into an Investment Advisory Agreement with the Investment Advisor. Most recently, on June 12, 2024, the Board approved the renewal of the Investment Advisory Agreement for the period from June 20, 2024 through June 20, 2025.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base management fee is calculated at an annual rate of 1.75% based on the average value of total assets (other than cash or cash equivalents but including assets purchased with borrowed amounts) at the end of the two most recently completed calendar quarters. The Board accepted a voluntary, non-contractual, and unconditional waiver from the Investment Advisor to exclude any investments recorded as secured borrowings as defined under GAAP from the base management fee payable effective April 1, 2021. See Note 6. Borrowings – Secured Borrowings for more information about the secured borrowings. The base management fee is payable quarterly in arrears. The base management fee under the Investment Advisory Agreement for the three months ended March 31, 2025 and 2024 was $4,922 and $4,432, respectively. The base management fee waiver for the three months ended March 31, 2025 and 2024 was $59 and $69, respectively. Accordingly, as of March 31, 2025 and December 31, 2024, the base management fee payable (net of the base management fee waiver) was $4,863 and $4,805, respectively.</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and accrued income the Company has not yet received in cash. The Investment Advisor is not under any obligation to reimburse the Company for any part of the incentive fee it receives that was based on accrued interest that the Company never collects.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Company pays the Investment Advisor an incentive fee with respect to pre-incentive fee net investment income in each calendar quarter as follows:</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color w:val="000000"/>
          <w:sz w:val="20"/>
        </w:rPr>
        <w:t>no</w:t>
      </w:r>
      <w:r>
        <w:rPr>
          <w:color w:val="000000"/>
        </w:rPr>
        <w:t xml:space="preserve"> </w:t>
      </w:r>
      <w:r>
        <w:rPr>
          <w:rFonts w:ascii="Times New Roman" w:hAnsi="Times New Roman"/>
          <w:color w:val="000000"/>
          <w:sz w:val="20"/>
        </w:rPr>
        <w:t>incentive fee in any calendar quarter in which the pre-incentive fee net investment income does not exceed the hurdle rate of 2.0%;</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20.0% of the amount of the Company’s pre-incentive fee net investment income, if any, that exceeds 2.5% in any calendar quarter.</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sum of the calculations above equals the income incentive fee. The income incentive fee is appropriately prorated for any period of less than three months and adjusted for any share issuances or repurchases during the calendar quarter. The income incentive fee for the three months ended March 31, 2025 and 2024 was $4,594 and $4,467, respectively. As of March 31, 2025 and December 31, 2024, the income incentive fee payable was $4,594 and $4,477, respectively.</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Company's IPO on June 24, 2011 (realized capital gains and losses include realized gains and losses on investments, net of income tax provision from realized gains on investments, and realized losses on extinguishment of debt, but excluding income tax (provision) benefit from deemed distribution of long term capital gains),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tax (provision) benefit on realized gains (losses),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As of March 31, 2025 and December 31, 2024, the capital gains incentive fee payable in cash was zero and zero, respectively. The aggregate amount of capital gains incentive fees paid from the IPO through March 31, 2025 was $17,577.</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the Company accrues, but does not pay in cash, a capital gains incentive fee in connection with any unrealized capital appreciation on investments, as applicable. If, on a cumulative basis, the sum of (i) net realized gains/(losses) on investments, net of income tax (provision) benefit from realized gains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 (i) net realized gains/(losses) on investments, net of income tax (provision) benefit from realized gains on investments plus (ii) net unrealized appreciation/(depreciation) on investments plus (iii) realized losses on extinguishment of debt. The capital gains incentive fee accrued (reversed) during the three months ended March 31, 2025 and 2024 was $287 and $499, respectively. As of March 31, 2025 and December 31, 2024, the accrued capital gains incentive fee payable was $14,990 and $14,703,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 days’ written notice to the other. The Investment Advisory Agreement may be terminated at any time, without the payment of any penalty, upon 60 days' written notice, by the vote of holders of a majority of the outstanding voting securities of the Company or the vote of the Board.</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Administration Agreement: </w:t>
      </w:r>
      <w:r>
        <w:rPr>
          <w:rFonts w:ascii="Times New Roman" w:hAnsi="Times New Roman"/>
          <w:color w:val="000000"/>
          <w:sz w:val="20"/>
        </w:rPr>
        <w:t>The Company also entered into an administration agreement (the “Administration Agreement”) with the Investment Advisor. On June 12, 2024, the Board approved the renewal of the Administration Agreement for the period from June 20, 2024 through June 20, 2025.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on the Company's behalf to those portfolio companies that have accepted the Company's offer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Times New Roman" w:hAnsi="Times New Roman"/>
          <w:i/>
          <w:color w:val="000000"/>
          <w:sz w:val="20"/>
        </w:rPr>
        <w:t>.</w:t>
      </w:r>
      <w:r>
        <w:rPr>
          <w:rFonts w:ascii="Times New Roman" w:hAnsi="Times New Roman"/>
          <w:color w:val="000000"/>
          <w:sz w:val="20"/>
        </w:rPr>
        <w:t xml:space="preserve"> Under the Administration Agreement, administrative service expenses for the three months ended March 31, 2025 and 2024 was $602 and $537, respectively. As of March 31, 2025 and December 31, 2024, the accrued administrative service expense payable was $295 and $934, respectively.</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6. Debt</w:t>
      </w:r>
    </w:p>
    <w:p>
      <w:pPr>
        <w:pStyle w:val="TextBody"/>
        <w:bidi w:val="0"/>
        <w:spacing w:before="180" w:after="283"/>
        <w:jc w:val="both"/>
        <w:rPr>
          <w:rFonts w:ascii="Times New Roman" w:hAnsi="Times New Roman"/>
          <w:sz w:val="20"/>
        </w:rPr>
      </w:pPr>
      <w:r>
        <w:rPr>
          <w:rFonts w:ascii="Times New Roman" w:hAnsi="Times New Roman"/>
          <w:i/>
          <w:color w:val="000000"/>
          <w:sz w:val="20"/>
        </w:rPr>
        <w:t>Revolving Credit Facility</w:t>
      </w:r>
      <w:r>
        <w:rPr>
          <w:rFonts w:ascii="Times New Roman" w:hAnsi="Times New Roman"/>
          <w:color w:val="000000"/>
          <w:sz w:val="20"/>
        </w:rPr>
        <w:t>: On June 16, 2014, FIC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the Company, but portfolio investments held by the SBIC Funds are not collateral for the Credit Facility. On April 24, 2019, the Company entered into an Amended &amp; Restated Senior Secured Revolving Credit Agreement (the “Amended Credit Agreement”) among the Company, as borrower, the lenders party thereto, and ING, as administrative agent. On June 26, 2020, the Company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SOFR from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 On July 25, 2024, the Company entered into an incremental commitment agreement that increased the total commitment under the Credit Facility from $100,000 to $140,000.</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pays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Amounts available to borrow under the Credit Facility are subject to a minimum borrowing/collateral base that applies an advance rate to certain investments held by the Company, excluding investments held by the SBIC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March 31, 2025 and December 31, 2024, the Company was in compliance in all material respects with the terms of the Credit Agreement.</w:t>
      </w:r>
    </w:p>
    <w:p>
      <w:pPr>
        <w:pStyle w:val="TextBody"/>
        <w:bidi w:val="0"/>
        <w:spacing w:before="180" w:after="283"/>
        <w:jc w:val="both"/>
        <w:rPr>
          <w:rFonts w:ascii="Times New Roman" w:hAnsi="Times New Roman"/>
          <w:sz w:val="20"/>
        </w:rPr>
      </w:pPr>
      <w:r>
        <w:rPr>
          <w:rFonts w:ascii="Times New Roman" w:hAnsi="Times New Roman"/>
          <w:i/>
          <w:color w:val="000000"/>
          <w:sz w:val="20"/>
        </w:rPr>
        <w:t>SBA debentures:</w:t>
      </w:r>
      <w:r>
        <w:rPr>
          <w:rFonts w:ascii="Times New Roman" w:hAnsi="Times New Roman"/>
          <w:color w:val="000000"/>
          <w:sz w:val="20"/>
        </w:rPr>
        <w:t xml:space="preserve"> The SBIC Funds use debenture leverage provided through the SBA to fund a portion of its investment purchases.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March 31, 2025 and December 31, 2024, approved and unused SBA debenture commitments were $155,500 and $175,000, respectively. The SBA may limit the amount that may be drawn each year under any SBA debenture commitments, and each issuance of leverage is conditioned on such SBIC Fund’s full compliance, as determined by the SBA, with the terms and conditions under SBA regulations.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March 31, 2025 and December 31, 2024, the Company’s issued and outstanding SBA debentures mature as follows: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8301" w:type="dxa"/>
        <w:jc w:val="left"/>
        <w:tblInd w:w="0" w:type="dxa"/>
        <w:tblLayout w:type="fixed"/>
        <w:tblCellMar>
          <w:top w:w="28" w:type="dxa"/>
          <w:left w:w="28" w:type="dxa"/>
          <w:bottom w:w="28" w:type="dxa"/>
          <w:right w:w="28" w:type="dxa"/>
        </w:tblCellMar>
      </w:tblPr>
      <w:tblGrid>
        <w:gridCol w:w="2926"/>
        <w:gridCol w:w="146"/>
        <w:gridCol w:w="871"/>
        <w:gridCol w:w="146"/>
        <w:gridCol w:w="240"/>
        <w:gridCol w:w="945"/>
        <w:gridCol w:w="146"/>
        <w:gridCol w:w="146"/>
        <w:gridCol w:w="211"/>
        <w:gridCol w:w="781"/>
        <w:gridCol w:w="146"/>
        <w:gridCol w:w="146"/>
        <w:gridCol w:w="268"/>
        <w:gridCol w:w="992"/>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Pooling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Fixed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Date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9/25/2019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9/22/2021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3/23/2022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9/21/2022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9/1/2033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3/26/2025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outstanding SBA debentures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2"/>
        <w:gridCol w:w="9893"/>
      </w:tblGrid>
      <w:tr>
        <w:trPr/>
        <w:tc>
          <w:tcPr>
            <w:tcW w:w="312" w:type="dxa"/>
            <w:tcBorders/>
            <w:vAlign w:val="center"/>
          </w:tcPr>
          <w:p>
            <w:pPr>
              <w:pStyle w:val="TableContents"/>
              <w:bidi w:val="0"/>
              <w:spacing w:before="0" w:after="283"/>
              <w:jc w:val="left"/>
              <w:rPr>
                <w:sz w:val="4"/>
                <w:szCs w:val="4"/>
              </w:rPr>
            </w:pPr>
            <w:r>
              <w:rPr>
                <w:sz w:val="4"/>
                <w:szCs w:val="4"/>
              </w:rPr>
            </w:r>
          </w:p>
        </w:tc>
        <w:tc>
          <w:tcPr>
            <w:tcW w:w="9893" w:type="dxa"/>
            <w:tcBorders/>
            <w:vAlign w:val="center"/>
          </w:tcPr>
          <w:p>
            <w:pPr>
              <w:pStyle w:val="TableContents"/>
              <w:bidi w:val="0"/>
              <w:spacing w:before="0" w:after="283"/>
              <w:jc w:val="left"/>
              <w:rPr>
                <w:sz w:val="4"/>
                <w:szCs w:val="4"/>
              </w:rPr>
            </w:pPr>
            <w:r>
              <w:rPr>
                <w:sz w:val="4"/>
                <w:szCs w:val="4"/>
              </w:rPr>
            </w:r>
          </w:p>
        </w:tc>
      </w:tr>
      <w:tr>
        <w:trPr/>
        <w:tc>
          <w:tcPr>
            <w:tcW w:w="3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89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SBA has two scheduled pooling dates for debentures (in March and in September). Certain debentures funded during the reporting periods may not be pooled until the subsequent pooling date.</w:t>
            </w:r>
          </w:p>
        </w:tc>
      </w:tr>
    </w:tbl>
    <w:p>
      <w:pPr>
        <w:pStyle w:val="TextBody"/>
        <w:bidi w:val="0"/>
        <w:spacing w:before="180" w:after="283"/>
        <w:jc w:val="both"/>
        <w:rPr>
          <w:rFonts w:ascii="Times New Roman" w:hAnsi="Times New Roman"/>
          <w:sz w:val="20"/>
        </w:rPr>
      </w:pPr>
      <w:r>
        <w:rPr>
          <w:rFonts w:ascii="Times New Roman" w:hAnsi="Times New Roman"/>
          <w:i/>
          <w:color w:val="000000"/>
          <w:sz w:val="20"/>
        </w:rPr>
        <w:t xml:space="preserve">Notes: </w:t>
      </w:r>
      <w:r>
        <w:rPr>
          <w:rFonts w:ascii="Times New Roman" w:hAnsi="Times New Roman"/>
          <w:color w:val="000000"/>
          <w:sz w:val="20"/>
        </w:rPr>
        <w:t xml:space="preserve">On December 23, 2020, the Company closed the offering of $125,000 in aggregate principal amount of its 4.75% notes due 2026 (the “January 2026 Notes”). The total net proceeds to the Company from the January 2026 Notes, based on a public offering price of 100.00% of par, after deducting underwriting discounts of $2,500 and offering expenses of $366, were $122,134. The January 2026 Notes will mature on January 31, 2026 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 The Company does not intend to list the January 2026 Notes on any securities exchange or automated dealer quotation system.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October 8, 2021, the Company closed the offering of $125,000 in aggregate principal amount of its 3.50% notes due 2026 (the “November 2026 Notes”). The total net proceeds to the Company from the November 2026 Notes, based on a public offering price of 99.996% of par, after deducting underwriting discounts of $2,500 and offering expenses of $318, were $122,177.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The Company does not intend to list the November 2026 Notes on any securities exchange or automated dealer quotation system.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March 19, 2025, the Company closed the offering of $100,000 in aggregate principal amount of its 6.75% notes due 2030 (the “March 2030 Notes” and together with the January 2026 Notes and the November 2026 Notes, the “Notes”). The total net proceeds to the Company from the March 2030 Notes, based on a public offering price of 99.29954% of par, after deducting underwriting discounts of $2,000 and estimated offering expenses of $350, were approximately $96,950. The March 2030 Notes will mature on March 19, 2030 and bear interest at a rate of 6.75%. The March 2030 Notes may be redeemed in whole or in part at any time or from time to time at our option subject to a make whole provision if redeemed before September 19, 2029 (the date falling six months prior to maturity) and at par thereafter. Interest on the March 2030 Notes is payable on March 19 and September 19 of each year, beginning September 19, 2025. The Company does not intend to list the March 2030 Notes on any securities exchange or automated dealer quotation system.</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Each of the Notes are unsecured obligations of the Company and rank pari passu with the Company’s existing and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 including the Credit Facility.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Secured Borrowing</w:t>
      </w:r>
    </w:p>
    <w:p>
      <w:pPr>
        <w:pStyle w:val="TextBody"/>
        <w:bidi w:val="0"/>
        <w:spacing w:before="180" w:after="283"/>
        <w:jc w:val="both"/>
        <w:rPr>
          <w:rFonts w:ascii="Times New Roman" w:hAnsi="Times New Roman"/>
          <w:sz w:val="20"/>
        </w:rPr>
      </w:pPr>
      <w:r>
        <w:rPr>
          <w:rFonts w:ascii="Times New Roman" w:hAnsi="Times New Roman"/>
          <w:color w:val="000000"/>
          <w:sz w:val="20"/>
        </w:rPr>
        <w:t>As of March 31, 2025 and December 31, 2024, the carrying value of secured borrowings totaled $13,601 and $13,674, respectively, and the fair value of the associated loans included in investments was $13,601 and $13,505, respectively. These secured borrowings were created as a result of our completion of partial loan sales of certain unitranche loan assets that did not meet the definition of a “participating interest” as defined in ASC 860 (see Note 2. Significant Accounting Policies - Partial loan and equity sales for more information)</w:t>
      </w:r>
      <w:r>
        <w:rPr>
          <w:rFonts w:ascii="Times New Roman" w:hAnsi="Times New Roman"/>
          <w:i/>
          <w:color w:val="000000"/>
          <w:sz w:val="20"/>
        </w:rPr>
        <w:t>.</w:t>
      </w:r>
      <w:r>
        <w:rPr>
          <w:rFonts w:ascii="Times New Roman" w:hAnsi="Times New Roman"/>
          <w:color w:val="000000"/>
          <w:sz w:val="20"/>
        </w:rPr>
        <w:t xml:space="preserve"> As a result, sale treatment was not permitted and these partial loan sales were treated as secured borrowings. The weighted average interest rate on our secured borrowings was approximately 8.5% and 8.6% as of March 31, 2025, and December 31, 2024, respectively.</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Senior Securities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March 31, 2025 and December 31, 2024, the aggregate amount outstanding of the senior securities (including secured borrowings) issued by the Company was $363,601 and $308,674, respectively, for which our asset coverage was 286.4% and 312.4%, respectively. The SBA debentures are excluded from the definition “senior securities” in the asset coverage requirement applicable to the Company under the 1940 Act pursuant to exemptive relief granted to us by the SEC on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Interest and Financing Expenses</w:t>
      </w:r>
    </w:p>
    <w:p>
      <w:pPr>
        <w:pStyle w:val="TextBody"/>
        <w:bidi w:val="0"/>
        <w:spacing w:before="180" w:after="120"/>
        <w:jc w:val="both"/>
        <w:rPr>
          <w:rFonts w:ascii="Times New Roman" w:hAnsi="Times New Roman"/>
          <w:color w:val="000000"/>
          <w:sz w:val="20"/>
        </w:rPr>
      </w:pPr>
      <w:r>
        <w:rPr>
          <w:rFonts w:ascii="Times New Roman" w:hAnsi="Times New Roman"/>
          <w:color w:val="000000"/>
          <w:sz w:val="20"/>
        </w:rPr>
        <w:t>Interest and fees related to the Company’s debt for the three months ended March 31, 2025 and 2024 which are included in interest and financing expenses on the consolidated statements of operations, were as follows:</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74"/>
        <w:gridCol w:w="146"/>
        <w:gridCol w:w="327"/>
        <w:gridCol w:w="857"/>
        <w:gridCol w:w="241"/>
        <w:gridCol w:w="146"/>
        <w:gridCol w:w="302"/>
        <w:gridCol w:w="790"/>
        <w:gridCol w:w="241"/>
        <w:gridCol w:w="146"/>
        <w:gridCol w:w="403"/>
        <w:gridCol w:w="1054"/>
        <w:gridCol w:w="241"/>
        <w:gridCol w:w="146"/>
        <w:gridCol w:w="196"/>
        <w:gridCol w:w="511"/>
        <w:gridCol w:w="241"/>
        <w:gridCol w:w="146"/>
        <w:gridCol w:w="196"/>
        <w:gridCol w:w="511"/>
        <w:gridCol w:w="290"/>
      </w:tblGrid>
      <w:tr>
        <w:trPr/>
        <w:tc>
          <w:tcPr>
            <w:tcW w:w="30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074"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69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 debentures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Facility</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Secured Borrowings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4"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Stated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6,183</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2,136</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6,773</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stated interest rate,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4.781</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Effective interest rate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0.286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5.260</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Unused commitment fee rate,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1.261</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4"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69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2024</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 debentures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Facility</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Secured Borrowings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4"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Stated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5,477</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2,301</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2,856</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6,012</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stated interest rate,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4.568</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Effective interest rate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8.419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4.969</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Unused commitment fee rate,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0.851</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The effective interest rate is equal to the weighted average stated interest rate plus the amortization of deferred financing costs.</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20" w:after="283"/>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Realized Losses on Extinguishment of Debt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three months ended March 31, 2025, the Company prepaid $12,500 of SBA debentures which were scheduled to mature on dates ranging from 2032 to 2033. During the three months ended March 31, 2024, the Company prepaid $35,000 of SBA debentures which were scheduled to mature on dates ranging from 2026 to 2027. As a result of the prepayments, the Company recognized realized losses on extinguishment of debt of $251 and $521 equal to the write-off of the related unamortized deferred financing costs, during the three months ended March 31, 2025 and 2024, respectively.</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Deferred Financing Costs</w:t>
      </w:r>
    </w:p>
    <w:p>
      <w:pPr>
        <w:pStyle w:val="TextBody"/>
        <w:bidi w:val="0"/>
        <w:jc w:val="both"/>
        <w:rPr>
          <w:rFonts w:ascii="Times New Roman" w:hAnsi="Times New Roman"/>
          <w:color w:val="000000"/>
          <w:sz w:val="20"/>
        </w:rPr>
      </w:pPr>
      <w:bookmarkStart w:id="11" w:name="fis_unidentified_table_13"/>
      <w:bookmarkEnd w:id="11"/>
      <w:r>
        <w:rPr>
          <w:rFonts w:ascii="Times New Roman" w:hAnsi="Times New Roman"/>
          <w:color w:val="000000"/>
          <w:sz w:val="20"/>
        </w:rPr>
        <w:t>Deferred financing costs are amortized into interest and financing expenses on the consolidated statements of operations, using the effective interest method, over the term of the respective financing instrument. Deferred financing costs related to the SBA debentures, the Credit Facility, and the Notes as of March 31, 2025 and December 31, 2024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146"/>
        <w:gridCol w:w="226"/>
        <w:gridCol w:w="660"/>
        <w:gridCol w:w="166"/>
        <w:gridCol w:w="146"/>
        <w:gridCol w:w="196"/>
        <w:gridCol w:w="571"/>
        <w:gridCol w:w="166"/>
        <w:gridCol w:w="146"/>
        <w:gridCol w:w="196"/>
        <w:gridCol w:w="571"/>
        <w:gridCol w:w="166"/>
        <w:gridCol w:w="146"/>
        <w:gridCol w:w="196"/>
        <w:gridCol w:w="661"/>
        <w:gridCol w:w="166"/>
        <w:gridCol w:w="146"/>
        <w:gridCol w:w="226"/>
        <w:gridCol w:w="660"/>
        <w:gridCol w:w="166"/>
        <w:gridCol w:w="146"/>
        <w:gridCol w:w="196"/>
        <w:gridCol w:w="571"/>
        <w:gridCol w:w="166"/>
        <w:gridCol w:w="146"/>
        <w:gridCol w:w="196"/>
        <w:gridCol w:w="571"/>
        <w:gridCol w:w="166"/>
        <w:gridCol w:w="146"/>
        <w:gridCol w:w="196"/>
        <w:gridCol w:w="601"/>
        <w:gridCol w:w="211"/>
      </w:tblGrid>
      <w:tr>
        <w:trPr/>
        <w:tc>
          <w:tcPr>
            <w:tcW w:w="1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421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SBA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debentures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Facility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 debenture commitment fees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SBA debenture leverage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Credit Facility upfront fees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underwriting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Notes debt issue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accumulated amortization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(4,349</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(9,383</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Unamortized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Unamortized deferred financing costs are presented as a direct offset to the SBA debentures, the Credit Facility and the Notes liabilities on the consolidated statements of assets and liabilities. The following table summarizes the outstanding debt net of unamortized deferred financing costs as of March 31, 2025 and December 31,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19"/>
        <w:gridCol w:w="146"/>
        <w:gridCol w:w="181"/>
        <w:gridCol w:w="586"/>
        <w:gridCol w:w="151"/>
        <w:gridCol w:w="146"/>
        <w:gridCol w:w="185"/>
        <w:gridCol w:w="386"/>
        <w:gridCol w:w="151"/>
        <w:gridCol w:w="146"/>
        <w:gridCol w:w="181"/>
        <w:gridCol w:w="586"/>
        <w:gridCol w:w="151"/>
        <w:gridCol w:w="146"/>
        <w:gridCol w:w="181"/>
        <w:gridCol w:w="586"/>
        <w:gridCol w:w="151"/>
        <w:gridCol w:w="146"/>
        <w:gridCol w:w="181"/>
        <w:gridCol w:w="586"/>
        <w:gridCol w:w="151"/>
        <w:gridCol w:w="146"/>
        <w:gridCol w:w="181"/>
        <w:gridCol w:w="511"/>
        <w:gridCol w:w="151"/>
        <w:gridCol w:w="146"/>
        <w:gridCol w:w="181"/>
        <w:gridCol w:w="586"/>
        <w:gridCol w:w="151"/>
        <w:gridCol w:w="146"/>
        <w:gridCol w:w="181"/>
        <w:gridCol w:w="586"/>
        <w:gridCol w:w="196"/>
      </w:tblGrid>
      <w:tr>
        <w:trPr/>
        <w:tc>
          <w:tcPr>
            <w:tcW w:w="1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76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March 31, 2025</w:t>
            </w:r>
            <w:r>
              <w:rPr>
                <w:rFonts w:ascii="Times New Roman" w:hAnsi="Times New Roman"/>
                <w:b/>
                <w:color w:val="000000"/>
                <w:sz w:val="9"/>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December 31, 2024</w:t>
            </w:r>
            <w:r>
              <w:rPr>
                <w:rFonts w:ascii="Times New Roman" w:hAnsi="Times New Roman"/>
                <w:b/>
                <w:color w:val="000000"/>
                <w:sz w:val="9"/>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SBA</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Credit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SBA</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Credit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debentures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Facility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debentures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Facility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Notes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Outstanding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182,000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350,000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532,000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470,000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Less: unamortized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(8,785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1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Debt, net of deferred financing costs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175,870</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(948</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345,557</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520,479</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168,899</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43,954</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248,362</w:t>
            </w:r>
          </w:p>
        </w:tc>
        <w:tc>
          <w:tcPr>
            <w:tcW w:w="15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461,215</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sz w:val="20"/>
        </w:rPr>
      </w:pPr>
      <w:r>
        <w:rPr>
          <w:rFonts w:ascii="Times New Roman" w:hAnsi="Times New Roman"/>
          <w:color w:val="000000"/>
          <w:sz w:val="16"/>
        </w:rPr>
        <w:t>Total excludes $13,601</w:t>
      </w:r>
      <w:r>
        <w:rPr>
          <w:rFonts w:ascii="Times New Roman" w:hAnsi="Times New Roman"/>
          <w:color w:val="000000"/>
          <w:sz w:val="20"/>
        </w:rPr>
        <w:t xml:space="preserve"> </w:t>
      </w:r>
      <w:r>
        <w:rPr>
          <w:rFonts w:ascii="Times New Roman" w:hAnsi="Times New Roman"/>
          <w:color w:val="000000"/>
          <w:sz w:val="16"/>
        </w:rPr>
        <w:t>and $13,674</w:t>
      </w:r>
      <w:r>
        <w:rPr>
          <w:rFonts w:ascii="Times New Roman" w:hAnsi="Times New Roman"/>
          <w:color w:val="000000"/>
          <w:sz w:val="20"/>
        </w:rPr>
        <w:t xml:space="preserve"> </w:t>
      </w:r>
      <w:r>
        <w:rPr>
          <w:rFonts w:ascii="Times New Roman" w:hAnsi="Times New Roman"/>
          <w:color w:val="000000"/>
          <w:sz w:val="16"/>
        </w:rPr>
        <w:t>of Secured Borrowings as of March 31, 2025 and December 31, 2024, respectively.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As of March 31, 2025, the Company’s debt liabilities are scheduled to mature as follows </w:t>
      </w:r>
      <w:r>
        <w:rPr>
          <w:rFonts w:ascii="Times New Roman" w:hAnsi="Times New Roman"/>
          <w:color w:val="000000"/>
          <w:sz w:val="13"/>
        </w:rPr>
        <w:t>(1)</w:t>
      </w:r>
      <w:r>
        <w:rPr>
          <w:rFonts w:ascii="Times New Roman" w:hAnsi="Times New Roman"/>
          <w:color w:val="000000"/>
          <w:sz w:val="20"/>
        </w:rPr>
        <w:t>:</w:t>
      </w:r>
    </w:p>
    <w:p>
      <w:pPr>
        <w:pStyle w:val="TextBody"/>
        <w:bidi w:val="0"/>
        <w:jc w:val="left"/>
        <w:rPr/>
      </w:pPr>
      <w:r>
        <w:rPr/>
        <w:t> </w:t>
      </w:r>
    </w:p>
    <w:tbl>
      <w:tblPr>
        <w:tblW w:w="7542" w:type="dxa"/>
        <w:jc w:val="left"/>
        <w:tblInd w:w="0" w:type="dxa"/>
        <w:tblLayout w:type="fixed"/>
        <w:tblCellMar>
          <w:top w:w="28" w:type="dxa"/>
          <w:left w:w="28" w:type="dxa"/>
          <w:bottom w:w="28" w:type="dxa"/>
          <w:right w:w="28" w:type="dxa"/>
        </w:tblCellMar>
      </w:tblPr>
      <w:tblGrid>
        <w:gridCol w:w="946"/>
        <w:gridCol w:w="146"/>
        <w:gridCol w:w="217"/>
        <w:gridCol w:w="804"/>
        <w:gridCol w:w="146"/>
        <w:gridCol w:w="146"/>
        <w:gridCol w:w="368"/>
        <w:gridCol w:w="607"/>
        <w:gridCol w:w="146"/>
        <w:gridCol w:w="146"/>
        <w:gridCol w:w="264"/>
        <w:gridCol w:w="847"/>
        <w:gridCol w:w="146"/>
        <w:gridCol w:w="146"/>
        <w:gridCol w:w="211"/>
        <w:gridCol w:w="781"/>
        <w:gridCol w:w="146"/>
        <w:gridCol w:w="146"/>
        <w:gridCol w:w="211"/>
        <w:gridCol w:w="78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Secured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debentures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Facility </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Thereafter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168,500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168,500</w:t>
            </w:r>
          </w:p>
        </w:tc>
        <w:tc>
          <w:tcPr>
            <w:tcW w:w="1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545,601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1"/>
        <w:gridCol w:w="9914"/>
      </w:tblGrid>
      <w:tr>
        <w:trPr/>
        <w:tc>
          <w:tcPr>
            <w:tcW w:w="291" w:type="dxa"/>
            <w:tcBorders/>
            <w:vAlign w:val="center"/>
          </w:tcPr>
          <w:p>
            <w:pPr>
              <w:pStyle w:val="TableContents"/>
              <w:bidi w:val="0"/>
              <w:spacing w:before="0" w:after="283"/>
              <w:jc w:val="left"/>
              <w:rPr>
                <w:sz w:val="4"/>
                <w:szCs w:val="4"/>
              </w:rPr>
            </w:pPr>
            <w:r>
              <w:rPr>
                <w:sz w:val="4"/>
                <w:szCs w:val="4"/>
              </w:rPr>
            </w:r>
          </w:p>
        </w:tc>
        <w:tc>
          <w:tcPr>
            <w:tcW w:w="9914" w:type="dxa"/>
            <w:tcBorders/>
            <w:vAlign w:val="center"/>
          </w:tcPr>
          <w:p>
            <w:pPr>
              <w:pStyle w:val="TableContents"/>
              <w:bidi w:val="0"/>
              <w:spacing w:before="0" w:after="283"/>
              <w:jc w:val="left"/>
              <w:rPr>
                <w:sz w:val="4"/>
                <w:szCs w:val="4"/>
              </w:rPr>
            </w:pPr>
            <w:r>
              <w:rPr>
                <w:sz w:val="4"/>
                <w:szCs w:val="4"/>
              </w:rPr>
            </w:r>
          </w:p>
        </w:tc>
      </w:tr>
      <w:tr>
        <w:trPr/>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tc>
      </w:tr>
      <w:tr>
        <w:trPr/>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16"/>
              </w:rPr>
              <w:t>The Credit Facility matures on August 17, 2027.</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Note 7. Commitments and Contingencies</w:t>
      </w:r>
    </w:p>
    <w:p>
      <w:pPr>
        <w:pStyle w:val="TextBody"/>
        <w:bidi w:val="0"/>
        <w:spacing w:before="180" w:after="180"/>
        <w:jc w:val="both"/>
        <w:rPr>
          <w:rFonts w:ascii="Times New Roman" w:hAnsi="Times New Roman"/>
          <w:sz w:val="20"/>
        </w:rPr>
      </w:pPr>
      <w:r>
        <w:rPr>
          <w:rFonts w:ascii="Times New Roman" w:hAnsi="Times New Roman"/>
          <w:i/>
          <w:color w:val="000000"/>
          <w:sz w:val="20"/>
        </w:rPr>
        <w:t>Commitments:</w:t>
      </w:r>
      <w:r>
        <w:rPr>
          <w:rFonts w:ascii="Times New Roman" w:hAnsi="Times New Roman"/>
          <w:color w:val="000000"/>
          <w:sz w:val="20"/>
        </w:rPr>
        <w:t xml:space="preserve"> The Company had outstanding commitments to portfolio companies to fund various undrawn revolving loans, other debt investments and capital commitments totaling $17,776 and $12,363 as of March 31, 2025 and December 31, 2024, respectively. Such outstanding commitments are summarized in the following table:</w:t>
      </w:r>
    </w:p>
    <w:tbl>
      <w:tblPr>
        <w:tblW w:w="10199" w:type="dxa"/>
        <w:jc w:val="left"/>
        <w:tblInd w:w="0" w:type="dxa"/>
        <w:tblLayout w:type="fixed"/>
        <w:tblCellMar>
          <w:top w:w="28" w:type="dxa"/>
          <w:left w:w="28" w:type="dxa"/>
          <w:bottom w:w="28" w:type="dxa"/>
          <w:right w:w="28" w:type="dxa"/>
        </w:tblCellMar>
      </w:tblPr>
      <w:tblGrid>
        <w:gridCol w:w="5416"/>
        <w:gridCol w:w="146"/>
        <w:gridCol w:w="223"/>
        <w:gridCol w:w="633"/>
        <w:gridCol w:w="146"/>
        <w:gridCol w:w="146"/>
        <w:gridCol w:w="223"/>
        <w:gridCol w:w="633"/>
        <w:gridCol w:w="146"/>
        <w:gridCol w:w="146"/>
        <w:gridCol w:w="223"/>
        <w:gridCol w:w="633"/>
        <w:gridCol w:w="146"/>
        <w:gridCol w:w="146"/>
        <w:gridCol w:w="223"/>
        <w:gridCol w:w="633"/>
        <w:gridCol w:w="146"/>
        <w:gridCol w:w="19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Unfunded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Unfunded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Portfolio Company - 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Commitment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Acendre Midco, Inc.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Ad Info Parent, Inc. (dba MediaRadar)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Axis Medical Technologies LLC (dba MoveMedical)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Choice Technology Solutions, LLC (dba Choice Merchant Solutions, LLC)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Detechtion Holdings, LLC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Elements Brands, LLC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Fraser Steel LLC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Fishbowl Solutions, LLC -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GMP HVAC, LLC (dba McGee Heating &amp; Air, LLC)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Mayesh Wholesale Florist, LLC - 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PayEntry Financial Services, Inc. (dba Payentry) - Second Lien (DDTL 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PayEntry Financial Services, Inc. (dba Payentry) - Second Lien (DDTL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PayEntry Financial Services, Inc. (dba Payentry) - Second Lien (DDTL A)</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PayEntry Financial Services, Inc. (dba Payentry) - Second Lien (DDTL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Tedia Company, LLC - Revolving Loan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Thrust Flight LLC - 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W50 Holdings, LLC - Preferred Equity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24,593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17,776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12,363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Additional detail for each of the commitments above is provided in the Company’s consolidated schedules of investments. As of March 31, 2025 and December 31, 2024, the Company had sufficient liquidity coverage to satisfy these unfunded commitments. Cash and cash equivalents were $67,478 and $57,159 and available borrowings under the Credit Facility were $140,000 and $95,000 as of March 31, 2025 and December 31, 2024, respectively.</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commitments are generally subject to the borrowers meeting certain criteria such as compliance with financial and non-financial covenants, which may limit such borrower's ability to draw on a revolving loan or delayed draw loan. Since commitments may expire without being drawn upon, the total commitment amount does not necessarily represent future cash requirements.</w:t>
      </w:r>
    </w:p>
    <w:p>
      <w:pPr>
        <w:pStyle w:val="TextBody"/>
        <w:bidi w:val="0"/>
        <w:jc w:val="both"/>
        <w:rPr>
          <w:rFonts w:ascii="Times New Roman" w:hAnsi="Times New Roman"/>
          <w:sz w:val="20"/>
        </w:rPr>
      </w:pPr>
      <w:r>
        <w:rPr>
          <w:rFonts w:ascii="Times New Roman" w:hAnsi="Times New Roman"/>
          <w:i/>
          <w:color w:val="000000"/>
          <w:sz w:val="20"/>
        </w:rPr>
        <w:t>Indemnifications:</w:t>
      </w:r>
      <w:r>
        <w:rPr>
          <w:rFonts w:ascii="Times New Roman" w:hAnsi="Times New Roman"/>
          <w:color w:val="000000"/>
          <w:sz w:val="20"/>
        </w:rPr>
        <w:t xml:space="preserve"> In the normal course of business, the Company enters into contracts and agreements that contain a variety of representations and 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pStyle w:val="TextBody"/>
        <w:bidi w:val="0"/>
        <w:spacing w:before="180" w:after="283"/>
        <w:jc w:val="both"/>
        <w:rPr>
          <w:rFonts w:ascii="Times New Roman" w:hAnsi="Times New Roman"/>
          <w:sz w:val="20"/>
        </w:rPr>
      </w:pPr>
      <w:bookmarkStart w:id="12" w:name="fis_unidentified_table_14"/>
      <w:bookmarkEnd w:id="12"/>
      <w:r>
        <w:rPr>
          <w:rFonts w:ascii="Times New Roman" w:hAnsi="Times New Roman"/>
          <w:i/>
          <w:color w:val="000000"/>
          <w:sz w:val="20"/>
        </w:rPr>
        <w:t>Legal proceedings:</w:t>
      </w:r>
      <w:r>
        <w:rPr>
          <w:rFonts w:ascii="Times New Roman" w:hAnsi="Times New Roman"/>
          <w:color w:val="000000"/>
          <w:sz w:val="20"/>
        </w:rPr>
        <w:t xml:space="preserve"> In the normal course of business, the Company may be subject to legal and regulatory proceedings that are generally incidental to its ongoing operations. While the outcome of any such legal proceedings cannot be predicted with certainty, the Company does not believe any such legal proceedings will have a material adverse effect on the Company’s consolidated financial statements.</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8. Common Stock</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Public Offerings of Common Stock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following table summarizes the cumulative total shares issued, net proceeds received, and weighted average offering price in public offerings of the Company’s common stock since the IPO in June 2011, except for the issuances under the ATM Program as described further below.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49"/>
        <w:gridCol w:w="146"/>
        <w:gridCol w:w="206"/>
        <w:gridCol w:w="1463"/>
        <w:gridCol w:w="146"/>
        <w:gridCol w:w="146"/>
        <w:gridCol w:w="327"/>
        <w:gridCol w:w="1215"/>
        <w:gridCol w:w="146"/>
        <w:gridCol w:w="146"/>
        <w:gridCol w:w="766"/>
        <w:gridCol w:w="2075"/>
        <w:gridCol w:w="146"/>
        <w:gridCol w:w="146"/>
        <w:gridCol w:w="428"/>
        <w:gridCol w:w="1158"/>
        <w:gridCol w:w="196"/>
      </w:tblGrid>
      <w:tr>
        <w:trPr/>
        <w:tc>
          <w:tcPr>
            <w:tcW w:w="13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Cumulative 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Cumulative Gross 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Cumulative Underwriting Fees and Commissions and Offering Costs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Offering Price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since IPO</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14,388,414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236,597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jc w:val="both"/>
        <w:rPr>
          <w:rFonts w:ascii="Times New Roman" w:hAnsi="Times New Roman"/>
          <w:sz w:val="20"/>
        </w:rPr>
      </w:pPr>
      <w:r>
        <w:rPr>
          <w:rFonts w:ascii="Times New Roman" w:hAnsi="Times New Roman"/>
          <w:color w:val="000000"/>
          <w:sz w:val="16"/>
        </w:rPr>
        <w:t>(1) Fidus Investment Advisors, LLC agreed to bear a cumulative of $1,925</w:t>
      </w:r>
      <w:r>
        <w:rPr>
          <w:rFonts w:ascii="Times New Roman" w:hAnsi="Times New Roman"/>
          <w:color w:val="000000"/>
          <w:sz w:val="20"/>
        </w:rPr>
        <w:t xml:space="preserve"> </w:t>
      </w:r>
      <w:r>
        <w:rPr>
          <w:rFonts w:ascii="Times New Roman" w:hAnsi="Times New Roman"/>
          <w:color w:val="000000"/>
          <w:sz w:val="16"/>
        </w:rPr>
        <w:t>of underwriting fees and commissions and offering costs associated with these offerings (such amounts are not included in the number reported above). All such payments made by Fidus Investment Advisors, LLC are not subject to reimbursement by the Company.</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Equity ATM Program</w:t>
      </w:r>
    </w:p>
    <w:p>
      <w:pPr>
        <w:pStyle w:val="TextBody"/>
        <w:bidi w:val="0"/>
        <w:jc w:val="both"/>
        <w:rPr>
          <w:rFonts w:ascii="Times New Roman" w:hAnsi="Times New Roman"/>
          <w:color w:val="000000"/>
          <w:sz w:val="20"/>
        </w:rPr>
      </w:pPr>
      <w:r>
        <w:rPr>
          <w:rFonts w:ascii="Times New Roman" w:hAnsi="Times New Roman"/>
          <w:color w:val="000000"/>
          <w:sz w:val="20"/>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$50,000. On August 11, 2023, the Company increased the maximum amount of shares to be sold through the ATM Program to $150,000 from $50,000. On February 29, 2024, the Company increased the maximum amount of shares to be sold through the ATM Program to $300,000 from $150,000. The gross proceeds raised, the related sales agent commissions and the offering expenses, the net proceeds raised, and the average price at which shares were issued under the ATM Program for the three months ended March 31, 2025 and 2024 are as follows:</w:t>
      </w:r>
    </w:p>
    <w:tbl>
      <w:tblPr>
        <w:tblW w:w="7042" w:type="dxa"/>
        <w:jc w:val="left"/>
        <w:tblInd w:w="0" w:type="dxa"/>
        <w:tblLayout w:type="fixed"/>
        <w:tblCellMar>
          <w:top w:w="28" w:type="dxa"/>
          <w:left w:w="28" w:type="dxa"/>
          <w:bottom w:w="28" w:type="dxa"/>
          <w:right w:w="28" w:type="dxa"/>
        </w:tblCellMar>
      </w:tblPr>
      <w:tblGrid>
        <w:gridCol w:w="2116"/>
        <w:gridCol w:w="146"/>
        <w:gridCol w:w="146"/>
        <w:gridCol w:w="586"/>
        <w:gridCol w:w="146"/>
        <w:gridCol w:w="146"/>
        <w:gridCol w:w="170"/>
        <w:gridCol w:w="386"/>
        <w:gridCol w:w="146"/>
        <w:gridCol w:w="146"/>
        <w:gridCol w:w="166"/>
        <w:gridCol w:w="436"/>
        <w:gridCol w:w="146"/>
        <w:gridCol w:w="146"/>
        <w:gridCol w:w="297"/>
        <w:gridCol w:w="514"/>
        <w:gridCol w:w="146"/>
        <w:gridCol w:w="146"/>
        <w:gridCol w:w="198"/>
        <w:gridCol w:w="522"/>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Underwriting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Fees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Proceeds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Commissions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 xml:space="preserve">Proceeds </w:t>
            </w:r>
            <w:r>
              <w:rPr>
                <w:rFonts w:ascii="Times New Roman" w:hAnsi="Times New Roman"/>
                <w:b/>
                <w:color w:val="000000"/>
                <w:sz w:val="8"/>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2"/>
              </w:rPr>
            </w:pPr>
            <w:r>
              <w:rPr>
                <w:rFonts w:ascii="Times New Roman" w:hAnsi="Times New Roman"/>
                <w:b/>
                <w:color w:val="000000"/>
                <w:sz w:val="12"/>
              </w:rPr>
              <w:t>Three Months Ended March 31,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732"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556"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602"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811"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720" w:type="dxa"/>
            <w:gridSpan w:val="2"/>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January 1, 2024 through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987,170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58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987,170</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70"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19.66</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19,408</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228</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2"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19,180</w:t>
            </w:r>
          </w:p>
        </w:tc>
        <w:tc>
          <w:tcPr>
            <w:tcW w:w="191"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12"/>
              </w:rPr>
            </w:pPr>
            <w:r>
              <w:rPr>
                <w:rFonts w:ascii="Times New Roman" w:hAnsi="Times New Roman"/>
                <w:b/>
                <w:color w:val="000000"/>
                <w:sz w:val="12"/>
              </w:rPr>
              <w:t>Three Months Ended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3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56"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602"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2116"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January 1, 2025 through March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1,019,812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20,672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2"/>
              </w:rPr>
            </w:pPr>
            <w:r>
              <w:rPr>
                <w:rFonts w:ascii="Times New Roman" w:hAnsi="Times New Roman"/>
                <w:color w:val="000000"/>
                <w:sz w:val="12"/>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5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1,019,812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20,987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20,672</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Net proceeds exclude amortization of deferred equity financing costs.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Cumulative to date, the Company has sold 10,384,056 shares of common stock under the ATM Program at a weighted-average price of $19.83, raising $205,959 of gross proceeds. Net proceeds were $203,168 after commissions to the sales agents on shares sold. As of March 31, 2025, the Company has $94,041 available under the ATM Program.</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described in Note 2, the Company has a Stock Repurchase Program under which the Company may acquire up to $5,000 of its outstanding common stock. The Company did not make any repurchases of common stock during the three months ended March 31, 2025 and 2024.</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DRIP Program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issued 36,245 and zero shares of common stock under the DRIP during the three months ended March 31, 2025 and 2024, respectively. Refer to Note 9 for additional information regarding the issuance of shares under the DRIP.</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had 34,970,709 and 33,914,652 shares of common stock outstanding as of March 31, 2025 and December 31, 2024, respectively.</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Note 9. Dividends and Distributions</w:t>
      </w:r>
    </w:p>
    <w:p>
      <w:pPr>
        <w:pStyle w:val="TextBody"/>
        <w:bidi w:val="0"/>
        <w:jc w:val="both"/>
        <w:rPr>
          <w:rFonts w:ascii="Times New Roman" w:hAnsi="Times New Roman"/>
          <w:color w:val="000000"/>
          <w:sz w:val="20"/>
        </w:rPr>
      </w:pPr>
      <w:r>
        <w:rPr>
          <w:rFonts w:ascii="Times New Roman" w:hAnsi="Times New Roman"/>
          <w:color w:val="000000"/>
          <w:sz w:val="20"/>
        </w:rPr>
        <w:t>The Company’s dividends and distributions are recorded on the record date. The following table summarizes the dividends paid during the last two fiscal years and for the three months ended March 31, 2025.</w:t>
      </w:r>
    </w:p>
    <w:p>
      <w:pPr>
        <w:pStyle w:val="TextBody"/>
        <w:bidi w:val="0"/>
        <w:jc w:val="both"/>
        <w:rPr/>
      </w:pPr>
      <w:r>
        <w:rPr/>
        <w:t> </w:t>
      </w:r>
    </w:p>
    <w:tbl>
      <w:tblPr>
        <w:tblW w:w="9468" w:type="dxa"/>
        <w:jc w:val="left"/>
        <w:tblInd w:w="0" w:type="dxa"/>
        <w:tblLayout w:type="fixed"/>
        <w:tblCellMar>
          <w:top w:w="28" w:type="dxa"/>
          <w:left w:w="28" w:type="dxa"/>
          <w:bottom w:w="28" w:type="dxa"/>
          <w:right w:w="28" w:type="dxa"/>
        </w:tblCellMar>
      </w:tblPr>
      <w:tblGrid>
        <w:gridCol w:w="2086"/>
        <w:gridCol w:w="146"/>
        <w:gridCol w:w="646"/>
        <w:gridCol w:w="146"/>
        <w:gridCol w:w="646"/>
        <w:gridCol w:w="146"/>
        <w:gridCol w:w="217"/>
        <w:gridCol w:w="413"/>
        <w:gridCol w:w="146"/>
        <w:gridCol w:w="146"/>
        <w:gridCol w:w="198"/>
        <w:gridCol w:w="523"/>
        <w:gridCol w:w="146"/>
        <w:gridCol w:w="146"/>
        <w:gridCol w:w="198"/>
        <w:gridCol w:w="523"/>
        <w:gridCol w:w="146"/>
        <w:gridCol w:w="146"/>
        <w:gridCol w:w="166"/>
        <w:gridCol w:w="376"/>
        <w:gridCol w:w="146"/>
        <w:gridCol w:w="211"/>
        <w:gridCol w:w="146"/>
        <w:gridCol w:w="436"/>
        <w:gridCol w:w="146"/>
        <w:gridCol w:w="211"/>
        <w:gridCol w:w="189"/>
        <w:gridCol w:w="48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DRIP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DRIP</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Record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DRIP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Issue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Year Ended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2/15/2023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2/15/2023 </w:t>
            </w:r>
            <w:r>
              <w:rPr>
                <w:rFonts w:ascii="Times New Roman" w:hAnsi="Times New Roman"/>
                <w:color w:val="000000"/>
                <w:sz w:val="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2/15/2023 </w:t>
            </w:r>
            <w:r>
              <w:rPr>
                <w:rFonts w:ascii="Times New Roman" w:hAnsi="Times New Roman"/>
                <w:color w:val="000000"/>
                <w:sz w:val="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3/22/2023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5/02/2023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5/02/2023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5/02/2023 </w:t>
            </w:r>
            <w:r>
              <w:rPr>
                <w:rFonts w:ascii="Times New Roman" w:hAnsi="Times New Roman"/>
                <w:color w:val="000000"/>
                <w:sz w:val="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6/21/2023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6/28/2023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8/01/2023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8/01/2023 </w:t>
            </w:r>
            <w:r>
              <w:rPr>
                <w:rFonts w:ascii="Times New Roman" w:hAnsi="Times New Roman"/>
                <w:color w:val="000000"/>
                <w:sz w:val="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8/01/2023 </w:t>
            </w:r>
            <w:r>
              <w:rPr>
                <w:rFonts w:ascii="Times New Roman" w:hAnsi="Times New Roman"/>
                <w:color w:val="000000"/>
                <w:sz w:val="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10/30/2023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10/30/2023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10/30/2023 </w:t>
            </w:r>
            <w:r>
              <w:rPr>
                <w:rFonts w:ascii="Times New Roman" w:hAnsi="Times New Roman"/>
                <w:color w:val="000000"/>
                <w:sz w:val="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12/20/2023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30,836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Year Ended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2/13/2024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2/13/2024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4/29/2024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7/29/2024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9/19/2024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9/26/2024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7/29/2024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9/26/2024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10/28/2024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10/28/2024 </w:t>
            </w:r>
            <w:r>
              <w:rPr>
                <w:rFonts w:ascii="Times New Roman" w:hAnsi="Times New Roman"/>
                <w:color w:val="000000"/>
                <w:sz w:val="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8"/>
              </w:rPr>
            </w:pPr>
            <w:r>
              <w:rPr>
                <w:rFonts w:ascii="Times New Roman" w:hAnsi="Times New Roman"/>
                <w:color w:val="000000"/>
                <w:sz w:val="8"/>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79,964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78,369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82,172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Three Months Ended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 xml:space="preserve">2/18/2025 </w:t>
            </w:r>
            <w:r>
              <w:rPr>
                <w:rFonts w:ascii="Times New Roman" w:hAnsi="Times New Roman"/>
                <w:color w:val="000000"/>
                <w:sz w:val="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3/20/2025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18,755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36,245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
        <w:gridCol w:w="9918"/>
      </w:tblGrid>
      <w:tr>
        <w:trPr/>
        <w:tc>
          <w:tcPr>
            <w:tcW w:w="287" w:type="dxa"/>
            <w:tcBorders/>
            <w:vAlign w:val="center"/>
          </w:tcPr>
          <w:p>
            <w:pPr>
              <w:pStyle w:val="TableContents"/>
              <w:bidi w:val="0"/>
              <w:spacing w:before="0" w:after="283"/>
              <w:jc w:val="left"/>
              <w:rPr>
                <w:sz w:val="4"/>
                <w:szCs w:val="4"/>
              </w:rPr>
            </w:pPr>
            <w:r>
              <w:rPr>
                <w:sz w:val="4"/>
                <w:szCs w:val="4"/>
              </w:rPr>
            </w:r>
          </w:p>
        </w:tc>
        <w:tc>
          <w:tcPr>
            <w:tcW w:w="9918" w:type="dxa"/>
            <w:tcBorders/>
            <w:vAlign w:val="center"/>
          </w:tcPr>
          <w:p>
            <w:pPr>
              <w:pStyle w:val="TableContents"/>
              <w:bidi w:val="0"/>
              <w:spacing w:before="0" w:after="283"/>
              <w:jc w:val="left"/>
              <w:rPr>
                <w:sz w:val="4"/>
                <w:szCs w:val="4"/>
              </w:rPr>
            </w:pPr>
            <w:r>
              <w:rPr>
                <w:sz w:val="4"/>
                <w:szCs w:val="4"/>
              </w:rPr>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1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Special dividend</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dividend</w:t>
            </w:r>
          </w:p>
        </w:tc>
      </w:tr>
      <w:tr>
        <w:trPr/>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9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Except for the shares issued pursuant to the DRIP as reflected in the table above, during the three months ended March 31, 2025 and the years ended December 31, 2024 and 2023, the Company directed the DRIP plan administrator to repurchase shares on the open market in order to satisfy the DRIP obligation to deliver shares of common stock in lieu of issuing new shares. Accordingly, the Company purchased and reissued shares to satisfy the DRIP obligation as follows:</w:t>
            </w:r>
          </w:p>
        </w:tc>
      </w:tr>
    </w:tbl>
    <w:p>
      <w:pPr>
        <w:pStyle w:val="TextBody"/>
        <w:bidi w:val="0"/>
        <w:jc w:val="left"/>
        <w:rPr/>
      </w:pPr>
      <w:r>
        <w:rPr/>
        <w:t> </w:t>
      </w:r>
    </w:p>
    <w:p>
      <w:pPr>
        <w:pStyle w:val="TextBody"/>
        <w:bidi w:val="0"/>
        <w:jc w:val="left"/>
        <w:rPr/>
      </w:pPr>
      <w:r>
        <w:rPr/>
        <w:t> </w:t>
      </w:r>
    </w:p>
    <w:tbl>
      <w:tblPr>
        <w:tblW w:w="7454" w:type="dxa"/>
        <w:jc w:val="left"/>
        <w:tblInd w:w="0" w:type="dxa"/>
        <w:tblLayout w:type="fixed"/>
        <w:tblCellMar>
          <w:top w:w="28" w:type="dxa"/>
          <w:left w:w="28" w:type="dxa"/>
          <w:bottom w:w="28" w:type="dxa"/>
          <w:right w:w="28" w:type="dxa"/>
        </w:tblCellMar>
      </w:tblPr>
      <w:tblGrid>
        <w:gridCol w:w="3286"/>
        <w:gridCol w:w="146"/>
        <w:gridCol w:w="146"/>
        <w:gridCol w:w="146"/>
        <w:gridCol w:w="180"/>
        <w:gridCol w:w="855"/>
        <w:gridCol w:w="146"/>
        <w:gridCol w:w="146"/>
        <w:gridCol w:w="236"/>
        <w:gridCol w:w="619"/>
        <w:gridCol w:w="146"/>
        <w:gridCol w:w="146"/>
        <w:gridCol w:w="295"/>
        <w:gridCol w:w="770"/>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2023 through March 31, 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2023 through June 30,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1, 2023 through September 30, 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1, 2023 through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2024 through March 31,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1, 2024 through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July 1, 2024 through September 30, 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October 1, 2024 through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Reissued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Paid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2025 through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5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p>
      <w:pPr>
        <w:pStyle w:val="TextBody"/>
        <w:bidi w:val="0"/>
        <w:jc w:val="left"/>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10. Financial Highlights</w:t>
      </w:r>
    </w:p>
    <w:p>
      <w:pPr>
        <w:pStyle w:val="TextBody"/>
        <w:bidi w:val="0"/>
        <w:spacing w:before="180" w:after="283"/>
        <w:jc w:val="both"/>
        <w:rPr>
          <w:rFonts w:ascii="Times New Roman" w:hAnsi="Times New Roman"/>
          <w:color w:val="000000"/>
          <w:sz w:val="20"/>
        </w:rPr>
      </w:pPr>
      <w:bookmarkStart w:id="13" w:name="fis_unidentified_table_15"/>
      <w:bookmarkEnd w:id="13"/>
      <w:r>
        <w:rPr>
          <w:rFonts w:ascii="Times New Roman" w:hAnsi="Times New Roman"/>
          <w:color w:val="000000"/>
          <w:sz w:val="20"/>
        </w:rPr>
        <w:t>The following is a schedule of financial highlights for the three months ended March 31, 2025 and 2024:</w:t>
      </w:r>
    </w:p>
    <w:p>
      <w:pPr>
        <w:pStyle w:val="TextBody"/>
        <w:bidi w:val="0"/>
        <w:jc w:val="both"/>
        <w:rPr/>
      </w:pPr>
      <w:r>
        <w:rPr/>
        <w:t> </w:t>
      </w:r>
    </w:p>
    <w:tbl>
      <w:tblPr>
        <w:tblW w:w="8699" w:type="dxa"/>
        <w:jc w:val="left"/>
        <w:tblInd w:w="0" w:type="dxa"/>
        <w:tblLayout w:type="fixed"/>
        <w:tblCellMar>
          <w:top w:w="28" w:type="dxa"/>
          <w:left w:w="28" w:type="dxa"/>
          <w:bottom w:w="28" w:type="dxa"/>
          <w:right w:w="28" w:type="dxa"/>
        </w:tblCellMar>
      </w:tblPr>
      <w:tblGrid>
        <w:gridCol w:w="5266"/>
        <w:gridCol w:w="146"/>
        <w:gridCol w:w="211"/>
        <w:gridCol w:w="1036"/>
        <w:gridCol w:w="331"/>
        <w:gridCol w:w="146"/>
        <w:gridCol w:w="211"/>
        <w:gridCol w:w="1036"/>
        <w:gridCol w:w="316"/>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1"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 share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investment income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realized gain (loss) on investments, net of tax (provision)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Net unrealized appreciation (depreciation) on investments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Realized losses on extinguishment of debt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increase from investment operations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Accretive (dilutive) effect of share issuances and repurchases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Dividends declared to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value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outstanding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34,970,709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31,426,149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34,077,720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30,776,758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677,930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608,340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Average net assets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666,798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598,907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Ratios to average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expenses </w:t>
            </w:r>
            <w:r>
              <w:rPr>
                <w:rFonts w:ascii="Times New Roman" w:hAnsi="Times New Roman"/>
                <w:color w:val="000000"/>
                <w:sz w:val="13"/>
              </w:rPr>
              <w:t>(2)(4)(10)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investment income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market value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Total return based on net asset value </w:t>
            </w:r>
            <w:r>
              <w:rPr>
                <w:rFonts w:ascii="Times New Roman" w:hAnsi="Times New Roman"/>
                <w:color w:val="000000"/>
                <w:sz w:val="13"/>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Portfolio turnover ratio </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Average debt outstanding </w:t>
            </w:r>
            <w:r>
              <w:rPr>
                <w:rFonts w:ascii="Times New Roman" w:hAnsi="Times New Roman"/>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514,638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469,503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Average debt per share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Weighted average per share data.</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Annualized with the exception of income tax (provision) benefit from realized gains on investments.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total expenses to average net assets ratio is calculated using (i) the “total expenses, net of base management waiver”, (ii) the “income tax provision (benefit)”, and (iii) the “income tax (provision) benefit from realized gains on investments” captions, as presented on the consolidated statements of operations.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The net investment income to average net assets ratio is annualized and calculated using the net investment income caption as presented on the consolidated statements of operations, which includes incentive fee.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(6)</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Average net assets is calculated as the average of the net asset balances as of each quarter end during the fiscal year and the prior year end.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(7)</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Average debt outstanding is calculated as the average of the outstanding debt balances, including secured borrowings, as of each quarter end during the fiscal year and the prior year end.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(8)</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(9)</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Annualized.</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(10)</w:t>
      </w:r>
    </w:p>
    <w:p>
      <w:pPr>
        <w:pStyle w:val="TextBody"/>
        <w:bidi w:val="0"/>
        <w:jc w:val="both"/>
        <w:rPr>
          <w:rFonts w:ascii="Times New Roman" w:hAnsi="Times New Roman"/>
          <w:color w:val="000000"/>
          <w:sz w:val="16"/>
        </w:rPr>
      </w:pPr>
      <w:r>
        <w:rPr>
          <w:rFonts w:ascii="Times New Roman" w:hAnsi="Times New Roman"/>
          <w:color w:val="000000"/>
          <w:sz w:val="16"/>
        </w:rPr>
        <w:t>The following are schedules of supplemental expense ratios to average net assets:</w:t>
      </w:r>
    </w:p>
    <w:p>
      <w:pPr>
        <w:pStyle w:val="TextBody"/>
        <w:bidi w:val="0"/>
        <w:jc w:val="both"/>
        <w:rPr/>
      </w:pPr>
      <w:r>
        <w:rPr/>
        <w:t> </w:t>
      </w:r>
    </w:p>
    <w:tbl>
      <w:tblPr>
        <w:tblW w:w="7031" w:type="dxa"/>
        <w:jc w:val="left"/>
        <w:tblInd w:w="0" w:type="dxa"/>
        <w:tblLayout w:type="fixed"/>
        <w:tblCellMar>
          <w:top w:w="28" w:type="dxa"/>
          <w:left w:w="28" w:type="dxa"/>
          <w:bottom w:w="28" w:type="dxa"/>
          <w:right w:w="28" w:type="dxa"/>
        </w:tblCellMar>
      </w:tblPr>
      <w:tblGrid>
        <w:gridCol w:w="3781"/>
        <w:gridCol w:w="146"/>
        <w:gridCol w:w="248"/>
        <w:gridCol w:w="792"/>
        <w:gridCol w:w="460"/>
        <w:gridCol w:w="248"/>
        <w:gridCol w:w="248"/>
        <w:gridCol w:w="792"/>
        <w:gridCol w:w="31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Ratio to average net assets: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6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Expenses other than incentive fee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Incentive fee, net of incentive fee waiver </w:t>
            </w:r>
            <w:r>
              <w:rPr>
                <w:rFonts w:ascii="Times New Roman" w:hAnsi="Times New Roman"/>
                <w:color w:val="000000"/>
                <w:sz w:val="13"/>
              </w:rPr>
              <w:t>(4)(9)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6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expenses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4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shares and per share data)</w:t>
      </w:r>
    </w:p>
    <w:tbl>
      <w:tblPr>
        <w:tblW w:w="7751" w:type="dxa"/>
        <w:jc w:val="left"/>
        <w:tblInd w:w="0" w:type="dxa"/>
        <w:tblLayout w:type="fixed"/>
        <w:tblCellMar>
          <w:top w:w="28" w:type="dxa"/>
          <w:left w:w="28" w:type="dxa"/>
          <w:bottom w:w="28" w:type="dxa"/>
          <w:right w:w="28" w:type="dxa"/>
        </w:tblCellMar>
      </w:tblPr>
      <w:tblGrid>
        <w:gridCol w:w="4501"/>
        <w:gridCol w:w="146"/>
        <w:gridCol w:w="239"/>
        <w:gridCol w:w="764"/>
        <w:gridCol w:w="543"/>
        <w:gridCol w:w="239"/>
        <w:gridCol w:w="239"/>
        <w:gridCol w:w="764"/>
        <w:gridCol w:w="31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8" w:type="dxa"/>
            <w:gridSpan w:val="6"/>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Ratio to average net assets: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4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expenses, before base management fee waiver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Base management fee waiver </w:t>
            </w:r>
            <w:r>
              <w:rPr>
                <w:rFonts w:ascii="Times New Roman" w:hAnsi="Times New Roman"/>
                <w:color w:val="000000"/>
                <w:sz w:val="13"/>
              </w:rPr>
              <w:t>(4)(9)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4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expenses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(11)</w:t>
      </w:r>
    </w:p>
    <w:p>
      <w:pPr>
        <w:pStyle w:val="TextBody"/>
        <w:bidi w:val="0"/>
        <w:jc w:val="left"/>
        <w:rPr>
          <w:rFonts w:ascii="Times New Roman" w:hAnsi="Times New Roman"/>
          <w:color w:val="000000"/>
          <w:sz w:val="16"/>
        </w:rPr>
      </w:pPr>
      <w:r>
        <w:rPr>
          <w:rFonts w:ascii="Times New Roman" w:hAnsi="Times New Roman"/>
          <w:color w:val="000000"/>
          <w:sz w:val="16"/>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p>
      <w:pPr>
        <w:pStyle w:val="TextBody"/>
        <w:bidi w:val="0"/>
        <w:jc w:val="left"/>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Note 11. Subsequent Events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April 15, 2025, the Company invested $5,000 in first lien debt, $362 in preferred equity, $388 in common equity, and committed up to $4,000 in a revolving loan to Laboratory Testing, LLC, a provider of material testing and calibration services, primarily to the Aerospace &amp; Defense end market.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April 23, 2025, the Company exited its debt investments in Elements Brands, LLC. The Company received payment in full of $3,706 on its first lien debt, which includes fees.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May 5, 2025, the Board declared a regular quarterly dividend of $0.43 per share and a supplemental dividend of $0.11 per share payable on June 25, 2025, to stockholders of record as of June 13, 2025.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May 5, 2025, the Company issued an additional $10,000 in SBA debentures, which will bear interest at a fixed interim interest rate of 5.163% until the pooling date in September 2025. </w:t>
      </w:r>
    </w:p>
    <w:p>
      <w:pPr>
        <w:pStyle w:val="TextBody"/>
        <w:bidi w:val="0"/>
        <w:spacing w:before="18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2_mda"/>
      <w:bookmarkEnd w:id="14"/>
      <w:r>
        <w:rPr>
          <w:rFonts w:ascii="Times New Roman" w:hAnsi="Times New Roman"/>
          <w:b/>
          <w:color w:val="000000"/>
          <w:sz w:val="20"/>
        </w:rPr>
        <w:t>Item 2. Management’s Discussion and Analysis of Financial Condition and Results</w:t>
      </w:r>
      <w:r>
        <w:rPr>
          <w:rFonts w:ascii="Times New Roman" w:hAnsi="Times New Roman"/>
          <w:color w:val="000000"/>
          <w:sz w:val="20"/>
        </w:rPr>
        <w:t xml:space="preserve"> </w:t>
      </w:r>
      <w:r>
        <w:rPr>
          <w:rFonts w:ascii="Times New Roman" w:hAnsi="Times New Roman"/>
          <w:b/>
          <w:color w:val="000000"/>
          <w:sz w:val="20"/>
        </w:rPr>
        <w:t>of Operations.</w:t>
      </w:r>
    </w:p>
    <w:p>
      <w:pPr>
        <w:pStyle w:val="TextBody"/>
        <w:bidi w:val="0"/>
        <w:spacing w:before="180" w:after="283"/>
        <w:jc w:val="both"/>
        <w:rPr>
          <w:rFonts w:ascii="Times New Roman" w:hAnsi="Times New Roman"/>
          <w:sz w:val="20"/>
        </w:rPr>
      </w:pPr>
      <w:r>
        <w:rPr>
          <w:rFonts w:ascii="Times New Roman" w:hAnsi="Times New Roman"/>
          <w:i/>
          <w:color w:val="000000"/>
          <w:sz w:val="20"/>
        </w:rPr>
        <w:t>The following discussion and analysis of our financial condition and</w:t>
      </w:r>
      <w:r>
        <w:rPr>
          <w:rFonts w:ascii="Times New Roman" w:hAnsi="Times New Roman"/>
          <w:color w:val="000000"/>
          <w:sz w:val="20"/>
        </w:rPr>
        <w:t xml:space="preserve"> </w:t>
      </w:r>
      <w:r>
        <w:rPr>
          <w:rFonts w:ascii="Times New Roman" w:hAnsi="Times New Roman"/>
          <w:i/>
          <w:color w:val="000000"/>
          <w:sz w:val="20"/>
        </w:rPr>
        <w:t>results of operations should be read in conjunction with Fidus Investment Corporation’s consolidated financial statements and related notes appearing</w:t>
      </w:r>
      <w:r>
        <w:rPr>
          <w:rFonts w:ascii="Times New Roman" w:hAnsi="Times New Roman"/>
          <w:color w:val="000000"/>
          <w:sz w:val="20"/>
        </w:rPr>
        <w:t xml:space="preserve"> </w:t>
      </w:r>
      <w:r>
        <w:rPr>
          <w:rFonts w:ascii="Times New Roman" w:hAnsi="Times New Roman"/>
          <w:i/>
          <w:color w:val="000000"/>
          <w:sz w:val="20"/>
        </w:rPr>
        <w:t>in our annual report on Form 10-K for the year ended December 31, 2024, filed with the SEC on March 6, 2025. The</w:t>
      </w:r>
      <w:r>
        <w:rPr>
          <w:rFonts w:ascii="Times New Roman" w:hAnsi="Times New Roman"/>
          <w:color w:val="000000"/>
          <w:sz w:val="20"/>
        </w:rPr>
        <w:t xml:space="preserve"> </w:t>
      </w:r>
      <w:r>
        <w:rPr>
          <w:rFonts w:ascii="Times New Roman" w:hAnsi="Times New Roman"/>
          <w:i/>
          <w:color w:val="000000"/>
          <w:sz w:val="20"/>
        </w:rPr>
        <w:t>information contained in this section should also be read in conjunction with</w:t>
      </w:r>
      <w:r>
        <w:rPr>
          <w:rFonts w:ascii="Times New Roman" w:hAnsi="Times New Roman"/>
          <w:color w:val="000000"/>
          <w:sz w:val="20"/>
        </w:rPr>
        <w:t xml:space="preserve"> </w:t>
      </w:r>
      <w:r>
        <w:rPr>
          <w:rFonts w:ascii="Times New Roman" w:hAnsi="Times New Roman"/>
          <w:i/>
          <w:color w:val="000000"/>
          <w:sz w:val="20"/>
        </w:rPr>
        <w:t>our unaudited consolidated financial statements and related notes thereto</w:t>
      </w:r>
      <w:r>
        <w:rPr>
          <w:rFonts w:ascii="Times New Roman" w:hAnsi="Times New Roman"/>
          <w:color w:val="000000"/>
          <w:sz w:val="20"/>
        </w:rPr>
        <w:t xml:space="preserve"> </w:t>
      </w:r>
      <w:r>
        <w:rPr>
          <w:rFonts w:ascii="Times New Roman" w:hAnsi="Times New Roman"/>
          <w:i/>
          <w:color w:val="000000"/>
          <w:sz w:val="20"/>
        </w:rPr>
        <w:t>appearing elsewhere in this Quarterly Report on Form 10-Q.</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Except as otherwise specified, references to “we,” “us,” “our,” “Fidus” and “FIC” refer to Fidus Investment Corporation and its consolidated subsidiaries.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our future operating results;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changes in the financial and lending markets;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business prospects and the prospects of our portfolio companies, including our and their ability to achieve our respective objectives;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of investments that we expect to make;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contractual arrangements and relationships with third parties;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dependence of our future success on the general economy and its impact on the industries in which we invest;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an economic downturn and its impacts on the ability of our portfolio companies to operate and the investment opportunities available to us;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impact of geopolitical conditions, including the ongoing conflict between Ukraine and Russia, the ongoing conflicts in the Middle East, and U.S. and China relations, and its impact on financial market volatility, global economic markets, and various sectors, industries and markets for commodities globally;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uncertainty associated with the imposition of tariffs and trade barriers and changes in trade policies and its impact on our portfolio companies and our financial condition;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of our portfolio companies to achieve their objectives;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expected financing and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adequacy of our cash resources and working capital;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timing of cash flows, if any, from the operations of our portfolio companies;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of the Investment Advisor to locate suitable investments for us and to monitor and administer our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ability of our Investment Advisor to attract and retain highly talented professionals;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regulatory structure and tax treatment;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operate as a BDC and a RIC and each of the SBIC Funds to operate as an SBIC;</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timing, form and amount of any dividend distributions;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impact of interest rate volatility and the elevated level of inflation on our business and portfolio companies;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valuation of any investments in portfolio companies, particularly those having no liquid trading market;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ability to recover unrealized losses.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an economic downturn and significant disruptions to our portfolio companies, including supply chain disruptions and labor shortages, could impair our portfolio companies’ ability to continue to operate, which could lead to the loss of some or all of our investments in such portfolio companies;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 contraction of available credit and/or an inability to access the equity markets could impair our lending and investment activities;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interest rate vo</w:t>
      </w:r>
      <w:r>
        <w:rPr>
          <w:rFonts w:ascii="Times New Roman" w:hAnsi="Times New Roman"/>
          <w:color w:val="000000"/>
          <w:sz w:val="20"/>
          <w:u w:val="single"/>
        </w:rPr>
        <w:t>l</w:t>
      </w:r>
      <w:r>
        <w:rPr>
          <w:rFonts w:ascii="Times New Roman" w:hAnsi="Times New Roman"/>
          <w:color w:val="000000"/>
          <w:sz w:val="20"/>
        </w:rPr>
        <w:t>atility could adversely affect our results, particularly because we use leverage as part of our investment strategy;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elevated level of inflation could adversely affect our business, results of operations and financial condition of our portfolio companies, which may, in turn, impact the valuation of such portfolio companies;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the risks, uncertainties and other factors we identify in Item 1A. – Risk Factors contained in our Annual Report on Form 10-K for the year ended December 31, 2024, elsewhere in this Quarterly Report on Form 10-Q and in our other filings with the SEC.</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Times New Roman" w:hAnsi="Times New Roman"/>
          <w:i/>
          <w:color w:val="000000"/>
          <w:sz w:val="20"/>
        </w:rPr>
        <w:t>Item 1.A – Risk Factors</w:t>
      </w:r>
      <w:r>
        <w:rPr>
          <w:rFonts w:ascii="Times New Roman" w:hAnsi="Times New Roman"/>
          <w:color w:val="000000"/>
          <w:sz w:val="20"/>
        </w:rPr>
        <w:t xml:space="preserve"> contained in our Annual Report on Form 10-K for the year ended December 31, 2024, filed with the SEC on March 6, 2025. You should not place undue reliance on these forward-looking statements, which apply only as of the date of this Quarterly Report on Form 10-Q.</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General and Corporate Structure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FIC was formed as a Maryland corporation on February 14, 2011. We completed our initial public offering, or IPO, in June 2011. On June 20, 2011, FIC acquired all of the limited partnership interests of Fidus Mezzanine Capital, L.P. (“Fund I”) and membership interests of Fidus Mezzanine Capital GP, LLC, its general partner, resulting in Fund I becoming our wholly-owned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We commenced operations of Fidus Mezzanine Capital II, L.P. (“Fund II”), Fidus Mezzanine Capital III, L.P. (“Fund III”), and Fidus Mezzanine Capital IV, L.P. (“Fund IV”), each a wholly owned subsidiary, on March 29, 2013, April 18, 2018, and November 28, 2023,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Fund III and Fund IV received their SBIC licenses on March 21, 2019 and September 30, 2024, respectively. We plan to continue to operate Fund III and Fund IV as SBICs, subject to SBA approval, and to utilize the proceeds of the sale of SBA-guaranteed debentures to enhance returns to our stockholders. Fund I and Fund II completed their wind-down plans, can no longer issue additional SBA debentures, and relinquished their SBIC licenses on March 20, 2020 and March 7, 2024, respectively. We have also made, and continue to make, investments directly through FIC. We believe that utilizing FIC and the SBIC Funds as investment vehicles provides us with access to a broader array of investment opportunities.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certain wholly-owned subsidiaries (the “Taxable Subsidiaries”), each of which generally holds one or more of our portfolio investments listed on the consolidated schedules of investments, and have elected to be treated as corporations for U.S. federal income tax purposes and are thus subject to U.S. federal income tax imposed at corporate rates. The Taxable Subsidiaries are consolidated for financial reporting purposes, such that our consolidated financial statements reflect our investment in the portfolio company investments owned by the Taxable Subsidiaries. The purpose of the Taxable Subsidiaries are to permit us to hold equity investments in portfolio companies that are classified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income tax purposes, and each Taxable Subsidiary will be subject to U.S. federal income tax on its taxable income. Any such income or expense is reflected in the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Investments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pStyle w:val="TextBody"/>
        <w:bidi w:val="0"/>
        <w:spacing w:before="0" w:after="180"/>
        <w:jc w:val="both"/>
        <w:rPr>
          <w:rFonts w:ascii="Times New Roman" w:hAnsi="Times New Roman"/>
          <w:sz w:val="20"/>
        </w:rPr>
      </w:pPr>
      <w:r>
        <w:rPr>
          <w:rFonts w:ascii="Times New Roman" w:hAnsi="Times New Roman"/>
          <w:i/>
          <w:color w:val="000000"/>
          <w:sz w:val="20"/>
        </w:rPr>
        <w:t>First Lien Debt.</w:t>
      </w:r>
      <w:r>
        <w:rPr>
          <w:rFonts w:ascii="Times New Roman" w:hAnsi="Times New Roman"/>
          <w:color w:val="000000"/>
          <w:sz w:val="20"/>
        </w:rPr>
        <w:t xml:space="preserve"> We structure some of our investments as senior secured or first lien debt investments. First lien debt 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variable interest rate, generally with a PRIME or SOFR floor.</w:t>
      </w:r>
    </w:p>
    <w:p>
      <w:pPr>
        <w:pStyle w:val="TextBody"/>
        <w:bidi w:val="0"/>
        <w:spacing w:before="0" w:after="180"/>
        <w:jc w:val="both"/>
        <w:rPr>
          <w:rFonts w:ascii="Times New Roman" w:hAnsi="Times New Roman"/>
          <w:sz w:val="20"/>
        </w:rPr>
      </w:pPr>
      <w:r>
        <w:rPr>
          <w:rFonts w:ascii="Times New Roman" w:hAnsi="Times New Roman"/>
          <w:i/>
          <w:color w:val="000000"/>
          <w:sz w:val="20"/>
        </w:rPr>
        <w:t>Second Lien Debt.</w:t>
      </w:r>
      <w:r>
        <w:rPr>
          <w:rFonts w:ascii="Times New Roman" w:hAnsi="Times New Roman"/>
          <w:color w:val="000000"/>
          <w:sz w:val="20"/>
        </w:rPr>
        <w:t xml:space="preserve"> Some of our debt investments take the form of second lien debt, which includes senior subordinated notes. Second lien 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 </w:t>
      </w:r>
    </w:p>
    <w:p>
      <w:pPr>
        <w:pStyle w:val="TextBody"/>
        <w:bidi w:val="0"/>
        <w:spacing w:before="0" w:after="180"/>
        <w:jc w:val="both"/>
        <w:rPr>
          <w:rFonts w:ascii="Times New Roman" w:hAnsi="Times New Roman"/>
          <w:sz w:val="20"/>
        </w:rPr>
      </w:pPr>
      <w:r>
        <w:rPr>
          <w:rFonts w:ascii="Times New Roman" w:hAnsi="Times New Roman"/>
          <w:i/>
          <w:color w:val="000000"/>
          <w:sz w:val="20"/>
        </w:rPr>
        <w:t>Subordinated Debt.</w:t>
      </w:r>
      <w:r>
        <w:rPr>
          <w:rFonts w:ascii="Times New Roman" w:hAnsi="Times New Roman"/>
          <w:color w:val="000000"/>
          <w:sz w:val="20"/>
        </w:rPr>
        <w:t xml:space="preserve"> These investments are typically structured as unsecured, subordinated notes. Structurally, subordinated debt usually ranks 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pStyle w:val="TextBody"/>
        <w:bidi w:val="0"/>
        <w:spacing w:before="60" w:after="180"/>
        <w:jc w:val="both"/>
        <w:rPr>
          <w:rFonts w:ascii="Times New Roman" w:hAnsi="Times New Roman"/>
          <w:sz w:val="20"/>
        </w:rPr>
      </w:pPr>
      <w:r>
        <w:rPr>
          <w:rFonts w:ascii="Times New Roman" w:hAnsi="Times New Roman"/>
          <w:i/>
          <w:color w:val="000000"/>
          <w:sz w:val="20"/>
        </w:rPr>
        <w:t>Equity Securities</w:t>
      </w:r>
      <w:r>
        <w:rPr>
          <w:rFonts w:ascii="Times New Roman" w:hAnsi="Times New Roman"/>
          <w:color w:val="000000"/>
          <w:sz w:val="20"/>
        </w:rPr>
        <w:t>. Our equity investments typically consist of either a direct minority equity investment in common or preferred stock or 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xml:space="preserve">: We generate revenue in the form of interest and fee income on debt investments and dividends, if any, on equity investments. Our debt investments, whether in the form of second lien, subordinated or first lien loans, typically have terms of five to seven years and most bear interest at fixed or variable rates.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pStyle w:val="TextBody"/>
        <w:bidi w:val="0"/>
        <w:spacing w:before="180" w:after="283"/>
        <w:jc w:val="both"/>
        <w:rPr>
          <w:rFonts w:ascii="Times New Roman" w:hAnsi="Times New Roman"/>
          <w:sz w:val="20"/>
        </w:rPr>
      </w:pPr>
      <w:r>
        <w:rPr>
          <w:rFonts w:ascii="Times New Roman" w:hAnsi="Times New Roman"/>
          <w:i/>
          <w:color w:val="000000"/>
          <w:sz w:val="20"/>
        </w:rPr>
        <w:t>Expenses</w:t>
      </w:r>
      <w:r>
        <w:rPr>
          <w:rFonts w:ascii="Times New Roman" w:hAnsi="Times New Roman"/>
          <w:color w:val="000000"/>
          <w:sz w:val="20"/>
        </w:rPr>
        <w:t xml:space="preserve">: All investment professionals of the Investment Advisor and/or its affiliates, when and to the extent engaged in providing investment 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 limitation, those relating to: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organization;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calculating our net asset value (including the cost and expenses of any independent valuation firm);</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fees and expenses incurred by the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interest payable on debt, if any, incurred to finance our 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offerings of our common stock and other securities;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advisory fees and management fees;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transfer agent, dividend agent and custodial fees and expenses;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federal and state registration fees;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costs of registration and listing our shares on any securities exchange;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U.S. federal, state and local taxes;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Independent Directors’ fees and expenses;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costs of preparing and filing reports or other documents required by the SEC or other regulators including printing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costs of any reports, proxy statements or other notices to stockholders, including printing and mailing costs;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allocable portion of any fidelity bond, directors and officers/errors and omissions liability insurance, and any other insurance premiums;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direct costs and expenses of administration, including printing, mailing, long distance telephone, copying, secretarial and other staff, independent auditors and outside legal costs;</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proxy voting expenses;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all other expenses reasonably incurred by us or the Investment Advisor in connection with administering our business.</w:t>
      </w:r>
    </w:p>
    <w:p>
      <w:pPr>
        <w:pStyle w:val="TextBody"/>
        <w:bidi w:val="0"/>
        <w:spacing w:before="180" w:after="283"/>
        <w:jc w:val="left"/>
        <w:rPr>
          <w:rFonts w:ascii="Times New Roman" w:hAnsi="Times New Roman"/>
          <w:sz w:val="20"/>
        </w:rPr>
      </w:pPr>
      <w:r>
        <w:rPr>
          <w:rFonts w:ascii="Times New Roman" w:hAnsi="Times New Roman"/>
          <w:b/>
          <w:color w:val="000000"/>
          <w:sz w:val="20"/>
        </w:rPr>
        <w:t>Portfolio Composition, Investment Activity and Yield</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three months ended March 31, 2025 and 2024, we invested $115.6 million and $145.9 million, respectively, in debt and equity investments including seven and seven new portfolio companies, respectively. During the three months ended March 31, 2025 and 2024, we received proceeds from sales or repayments, including principal, return of capital dividends and net realized gains (losses), of $57.3 million and $60.2 million, respectively, including an exit of two portfolio companies and one portfolio company, respectively. The following table summarizes purchases of investments and sales and repayments of investments by type for the three months ended March 31, 2025 and 2024 (dollars in millions).</w:t>
      </w:r>
    </w:p>
    <w:tbl>
      <w:tblPr>
        <w:tblW w:w="10047" w:type="dxa"/>
        <w:jc w:val="left"/>
        <w:tblInd w:w="0" w:type="dxa"/>
        <w:tblLayout w:type="fixed"/>
        <w:tblCellMar>
          <w:top w:w="28" w:type="dxa"/>
          <w:left w:w="28" w:type="dxa"/>
          <w:bottom w:w="28" w:type="dxa"/>
          <w:right w:w="28" w:type="dxa"/>
        </w:tblCellMar>
      </w:tblPr>
      <w:tblGrid>
        <w:gridCol w:w="1426"/>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421"/>
        <w:gridCol w:w="146"/>
        <w:gridCol w:w="146"/>
        <w:gridCol w:w="146"/>
        <w:gridCol w:w="511"/>
        <w:gridCol w:w="241"/>
        <w:gridCol w:w="146"/>
        <w:gridCol w:w="146"/>
        <w:gridCol w:w="196"/>
        <w:gridCol w:w="421"/>
        <w:gridCol w:w="146"/>
        <w:gridCol w:w="146"/>
        <w:gridCol w:w="146"/>
        <w:gridCol w:w="511"/>
        <w:gridCol w:w="241"/>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Purchases of Investments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Sales and Repayments of Investments</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3" w:type="dxa"/>
            <w:gridSpan w:val="3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First Lien Debt</w:t>
            </w:r>
            <w:r>
              <w:rPr>
                <w:rFonts w:ascii="Times New Roman" w:hAnsi="Times New Roman"/>
                <w:color w:val="000000"/>
                <w:sz w:val="11"/>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For the three months ended March 31, 2025 and 2024, first lien debt includes unitranche securities, which account for 51.5% and 36.5% of purchases, respectively. For the three months ended March 31, 2025 and 2024, first lien debt includes unitranche securities, which account for 1.0% and 3.0% of repayments,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March 31, 2025, the fair value of our investment portfolio totaled $1.2 billion and consisted of 92 active portfolio companies and four portfolio companies that have sold their underlying operations. As of March 31, 2025, 52 portfolio companies’ debt investments bore interest at a variable rate, which represented $740.3 million, or 72.8%, of our debt investment portfolio on a fair value basis, and the remainder of our debt investment portfolio was comprised of fixed-rate investments. Overall, the portfolio had net unrealized appreciation of $5.6 million as of March 31, 2025. As of March 31, 2025, our average active portfolio company investment at amortized cost was $12.5 million, which excludes investments in four portfolio companies that have sold their underlying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December 31, 2024, the fair value of our investment portfolio totaled $1.1 billion and consisted of 87 active portfolio companies and four portfolio companies that have sold their underlying operations. As of December 31, 2024, 50 portfolio companies’ debt investments bore interest at a variable rate, which represented $704.0 million, or 74.5%, of our debt investment portfolio on a fair value basis, and the remainder of our debt investment portfolio was comprised of fixed-rate investments. Overall, the portfolio had net unrealized appreciation of $15.3 million as of December 31, 2024. As of December 31, 2024, our average active portfolio company investment at amortized cost was $12.4 million, which excludes investments in four portfolio companies that have sold their underlying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weighted average yield on debt investments as of March 31, 2025 and December 31, 2024 was 13.2% and 13.3%,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including the accretion of OID and debt investment origination fees, but excluding investments on non-accrual status.</w:t>
      </w:r>
    </w:p>
    <w:p>
      <w:pPr>
        <w:pStyle w:val="TextBody"/>
        <w:bidi w:val="0"/>
        <w:spacing w:before="180" w:after="120"/>
        <w:jc w:val="both"/>
        <w:rPr>
          <w:rFonts w:ascii="Times New Roman" w:hAnsi="Times New Roman"/>
          <w:color w:val="000000"/>
          <w:sz w:val="20"/>
        </w:rPr>
      </w:pPr>
      <w:r>
        <w:rPr>
          <w:rFonts w:ascii="Times New Roman" w:hAnsi="Times New Roman"/>
          <w:color w:val="000000"/>
          <w:sz w:val="20"/>
        </w:rPr>
        <w:t>The following table shows the portfolio composition by investment type at fair value and cost and as a percentage of total investments (dollars in millions):</w:t>
      </w:r>
    </w:p>
    <w:tbl>
      <w:tblPr>
        <w:tblW w:w="10392" w:type="dxa"/>
        <w:jc w:val="left"/>
        <w:tblInd w:w="0" w:type="dxa"/>
        <w:tblLayout w:type="fixed"/>
        <w:tblCellMar>
          <w:top w:w="28" w:type="dxa"/>
          <w:left w:w="28" w:type="dxa"/>
          <w:bottom w:w="28" w:type="dxa"/>
          <w:right w:w="28" w:type="dxa"/>
        </w:tblCellMar>
      </w:tblPr>
      <w:tblGrid>
        <w:gridCol w:w="1051"/>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First Lien Debt</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(1) Includes unitranche investments, which account for 44.6% and 44.7% of our portfolio on a fair value and cost basis as of March 31, 2025, respectively. Includes unitranche investments, which account for 39.9% and 40.4% of our portfolio on a fair value and cost basis as of December 31, 2024, respectively.</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367" w:type="dxa"/>
        <w:jc w:val="left"/>
        <w:tblInd w:w="0" w:type="dxa"/>
        <w:tblLayout w:type="fixed"/>
        <w:tblCellMar>
          <w:top w:w="28" w:type="dxa"/>
          <w:left w:w="28" w:type="dxa"/>
          <w:bottom w:w="28" w:type="dxa"/>
          <w:right w:w="28" w:type="dxa"/>
        </w:tblCellMar>
      </w:tblPr>
      <w:tblGrid>
        <w:gridCol w:w="92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291"/>
      </w:tblGrid>
      <w:tr>
        <w:trPr/>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Midwest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Southeast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Northeast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Southwest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The following table shows the detailed industry composition of our portfolio at fair value and cost as a percentage of total investments: </w:t>
      </w:r>
    </w:p>
    <w:tbl>
      <w:tblPr>
        <w:tblW w:w="8340" w:type="dxa"/>
        <w:jc w:val="left"/>
        <w:tblInd w:w="0" w:type="dxa"/>
        <w:tblLayout w:type="fixed"/>
        <w:tblCellMar>
          <w:top w:w="28" w:type="dxa"/>
          <w:left w:w="28" w:type="dxa"/>
          <w:bottom w:w="28" w:type="dxa"/>
          <w:right w:w="28" w:type="dxa"/>
        </w:tblCellMar>
      </w:tblPr>
      <w:tblGrid>
        <w:gridCol w:w="2701"/>
        <w:gridCol w:w="146"/>
        <w:gridCol w:w="190"/>
        <w:gridCol w:w="665"/>
        <w:gridCol w:w="241"/>
        <w:gridCol w:w="146"/>
        <w:gridCol w:w="242"/>
        <w:gridCol w:w="853"/>
        <w:gridCol w:w="241"/>
        <w:gridCol w:w="146"/>
        <w:gridCol w:w="190"/>
        <w:gridCol w:w="665"/>
        <w:gridCol w:w="241"/>
        <w:gridCol w:w="146"/>
        <w:gridCol w:w="242"/>
        <w:gridCol w:w="853"/>
        <w:gridCol w:w="24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Information Technology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Business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Component Manufacturing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Utilities: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Building Products Manufacturing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Specialty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Environmental Industries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Promotional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Transportation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Aerospace &amp; Defense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Products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Industrial Cleaning &amp; Coatings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Oil &amp; Gas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Industrial Product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6"/>
        </w:rPr>
      </w:pPr>
      <w:r>
        <w:rPr>
          <w:rFonts w:ascii="Times New Roman" w:hAnsi="Times New Roman"/>
          <w:color w:val="000000"/>
          <w:sz w:val="16"/>
        </w:rPr>
        <w:t>(1) Percentage is less than 0.1% of respective total.</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Portfolio Asset Quality</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Rating 4 is used for investments performing materially below expectations and the risk has increased materially since origination. The investment has the potential for some loss of investment return, but we expect no loss of principal.</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Investment Rating 5 is used for investments performing substantially below our expectations and the risks have increased substantially since origination. We expect some loss of principal.</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also have observed, and continue to observe, commodity inflation, elements of financial market instability (including elevated interest rates), supply chain disruptions, changes to U.S. tariff and trade policies, labor and resource shortages, an uncertain economic outlook for the United States (which may include a recession), and elements of geopolitical instability (including the ongoing war in Ukraine and U.S. and China relations and ongoing conflict in the Middle East). In the event that the U.S. economy enters into a protracted recession, it is possible that the results of certain U.S. middle market companies could experience deterioration. We are closely monitoring the effect of such market volatility may have on our portfolio companies and our investment activities. We also are maintaining close communications with our portfolio companies and have also increased oversight of credits in vulnerable industries to mitigate any decline in loan performance and reduce credit risk.</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following table shows the distribution of our investments on the 1 to 5 investment rating scale at fair value and cost as of March 31, 2025 and December 31, 2024 (dollars in millions):</w:t>
      </w:r>
    </w:p>
    <w:tbl>
      <w:tblPr>
        <w:tblW w:w="10257" w:type="dxa"/>
        <w:jc w:val="left"/>
        <w:tblInd w:w="0" w:type="dxa"/>
        <w:tblLayout w:type="fixed"/>
        <w:tblCellMar>
          <w:top w:w="28" w:type="dxa"/>
          <w:left w:w="28" w:type="dxa"/>
          <w:bottom w:w="28" w:type="dxa"/>
          <w:right w:w="28" w:type="dxa"/>
        </w:tblCellMar>
      </w:tblPr>
      <w:tblGrid>
        <w:gridCol w:w="91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46"/>
        <w:gridCol w:w="146"/>
        <w:gridCol w:w="196"/>
        <w:gridCol w:w="646"/>
        <w:gridCol w:w="146"/>
        <w:gridCol w:w="146"/>
        <w:gridCol w:w="146"/>
        <w:gridCol w:w="511"/>
        <w:gridCol w:w="241"/>
        <w:gridCol w:w="191"/>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5"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Based on our investment rating system, the weighted average rating of our portfolio as of March 31, 2025 and December 31, 2024 was 2.0 and 2.0, respectively, on a fair value basis and 2.2 and 2.2, respectively, on a cost basis.</w:t>
      </w:r>
    </w:p>
    <w:p>
      <w:pPr>
        <w:pStyle w:val="TextBody"/>
        <w:bidi w:val="0"/>
        <w:spacing w:before="0" w:after="180"/>
        <w:jc w:val="both"/>
        <w:rPr>
          <w:rFonts w:ascii="Times New Roman" w:hAnsi="Times New Roman"/>
          <w:i/>
          <w:color w:val="000000"/>
          <w:sz w:val="20"/>
        </w:rPr>
      </w:pPr>
      <w:r>
        <w:rPr>
          <w:rFonts w:ascii="Times New Roman" w:hAnsi="Times New Roman"/>
          <w:i/>
          <w:color w:val="000000"/>
          <w:sz w:val="20"/>
        </w:rPr>
        <w:t>Non-Accrual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March 31, 2025 and December 31, 2024, we had debt investments in four portfolio companies on non-accrual status (dollars in millions), respectively.</w:t>
      </w:r>
    </w:p>
    <w:tbl>
      <w:tblPr>
        <w:tblW w:w="6108" w:type="dxa"/>
        <w:jc w:val="left"/>
        <w:tblInd w:w="0" w:type="dxa"/>
        <w:tblLayout w:type="fixed"/>
        <w:tblCellMar>
          <w:top w:w="28" w:type="dxa"/>
          <w:left w:w="28" w:type="dxa"/>
          <w:bottom w:w="28" w:type="dxa"/>
          <w:right w:w="28" w:type="dxa"/>
        </w:tblCellMar>
      </w:tblPr>
      <w:tblGrid>
        <w:gridCol w:w="2356"/>
        <w:gridCol w:w="146"/>
        <w:gridCol w:w="196"/>
        <w:gridCol w:w="346"/>
        <w:gridCol w:w="146"/>
        <w:gridCol w:w="146"/>
        <w:gridCol w:w="196"/>
        <w:gridCol w:w="421"/>
        <w:gridCol w:w="146"/>
        <w:gridCol w:w="146"/>
        <w:gridCol w:w="196"/>
        <w:gridCol w:w="421"/>
        <w:gridCol w:w="146"/>
        <w:gridCol w:w="146"/>
        <w:gridCol w:w="196"/>
        <w:gridCol w:w="421"/>
        <w:gridCol w:w="146"/>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Quantum IR Technologies,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US GreenFiber,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Suited Connector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Virtex Enterprises,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180"/>
        <w:jc w:val="both"/>
        <w:rPr>
          <w:rFonts w:ascii="Times New Roman" w:hAnsi="Times New Roman"/>
          <w:sz w:val="20"/>
        </w:rPr>
      </w:pPr>
      <w:r>
        <w:rPr>
          <w:rFonts w:ascii="Times New Roman" w:hAnsi="Times New Roman"/>
          <w:b/>
          <w:color w:val="000000"/>
          <w:sz w:val="20"/>
        </w:rPr>
        <w:t>Discussion and Analysis of Results of Operations</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Comparison of three months ended March 31, 2025 and 2024</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Investment Income</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Below is a summary of the changes in total investment income for the three months ended March 31, 2025 as compared to the same period in 2024 (dollars in millions, percent change calculated based on underlying dollar amounts in thousands):</w:t>
      </w:r>
    </w:p>
    <w:tbl>
      <w:tblPr>
        <w:tblW w:w="8296" w:type="dxa"/>
        <w:jc w:val="left"/>
        <w:tblInd w:w="0" w:type="dxa"/>
        <w:tblLayout w:type="fixed"/>
        <w:tblCellMar>
          <w:top w:w="28" w:type="dxa"/>
          <w:left w:w="28" w:type="dxa"/>
          <w:bottom w:w="28" w:type="dxa"/>
          <w:right w:w="28" w:type="dxa"/>
        </w:tblCellMar>
      </w:tblPr>
      <w:tblGrid>
        <w:gridCol w:w="2851"/>
        <w:gridCol w:w="146"/>
        <w:gridCol w:w="308"/>
        <w:gridCol w:w="662"/>
        <w:gridCol w:w="229"/>
        <w:gridCol w:w="229"/>
        <w:gridCol w:w="308"/>
        <w:gridCol w:w="662"/>
        <w:gridCol w:w="146"/>
        <w:gridCol w:w="146"/>
        <w:gridCol w:w="265"/>
        <w:gridCol w:w="531"/>
        <w:gridCol w:w="166"/>
        <w:gridCol w:w="146"/>
        <w:gridCol w:w="256"/>
        <w:gridCol w:w="899"/>
        <w:gridCol w:w="346"/>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 Change </w:t>
            </w:r>
            <w:r>
              <w:rPr>
                <w:rFonts w:ascii="Times New Roman" w:hAnsi="Times New Roman"/>
                <w:b/>
                <w:color w:val="000000"/>
                <w:sz w:val="11"/>
              </w:rPr>
              <w:t>(1)(2)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Dividend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on idle funds and other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16"/>
        </w:rPr>
      </w:pPr>
      <w:r>
        <w:rPr>
          <w:rFonts w:ascii="Times New Roman" w:hAnsi="Times New Roman"/>
          <w:color w:val="000000"/>
          <w:sz w:val="16"/>
        </w:rPr>
        <w:t>(1) NM = Not meaningful</w:t>
      </w:r>
    </w:p>
    <w:p>
      <w:pPr>
        <w:pStyle w:val="TextBody"/>
        <w:bidi w:val="0"/>
        <w:jc w:val="both"/>
        <w:rPr>
          <w:rFonts w:ascii="Times New Roman" w:hAnsi="Times New Roman"/>
          <w:color w:val="000000"/>
          <w:sz w:val="16"/>
        </w:rPr>
      </w:pPr>
      <w:r>
        <w:rPr>
          <w:rFonts w:ascii="Times New Roman" w:hAnsi="Times New Roman"/>
          <w:color w:val="000000"/>
          <w:sz w:val="16"/>
        </w:rPr>
        <w:t>(2) Percent change calculated based on underlying dollar amounts in thousands as presented on the consolidated statements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months ended March 31, 2025, total investment income was $36.5 million, an increase of $1.8 million or 5.3%, from $34.7 million of total investment income for the three months ended March 31, 2024. As reflected in the table above, the increase is primarily attributable to the following:</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$2.5 million increase in total interest income (which includes payment-in-kind ("PIK") interest income) resulting from an increase in average debt investment balances, partially offset by a decrease in weighted average yield on debt investment balances outstanding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$0.8 million increase in dividend income due to an increase in distributions received from equity investments,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$0.3 million decrease in fee income resulting from a decrease in amendment and management services fees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$1.2 million decrease in interest on idle funds and other income resulting from a decrease in average cash balances outstanding during 2025 as compared to the same period in 2024.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Expenses</w:t>
      </w:r>
    </w:p>
    <w:p>
      <w:pPr>
        <w:pStyle w:val="TextBody"/>
        <w:bidi w:val="0"/>
        <w:spacing w:before="180" w:after="200"/>
        <w:jc w:val="both"/>
        <w:rPr>
          <w:rFonts w:ascii="Times New Roman" w:hAnsi="Times New Roman"/>
          <w:color w:val="000000"/>
          <w:sz w:val="20"/>
        </w:rPr>
      </w:pPr>
      <w:r>
        <w:rPr>
          <w:rFonts w:ascii="Times New Roman" w:hAnsi="Times New Roman"/>
          <w:color w:val="000000"/>
          <w:sz w:val="20"/>
        </w:rPr>
        <w:t>Below is a summary of the changes in total expenses, including income tax provision, for the three months ended March 31, 2025 as compared to the same period in 2024 (dollars in millions, percent change calculated based on underlying dollar amounts in thousands):</w:t>
      </w:r>
    </w:p>
    <w:tbl>
      <w:tblPr>
        <w:tblW w:w="9186" w:type="dxa"/>
        <w:jc w:val="left"/>
        <w:tblInd w:w="0" w:type="dxa"/>
        <w:tblLayout w:type="fixed"/>
        <w:tblCellMar>
          <w:top w:w="28" w:type="dxa"/>
          <w:left w:w="28" w:type="dxa"/>
          <w:bottom w:w="28" w:type="dxa"/>
          <w:right w:w="28" w:type="dxa"/>
        </w:tblCellMar>
      </w:tblPr>
      <w:tblGrid>
        <w:gridCol w:w="3721"/>
        <w:gridCol w:w="146"/>
        <w:gridCol w:w="308"/>
        <w:gridCol w:w="662"/>
        <w:gridCol w:w="229"/>
        <w:gridCol w:w="229"/>
        <w:gridCol w:w="308"/>
        <w:gridCol w:w="662"/>
        <w:gridCol w:w="166"/>
        <w:gridCol w:w="146"/>
        <w:gridCol w:w="265"/>
        <w:gridCol w:w="531"/>
        <w:gridCol w:w="166"/>
        <w:gridCol w:w="146"/>
        <w:gridCol w:w="268"/>
        <w:gridCol w:w="887"/>
        <w:gridCol w:w="346"/>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 Change </w:t>
            </w:r>
            <w:r>
              <w:rPr>
                <w:rFonts w:ascii="Times New Roman" w:hAnsi="Times New Roman"/>
                <w:b/>
                <w:color w:val="000000"/>
                <w:sz w:val="11"/>
              </w:rPr>
              <w:t>(1)(2)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 management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Incentive fee - income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Incentive fee (reversal) - capital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Administrative service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Other general and administrative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 management fee waiver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3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before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(benefit)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 including 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00" w:after="283"/>
        <w:jc w:val="both"/>
        <w:rPr>
          <w:rFonts w:ascii="Times New Roman" w:hAnsi="Times New Roman"/>
          <w:color w:val="000000"/>
          <w:sz w:val="16"/>
        </w:rPr>
      </w:pPr>
      <w:r>
        <w:rPr>
          <w:rFonts w:ascii="Times New Roman" w:hAnsi="Times New Roman"/>
          <w:color w:val="000000"/>
          <w:sz w:val="16"/>
        </w:rPr>
        <w:t>(1) NM = Not meaningful</w:t>
      </w:r>
    </w:p>
    <w:p>
      <w:pPr>
        <w:pStyle w:val="TextBody"/>
        <w:bidi w:val="0"/>
        <w:jc w:val="both"/>
        <w:rPr>
          <w:rFonts w:ascii="Times New Roman" w:hAnsi="Times New Roman"/>
          <w:color w:val="000000"/>
          <w:sz w:val="16"/>
        </w:rPr>
      </w:pPr>
      <w:r>
        <w:rPr>
          <w:rFonts w:ascii="Times New Roman" w:hAnsi="Times New Roman"/>
          <w:color w:val="000000"/>
          <w:sz w:val="16"/>
        </w:rPr>
        <w:t>(2) Percent change calculated based on underlying dollar amounts in thousands as presented on the consolidated statements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months ended March 31, 2025, total expenses, including income tax provision, were $18.3 million, an increase of $1.3 million or 7.3%, from the $17.0 million of total expenses, including income tax provision, for the three months ended March 31, 2024. As reflected in the table above, changes across the periods were primarily attributable to the following:</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$0.8 million increase in interest and financing expenses due to an increase the weighted average interest rate of our debt outstanding and an increase in average borrowings outstanding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$0.6 million net increase in base management fee, including the base management fee waiver, due to higher average total assets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$0.1 million increase in the income incentive fee due to an increase in pre-incentive fee net investment income during 2025 as compared to the same period in 2024.</w:t>
      </w:r>
    </w:p>
    <w:p>
      <w:pPr>
        <w:pStyle w:val="TextBody"/>
        <w:bidi w:val="0"/>
        <w:spacing w:before="180" w:after="283"/>
        <w:jc w:val="both"/>
        <w:rPr>
          <w:color w:val="000000"/>
        </w:rPr>
      </w:pPr>
      <w:r>
        <w:rPr>
          <w:color w:val="000000"/>
        </w:rPr>
        <w: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$0.2 million decrease in the accrued capital gains incentive fee due to a net $1.0 million decrease in net gain on investments and realized losses on extinguishment of debt during 2025 as compared to the same period in 2024.</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Net Investment Income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Net investment income increased by $0.6 million, or 3.4%, to $18.2 million during the three months ended March 31, 2025 as compared to the same period in 2024, as a result of the $1.8 million increase in total investment income and the $1.3 million increase in total expenses, including income tax provision.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Net Gain (Loss) on Investments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For the three months ended March 31, 2025, the total net realized gain/(loss) on investments, before income tax (provision)/benefit, was $13.3 million. Income tax (provision) benefit from realized gains on investments was $(1.8) million for the three months ended March 31, 2025. We realize a gain/(loss) on our equity investments primarily when we either sell our equity investment or the underlying portfolio company is sold. Realized gains (losses) for the three months ended March 31, 2025 are summarized below (dollars in millions):</w:t>
      </w:r>
    </w:p>
    <w:tbl>
      <w:tblPr>
        <w:tblW w:w="8425" w:type="dxa"/>
        <w:jc w:val="left"/>
        <w:tblInd w:w="0" w:type="dxa"/>
        <w:tblLayout w:type="fixed"/>
        <w:tblCellMar>
          <w:top w:w="28" w:type="dxa"/>
          <w:left w:w="28" w:type="dxa"/>
          <w:bottom w:w="28" w:type="dxa"/>
          <w:right w:w="28" w:type="dxa"/>
        </w:tblCellMar>
      </w:tblPr>
      <w:tblGrid>
        <w:gridCol w:w="4846"/>
        <w:gridCol w:w="146"/>
        <w:gridCol w:w="1936"/>
        <w:gridCol w:w="146"/>
        <w:gridCol w:w="362"/>
        <w:gridCol w:w="778"/>
        <w:gridCol w:w="21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Realization Event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(Losses)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Medsurant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 of portfolio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Healthfuse,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Exit of portfolio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benefit from realized gains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net of income tax provision,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4"/>
        <w:gridCol w:w="9921"/>
      </w:tblGrid>
      <w:tr>
        <w:trPr/>
        <w:tc>
          <w:tcPr>
            <w:tcW w:w="284" w:type="dxa"/>
            <w:tcBorders/>
            <w:vAlign w:val="center"/>
          </w:tcPr>
          <w:p>
            <w:pPr>
              <w:pStyle w:val="TableContents"/>
              <w:bidi w:val="0"/>
              <w:spacing w:before="0" w:after="283"/>
              <w:jc w:val="left"/>
              <w:rPr>
                <w:sz w:val="4"/>
                <w:szCs w:val="4"/>
              </w:rPr>
            </w:pPr>
            <w:r>
              <w:rPr>
                <w:sz w:val="4"/>
                <w:szCs w:val="4"/>
              </w:rPr>
            </w:r>
          </w:p>
        </w:tc>
        <w:tc>
          <w:tcPr>
            <w:tcW w:w="9921" w:type="dxa"/>
            <w:tcBorders/>
            <w:vAlign w:val="center"/>
          </w:tcPr>
          <w:p>
            <w:pPr>
              <w:pStyle w:val="TableContents"/>
              <w:bidi w:val="0"/>
              <w:spacing w:before="0" w:after="283"/>
              <w:jc w:val="left"/>
              <w:rPr>
                <w:sz w:val="4"/>
                <w:szCs w:val="4"/>
              </w:rPr>
            </w:pPr>
            <w:r>
              <w:rPr>
                <w:sz w:val="4"/>
                <w:szCs w:val="4"/>
              </w:rPr>
            </w:r>
          </w:p>
        </w:tc>
      </w:tr>
      <w:tr>
        <w:trPr/>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tc>
      </w:tr>
    </w:tbl>
    <w:p>
      <w:pPr>
        <w:pStyle w:val="TextBody"/>
        <w:bidi w:val="0"/>
        <w:spacing w:before="180" w:after="180"/>
        <w:jc w:val="both"/>
        <w:rPr>
          <w:rFonts w:ascii="Times New Roman" w:hAnsi="Times New Roman"/>
          <w:color w:val="000000"/>
          <w:sz w:val="20"/>
        </w:rPr>
      </w:pPr>
      <w:r>
        <w:rPr>
          <w:rFonts w:ascii="Times New Roman" w:hAnsi="Times New Roman"/>
          <w:color w:val="000000"/>
          <w:sz w:val="20"/>
        </w:rPr>
        <w:t>For the three months ended March 31, 2024, the total net realized gain/(loss) on investments, before income tax (provision)/benefit, was $1.7 million. Income tax (provision) benefit from realized gains on investments was $0.1 million for the three months ended March 31, 2024. We realize a gain/(loss) on our equity investments primarily when we either sell our equity investment or the underlying portfolio company is sold. Realized gains (losses) for the three months ended March 31, 2024 are summarized below (dollars in millions):</w:t>
      </w:r>
    </w:p>
    <w:tbl>
      <w:tblPr>
        <w:tblW w:w="8551" w:type="dxa"/>
        <w:jc w:val="left"/>
        <w:tblInd w:w="0" w:type="dxa"/>
        <w:tblLayout w:type="fixed"/>
        <w:tblCellMar>
          <w:top w:w="28" w:type="dxa"/>
          <w:left w:w="28" w:type="dxa"/>
          <w:bottom w:w="28" w:type="dxa"/>
          <w:right w:w="28" w:type="dxa"/>
        </w:tblCellMar>
      </w:tblPr>
      <w:tblGrid>
        <w:gridCol w:w="4846"/>
        <w:gridCol w:w="146"/>
        <w:gridCol w:w="1936"/>
        <w:gridCol w:w="146"/>
        <w:gridCol w:w="423"/>
        <w:gridCol w:w="717"/>
        <w:gridCol w:w="146"/>
        <w:gridCol w:w="19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Realization Event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Applied Data Corporation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Exit of portfolio company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Road Safety Services,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Escrow 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Power Grid Components, Inc.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Escrow distribution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(provision) benefit from realized gains on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net of income tax provision,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4"/>
        <w:gridCol w:w="9921"/>
      </w:tblGrid>
      <w:tr>
        <w:trPr/>
        <w:tc>
          <w:tcPr>
            <w:tcW w:w="284" w:type="dxa"/>
            <w:tcBorders/>
            <w:vAlign w:val="center"/>
          </w:tcPr>
          <w:p>
            <w:pPr>
              <w:pStyle w:val="TableContents"/>
              <w:bidi w:val="0"/>
              <w:spacing w:before="0" w:after="283"/>
              <w:jc w:val="left"/>
              <w:rPr>
                <w:sz w:val="4"/>
                <w:szCs w:val="4"/>
              </w:rPr>
            </w:pPr>
            <w:r>
              <w:rPr>
                <w:sz w:val="4"/>
                <w:szCs w:val="4"/>
              </w:rPr>
            </w:r>
          </w:p>
        </w:tc>
        <w:tc>
          <w:tcPr>
            <w:tcW w:w="9921" w:type="dxa"/>
            <w:tcBorders/>
            <w:vAlign w:val="center"/>
          </w:tcPr>
          <w:p>
            <w:pPr>
              <w:pStyle w:val="TableContents"/>
              <w:bidi w:val="0"/>
              <w:spacing w:before="0" w:after="283"/>
              <w:jc w:val="left"/>
              <w:rPr>
                <w:sz w:val="4"/>
                <w:szCs w:val="4"/>
              </w:rPr>
            </w:pPr>
            <w:r>
              <w:rPr>
                <w:sz w:val="4"/>
                <w:szCs w:val="4"/>
              </w:rPr>
            </w:r>
          </w:p>
        </w:tc>
      </w:tr>
      <w:tr>
        <w:trPr/>
        <w:tc>
          <w:tcPr>
            <w:tcW w:w="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 it relates to realization events, we define an 'exit' of a portfolio company as situations where we have completely exited our position in all of the portfolio company's securities and no longer carry the portfolio company on our schedule of investments. We define a 'sale' of a portfolio company, distinguished from an exit, as situations where the underlying operations of a portfolio company have been sold, but where we retain a residual ownership interest in the legacy entity (we generally distinguish these residual portfolio company investments from 'active' portfolio company investments).</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three months ended March 31, 2025 and 2024, we recorded a net change in unrealized appreciation (depreciation) on investments attributable to the following (dollars in millions):</w:t>
      </w:r>
    </w:p>
    <w:p>
      <w:pPr>
        <w:pStyle w:val="TextBody"/>
        <w:bidi w:val="0"/>
        <w:spacing w:before="180" w:after="283"/>
        <w:jc w:val="both"/>
        <w:rPr/>
      </w:pPr>
      <w:r>
        <w:rPr/>
        <w:t> </w:t>
      </w:r>
    </w:p>
    <w:tbl>
      <w:tblPr>
        <w:tblW w:w="6520" w:type="dxa"/>
        <w:jc w:val="left"/>
        <w:tblInd w:w="0" w:type="dxa"/>
        <w:tblLayout w:type="fixed"/>
        <w:tblCellMar>
          <w:top w:w="28" w:type="dxa"/>
          <w:left w:w="28" w:type="dxa"/>
          <w:bottom w:w="28" w:type="dxa"/>
          <w:right w:w="28" w:type="dxa"/>
        </w:tblCellMar>
      </w:tblPr>
      <w:tblGrid>
        <w:gridCol w:w="3766"/>
        <w:gridCol w:w="146"/>
        <w:gridCol w:w="298"/>
        <w:gridCol w:w="732"/>
        <w:gridCol w:w="252"/>
        <w:gridCol w:w="222"/>
        <w:gridCol w:w="298"/>
        <w:gridCol w:w="595"/>
        <w:gridCol w:w="21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Unrealized Appreciation (Depreciation)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Exit, sale or restructuring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Fair value adjustments to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Fair value adjustments to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Net change in unrealized appreciation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Net Increase in Net Assets Resulting From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Net increase (decrease) in net assets resulting from operations during the three months ended March 31, 2025 and 2024 was $19.7 million and $20.1 million, respectively, as a result of the events described above.</w:t>
      </w:r>
    </w:p>
    <w:p>
      <w:pPr>
        <w:pStyle w:val="TextBody"/>
        <w:bidi w:val="0"/>
        <w:spacing w:before="180" w:after="283"/>
        <w:jc w:val="both"/>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March 31, 2025, we had $67.5 million in cash and cash equivalents and our net assets totaled $677.9 million. We believe that our current cash and cash equivalents on hand, our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debt and equity securities (including the ATM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During the three months ended March 31, 2025, we repaid $12.5 million of SBA debentures relating to Fund III that would have matured during the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period March 1, 2032 through September 1, 2033. Our remaining outstanding SBA debentures begin to mature in 2029 and subsequent years through 2035, which will require repayment on or before the respective maturity dates. In light of current market conditions, we will continually evaluate our overall liquidity position and take proactive steps to maintain that position based on the current circumstances. This “Financial Liquidity and Capital Resources” section should be read in conjunction with the notes of our consolidated financial statements. </w:t>
      </w:r>
    </w:p>
    <w:p>
      <w:pPr>
        <w:pStyle w:val="TextBody"/>
        <w:bidi w:val="0"/>
        <w:spacing w:before="180" w:after="283"/>
        <w:jc w:val="left"/>
        <w:rPr>
          <w:rFonts w:ascii="Times New Roman" w:hAnsi="Times New Roman"/>
          <w:sz w:val="20"/>
        </w:rPr>
      </w:pPr>
      <w:r>
        <w:rPr>
          <w:rFonts w:ascii="Times New Roman" w:hAnsi="Times New Roman"/>
          <w:i/>
          <w:color w:val="000000"/>
          <w:sz w:val="20"/>
        </w:rPr>
        <w:t>Cash Flows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months ended March 31, 2025, we experienced a net increase in cash and cash equivalents in the amount of $10.3 million. During that period, we made payments of $50.2 million of cash for operating activities, which included the funding of $115.6 million of investments that was partially offset by proceeds received from sales and repayments of investments of $57.3 million. During the same period, we received net proceeds from the issuance of the March 2030 Notes of $96.9 million, we received proceeds from the issuances of SBA debentures of $19.5 million, we repaid SBA debentures of $12.5 million relating to Fund III, repaid $45.0 million of our Credit Facility, received net proceeds from the ATM Program of approximately $20.7 million, received repayments of $0.1 million on our secured borrowings, paid cash dividends to stockholders of $18.8 million, and made payment of deferred financing costs related to our debt financings of $3.3 million.</w:t>
      </w:r>
    </w:p>
    <w:p>
      <w:pPr>
        <w:pStyle w:val="TextBody"/>
        <w:bidi w:val="0"/>
        <w:spacing w:before="180" w:after="283"/>
        <w:jc w:val="left"/>
        <w:rPr>
          <w:rFonts w:ascii="Times New Roman" w:hAnsi="Times New Roman"/>
          <w:sz w:val="20"/>
        </w:rPr>
      </w:pPr>
      <w:r>
        <w:rPr>
          <w:rFonts w:ascii="Times New Roman" w:hAnsi="Times New Roman"/>
          <w:i/>
          <w:color w:val="000000"/>
          <w:sz w:val="20"/>
        </w:rPr>
        <w:t>Capital Resources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anticipate that we will continue to fund our investment activities on a long-term basis through a combination of additional debt and equity capital.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SBA Debentures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Each of Fund III and Fund IV is licensed to operate as an SBIC, and has the ability to issue debentures guaranteed by the SBA at favorable interest rates. Under the SBA regulations,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The SBA may limit the amount that may be drawn each year under the SBA debenture commitments, and each issuance of leverage is conditioned on such SBIC Fund's full compliance, as determined by the SBA, with the terms and conditions under SBA regulations.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On September 30, 2024, Fund IV received a license to operate as a SBIC. As of March 31, 2025, Fund III and Fund IV had $162.5 million and $19.5 million outstanding SBA debentures, respectively. Subject to SBA regulatory requirements and approval of SBA debenture commitments, we may access up to $155.5 million of additional SBA debentures under the SBIC debenture program. For more information on the SBA debentures, please refer to Note 6 to our consolidated financial statements.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Credit Facility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June 16, 2014, we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us, but portfolio investments held by the SBIC Funds are not collateral for the Credit Facility. On April 24, 2019, we entered into an Amended &amp; Restated Senior Secured Revolving Credit Agreement (the “Amended Credit Agreement”) among us, as borrower, the lenders party thereto, and ING, as administrative agent. On June 26, 2020, we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SOFR from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 On July 25, 2024, the Company entered into an incremental commitment agreement that increased the total commitment under the Credit Facility from $100.0 million to $140.0 million.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Amounts available to borrow under the Credit Facility are subject to a minimum borrowing/collateral base that applies an advance rate to certain investments held by us, excluding investments held by the SBIC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March 31, 2025, we were in compliance in all material respects with the terms of the Credit Agreement and we had no borrowings outstanding under the Credit Facility.</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December 23, 2020, we closed the offering of $125.0 million in aggregate principal amount of our 4.75% notes due 2026 (the “January 2026 Notes”). The total net proceeds to us from the January 2026 Notes, based on a public offering price of 100.00% of par, after deducting underwriting discounts of $2.5 million and offering expenses of $0.4 million, were $122.1 million. The January 2026 Notes will mature on January 31, 2026 and bear interest at a rate of 4.75%. The January 2026 Notes may be redeemed in whole or in part at any time or from time to time at our option subject to a make whole provision if redeemed before October 31, 2025 (the date falling three months prior to maturity) and at par thereafter. Interest on the January 2026 Notes is payable on January 31 and July 31 of each year. We do not intend to list the January 2026 Notes on any securities exchange or automated dealer quotation system. As of March 31, 2025, the outstanding principal balance of the January 2026 Notes was $125.0 million.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October 8, 2021, we closed the offering of $125.0 million in aggregate principal amount of our 3.50% notes due 2026 (the “November 2026 Notes”). The total net proceeds to us from the November 2026 Notes, based on a public offering price of 99.996% of par, after deducting underwriting discounts of $2.5 million and offering expenses of $0.3 million, were $122.2 million. The November 2026 Notes will mature on November 15, 2026 and bear interest at a rate of 3.50%. The November 2026 Notes may be redeemed in whole or in part at any time or from time to time at our option subject to a make whole provision if redeemed before August 15, 2026 (the date falling three months prior to maturity) and at par thereafter. Interest on the November 2026 Notes is payable on May 15 and November 15 of each year. We do not intend to list the November 2026 Notes on any securities exchange or automated dealer quotation system. As of March 31, 2025, the outstanding principal balance of the November 2026 Notes was $125.0 million.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March 19, 2025, the Company closed the offering of $100.0 million in aggregate principal amount of its 6.75% notes due 2030 (the “March 2030 Notes” and together with the January 2026 Notes and the November 2026 Notes, the “Notes”). The total net proceeds to the Company from the March 2030 Notes, based on a public offering price of 99.29954% of par, after deducting underwriting discounts of $2.0 million and estimated offering expenses of $0.4 million, were approximately $96.9 million. The March 2030 Notes will mature on March 19, 2030 and bear interest at a rate of 6.75%. The March 2030 Notes may be redeemed in whole or in part at any time or from time to time at our option subject to a make whole provision if redeemed before September 19, 2029 (the date falling six months prior to maturity) and at par thereafter. Interest on the March 2030 Notes is payable on March 19 and September 19 of each year, beginning September 19, 2025. The Company does not intend to list the March 2030 Notes on any securities exchange or automated dealer quotation system.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Each of the Notes are unsecured obligations and rank pari passu with our existing and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 including the Credit Facility.</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Secured Borrowing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March 31, 2025, the carrying value of secured borrowings totaled $13.6 million and the fair value of the associated loans included in investments was $13.6 million. As of December 31, 2024, the carrying value of secured borrowings totaled $13.7 million and the fair value of the associated loans included in investments was $13.5 million. These secured borrowings were created as a result of our completion of partial loan sales of certain unitranche loan assets that did not meet the definition of a “participating interest” as defined in ASC 860 (see Note 2. Significant Accounting Policies - Partial loan and equity sales” for more information). As a result, sale treatment was not permitted and these partial loan sales were treated as secured borrowings. The weighted average interest rate on our secured borrowings was approximately 8.498% and 8.568% as of March 31, 2025 and December 31, 2024,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of March 31, 2025, the weighted average stated interest rates for our SBA debentures and the Notes were 4.323% and 4.875%, respectively. As of March 31, 2025, we had $140.0 million of unutilized commitment under our Credit Facility, and we were subject to a 1.261% fee on such amount. As of March 31, 2025, the weighted average stated interest rate on total debt outstanding was 4.781%.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As a BDC, we are generally required to meet an asset coverage ratio of at least 150%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On April 29, 2019, our Board, including a majority of the non-interested directors, approved a minimum asset coverage ratio of 150% under Sections 18(a)(1) and 18(a)(2) of the 1940 Act, effective as of April 29, 2020. We also have received exemptive relief from the U.S. Securities and Exchange Commission (“SEC”) to allow us to exclude the senior securities issued by the SBIC Funds and any future SBIC subsidiary from the definition of senior securities in the 150% asset coverage requirement applicable to the Company under the 1940 Act, which, in turn, will enable us to fund more investments with debt capital.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June 12, 2024, our stockholders approved a proposal to authorize us to sell or otherwise issue common stock at a price below net asset value per share for a period of one year ending on the earlier of June 12, 2025 or the date of our 2025 Annual Meeting of Stockholders. Our stockholders specified that the cumulative number of shares sold pursuant to such authority during such period may not exceed 25.0% of our then outstanding common stock immediately prior to each such sale.</w:t>
      </w:r>
    </w:p>
    <w:p>
      <w:pPr>
        <w:pStyle w:val="TextBody"/>
        <w:bidi w:val="0"/>
        <w:spacing w:before="180" w:after="180"/>
        <w:jc w:val="both"/>
        <w:rPr>
          <w:rFonts w:ascii="Times New Roman" w:hAnsi="Times New Roman"/>
          <w:i/>
          <w:color w:val="000000"/>
          <w:sz w:val="20"/>
        </w:rPr>
      </w:pPr>
      <w:r>
        <w:rPr>
          <w:rFonts w:ascii="Times New Roman" w:hAnsi="Times New Roman"/>
          <w:i/>
          <w:color w:val="000000"/>
          <w:sz w:val="20"/>
        </w:rPr>
        <w:t>Equity ATM Program</w:t>
      </w:r>
    </w:p>
    <w:p>
      <w:pPr>
        <w:pStyle w:val="TextBody"/>
        <w:bidi w:val="0"/>
        <w:jc w:val="both"/>
        <w:rPr>
          <w:rFonts w:ascii="Times New Roman" w:hAnsi="Times New Roman"/>
          <w:color w:val="000000"/>
          <w:sz w:val="20"/>
        </w:rPr>
      </w:pPr>
      <w:r>
        <w:rPr>
          <w:rFonts w:ascii="Times New Roman" w:hAnsi="Times New Roman"/>
          <w:color w:val="000000"/>
          <w:sz w:val="20"/>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 million. On August 11, 2023, the Company increased the maximum amount of shares to be sold through the ATM Program to $150.0 million from $50.0 million. On February 29, 2024, the Company increased the maximum amount of shares to be sold through the ATM Program to $300.0 million from $150.0 million. Cumulative to date, the Company has sold 10,384,056 shares of common stock under the ATM Program at a weighted-average price of $19.83, raising $206.0 million of gross proceeds. Net proceeds were $203.2 million after commissions to the sales agents on sales sold. As of March 31, 2025, the Company has $94.0 million available under the ATM Program.</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28, 2024, the Board extended the Stock Repurchase Program through December 31, 2025,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three months ended March 31, 2025 and 2024. Refer to Note 8 to our consolidated financial statements for additional information concerning stock repurchases.</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Critical Accounting Policies and Use of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relating to investment valuations and transfers of financial assets are set forth below. See Note 2. Significant Accounting Policies to our consolidated financial statements for more information regarding our critical accounting policies relating to revenue recognition.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Valuation of Portfolio Investments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a BDC, we report our assets and liabilities at fair value at all times consistent with GAAP and the 1940 Act. Accordingly, we are required to periodically determine the fair value of all of our portfolio investments.</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quotation, the fair value of our investments may differ significantly from the values that would have been used had a readily available market quotation existed for such investments, and the difference could be material.</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 xml:space="preserve">With respect to investments for which market quotations are not readily available, our board of directors undertakes a multi-step valuation process each quarter, as described below: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quarterly valuation process begins with each portfolio company or investment being initially evaluated and rated by the investment professionals of the Investment Advisor responsible for the portfolio investment;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preliminary valuation conclusions are then documented and discussed with the investment committee of the Investment Advisor;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audit committee of our board of directors reviews the preliminary valuations of the Investment Advisor and of the independent valuation firm(s) and responds and supplements the valuation recommendations to reflect any comments;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our board of directors discusses the valuations and determines the fair value of each investment in our portfolio in good faith, based on the input of the Investment Advisor, the independent valuation firm(s) and the audit committee.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making the good faith determination of the value of portfolio investments, we start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Board consulted with the independent third-party valuation firm(s) in arriving at our determination of fair value for 18 and 21 of our portfolio company investments representing 28.3% and 27.5% of the total portfolio investments at fair value (exclusive of new portfolio company investments made during the three months ended March 31, 2025 and December 31, 2024, respectively) as of March 31, 2025 and December 31, 2024, respectively.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may also utilize an income approach when estimating the fair value of our equity investments,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Transfers of Financial Assets</w:t>
      </w:r>
    </w:p>
    <w:p>
      <w:pPr>
        <w:pStyle w:val="TextBody"/>
        <w:bidi w:val="0"/>
        <w:spacing w:before="180" w:after="283"/>
        <w:jc w:val="both"/>
        <w:rPr>
          <w:rFonts w:ascii="Times New Roman" w:hAnsi="Times New Roman"/>
          <w:sz w:val="20"/>
        </w:rPr>
      </w:pPr>
      <w:r>
        <w:rPr>
          <w:rFonts w:ascii="Times New Roman" w:hAnsi="Times New Roman"/>
          <w:i/>
          <w:color w:val="000000"/>
          <w:sz w:val="20"/>
        </w:rPr>
        <w:t xml:space="preserve">Partial loan and equity sales. </w:t>
      </w:r>
      <w:r>
        <w:rPr>
          <w:rFonts w:ascii="Times New Roman" w:hAnsi="Times New Roman"/>
          <w:color w:val="000000"/>
          <w:sz w:val="20"/>
        </w:rPr>
        <w:t xml:space="preserve">We follow the guidance in ASC 860, </w:t>
      </w:r>
      <w:r>
        <w:rPr>
          <w:rFonts w:ascii="Times New Roman" w:hAnsi="Times New Roman"/>
          <w:i/>
          <w:color w:val="000000"/>
          <w:sz w:val="20"/>
        </w:rPr>
        <w:t xml:space="preserve">Transfers and Servicing, </w:t>
      </w:r>
      <w:r>
        <w:rPr>
          <w:rFonts w:ascii="Times New Roman" w:hAnsi="Times New Roman"/>
          <w:color w:val="000000"/>
          <w:sz w:val="20"/>
        </w:rPr>
        <w:t xml:space="preserve">when accounting for loan (debt 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our consolidated statements of assets and liabilities and the proceeds recorded as a secured borrowing until the definition is met.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Recently Issued Accounting Standard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December 2023, the Financial Accounting Standards Board (“FASB”) issued Accounting Standards Update (“ASU”) No. 2023-09, “Improvements to Income Tax Disclosures (Topic 740),” which requires disclosure of additional information pertaining to income taxes. Such changes include disclosing i) a reconciliation of the effective tax rate to statutory rate for federal, state, and foreign income taxes and ii) taxes paid (net of refunds received) should be disaggregated for federal, state and foreign taxes. The guidance is effective for annual reporting periods beginning after December 15, 2024. We are currently evaluating the impact this ASU will have on our consolidated financial position or disclosures, but we do not expect the impact to be material.</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We have entered into a number of business relationships with affiliated or related parties, including the following:</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entered into the Investment Advisory Agreement with Fidus Investment Advisors as our investment advisor. Pursuant to the agreement, the Investment Advisor manages our day-to-day operating and investing activities. We pay the Investment Advisor a fee for its services under the Investment Advisory Agreement consisting of two components </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 xml:space="preserve">— </w:t>
      </w:r>
      <w:r>
        <w:rPr>
          <w:rFonts w:ascii="Times New Roman" w:hAnsi="Times New Roman"/>
          <w:color w:val="000000"/>
          <w:sz w:val="20"/>
        </w:rPr>
        <w:t>a base management fee and an incentive fee. See Note 5 to our consolidated financial statements. The Investment Advisor, in consultation with the Board, agreed to voluntarily waive $0.1 million and $0.1 million of the base management fees on any assets accounted for as secured borrowings as defined under GAAP for the three months ended March 31, 2025 and 2024, respectively.</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Fidus Group Holdings, LLC (“Holdings”), a limited liability company organized under the laws of Delaware, is the parent company of Fidus Investment Advisors. Edward H. Ross, our Chairman and Chief Executive Officer, and Thomas C. Lauer, our President, are managers of Holdings.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entered into the Administration Agreement with Fidus Investment Advisors to provide us with the office facilities and administrative services necessary to conduct day-to-day operations. See Note 5 to our consolidated financial statements.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We entered into a license agreement with Fidus Partners, LLC, pursuant to which Fidus Partners, LLC has granted us a non-exclusive, royalty-free license to use the name “Fidus.”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exemptive relief from the SEC, we are permitted to exclude the senior securities issued by the SBIC Funds and any future SBIC subsidiary from the definition of senior securities in the asset coverage requirement applicable to the Company under the 1940 Act.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While we may co-invest with investment entities managed by the Investment Advisor or its affiliates, to the extent permitted by the 1940 Act and the rules and regulations thereunder, the 1940 Act imposes significant limits on co-investment. Our Investment Advisor and its affiliates has received an exemptive order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of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However, neither we nor our affiliates are obligated to invest or co-invest when investment opportunities are referred to us or them.</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as amended,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pStyle w:val="TextBody"/>
        <w:bidi w:val="0"/>
        <w:jc w:val="left"/>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jc w:val="both"/>
        <w:rPr>
          <w:rFonts w:ascii="Times New Roman" w:hAnsi="Times New Roman"/>
          <w:color w:val="000000"/>
          <w:sz w:val="20"/>
        </w:rPr>
      </w:pPr>
      <w:r>
        <w:rPr>
          <w:rFonts w:ascii="Times New Roman" w:hAnsi="Times New Roman"/>
          <w:color w:val="000000"/>
          <w:sz w:val="20"/>
        </w:rPr>
        <w:t>On April 15, 2025, we invested $5.0 million in first lien debt, $0.4 million in preferred equity, $0.4 million in common equity, and committed up to $4.0 million in a revolving loan to Laboratory Testing, LLC, a provider of material testing and calibration services, primarily to the Aerospace &amp; Defense end market.</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April 23, 2025, we exited our debt investments in Elements Brands, LLC. We received payment in full of $3.7 million on our first lien debt, which includes fees.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On May 5, 2025, our Board declared a regular quarterly dividend of $0.43 per share and a supplemental dividend of $0.11 per share payable on June 25, 2025, to stockholders of record as of June 13, 2025.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On May 5, 2025, we issued an additional $10.0 million in SBA debentures, which will bear interest at a fixed interim interest rate of 5.163% until the pooling date in September 2025.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3_marketrisk"/>
      <w:bookmarkEnd w:id="15"/>
      <w:r>
        <w:rPr>
          <w:rFonts w:ascii="Times New Roman" w:hAnsi="Times New Roman"/>
          <w:b/>
          <w:color w:val="000000"/>
          <w:sz w:val="20"/>
        </w:rPr>
        <w:t>Item 3. Quantitative and Qualitative Disclosures About Market Risk.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are subject to financial market risks, including changes in interest rates. Changes in interest rates affect both our cost of funding and the valuation of our investment portfolio. Uncertainty with respect to interest rates, inflationary pressures, the Russia-Ukraine war and the conflict in the Middle East, the uncertainty with respect to new tariffs and trade policies and the failure of financial institutions introduced significant volatility in the financial markets, and the effects of this volatility has materially impacted and could continue to materially impact our market risks. Our risk management systems and procedures are designed to identify and analyze our risk, to set appropriate policies and limits and to continually monitor these risks and limits by means of reliable administrative and information systems and other policies and programs. The prices of securities held by us may decline in response to certain events, including those directly involving the companies in which we invest and conditions affecting the general economy, including: overall market changes, including an increase in market volatility; legislative reform; national or global political, social or economic instability; and interest rate volatility.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the future, our investment income may also be affected by changes in various interest rates, including SOFR and prime rates, to the extent of any debt investments that include floating interest rates. The Federal Reserve held interest rates steady in the first quarter of 2025, following three consecutive rate reductions in the third and fourth quarter of 2024. The Federal Reserve has indicated it will consider additional rate reductions in the near term; however, future reductions to the benchmark rates are not certain. In addition, there can be no assurance that the Federal Reserve will not make upwards adjustments to the federal funds rate in the future. In a high interest rate environment, our cost of funds would increase, which could reduce our net investment income if there is not a corresponding increase in interest income generated by our investment portfolio. It is possible that the Federal Reserve's tightening cycle could result the United States into a recession, which would likely decrease interest rates. Conversely, a prolonged reduction in interest rates will reduce our gross investment income and could result in a decrease in our net investment income if such decreases in base rates, such as SOFR are not offset by a corresponding increase in the spread over such base rate that we earn on any portfolio investments, a decrease in in our operating expenses, including with respect to our income incentive fee, or a decrease in the interest rate of our floating interest rate liabilities tied to such base rate. See Risk Factors contained herein under Part II, Item 1A and in our Annual Report on Form 10-K for the year ended December 31, 2024, such as "Changes in interest rates will affect our cost of capital and net investment income” and “Inflation may adversely affect the business, results of operations and financial condition of our portfolio companies, which may, in turn, impact the valuation of such portfolio companies.”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March 31, 2025 and December 31, 2024, the debt investments in 52 and 50 portfolio companies, respectively, bore interest at a variable rate, which represented $740.3 million, or 72.8%, and $704.0 million, or 74.5%, of our portfolio on a fair value basis, respectively, and the remainder of our debt portfolio was comprised entirely of fixed rate investments. Our pooled SBA debentures and our Notes bear interest at fixed rates. Our Credit Facility bears interest, at our election, at a rate per annum equal to (a) 2.675% on SOFR loans prior to satisfying certain step-down conditions (or 2.50% after satisfying certain step-down conditions, with commensurate reductions in the applicable margins for base rate loans). 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Agreement relating to the Credit Facility contains certain covenants, including a minimum asset coverage ratio of 1.50 to 1.00 (on a regulatory basis) and a senior asset coverage ratio of no less than 2.00 to 1.00. As of March 31, 2025, the Credit Facility is secured by a first priority security interest in all of our assets, excluding the assets of the SBIC Funds.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shows the approximate annualized increase or decrease in the components of net investment income due to hypothetical base rate changes in interest rates, assuming no changes in our investments and borrowings as of March 31, 2025 (dollars in millions):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54" w:type="dxa"/>
        <w:jc w:val="left"/>
        <w:tblInd w:w="0" w:type="dxa"/>
        <w:tblLayout w:type="fixed"/>
        <w:tblCellMar>
          <w:top w:w="28" w:type="dxa"/>
          <w:left w:w="28" w:type="dxa"/>
          <w:bottom w:w="28" w:type="dxa"/>
          <w:right w:w="28" w:type="dxa"/>
        </w:tblCellMar>
      </w:tblPr>
      <w:tblGrid>
        <w:gridCol w:w="637"/>
        <w:gridCol w:w="1733"/>
        <w:gridCol w:w="166"/>
        <w:gridCol w:w="146"/>
        <w:gridCol w:w="356"/>
        <w:gridCol w:w="874"/>
        <w:gridCol w:w="166"/>
        <w:gridCol w:w="146"/>
        <w:gridCol w:w="429"/>
        <w:gridCol w:w="861"/>
        <w:gridCol w:w="166"/>
        <w:gridCol w:w="146"/>
        <w:gridCol w:w="290"/>
        <w:gridCol w:w="715"/>
        <w:gridCol w:w="166"/>
        <w:gridCol w:w="146"/>
        <w:gridCol w:w="346"/>
        <w:gridCol w:w="854"/>
        <w:gridCol w:w="211"/>
      </w:tblGrid>
      <w:tr>
        <w:trPr/>
        <w:tc>
          <w:tcPr>
            <w:tcW w:w="63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Expense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Investment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Basis Point Increase (Decrease)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(Decrease) </w:t>
            </w:r>
            <w:r>
              <w:rPr>
                <w:rFonts w:ascii="Times New Roman" w:hAnsi="Times New Roman"/>
                <w:b/>
                <w:color w:val="000000"/>
                <w:sz w:val="11"/>
              </w:rPr>
              <w:t>(1) (2)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(Decrease) </w:t>
            </w:r>
            <w:r>
              <w:rPr>
                <w:rFonts w:ascii="Times New Roman" w:hAnsi="Times New Roman"/>
                <w:b/>
                <w:color w:val="000000"/>
                <w:sz w:val="11"/>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Income </w:t>
            </w:r>
            <w:r>
              <w:rPr>
                <w:rFonts w:ascii="Times New Roman" w:hAnsi="Times New Roman"/>
                <w:b/>
                <w:color w:val="000000"/>
                <w:sz w:val="11"/>
              </w:rPr>
              <w:t>(3)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16"/>
        </w:rPr>
      </w:pPr>
      <w:r>
        <w:rPr>
          <w:rFonts w:ascii="Times New Roman" w:hAnsi="Times New Roman"/>
          <w:color w:val="000000"/>
          <w:sz w:val="16"/>
        </w:rPr>
        <w:t>(1) Certain of our variable rate debt investments have a PRIME or SOFR interest rate floor, which lessens the impact of decreases in interest rates.</w:t>
      </w:r>
    </w:p>
    <w:p>
      <w:pPr>
        <w:pStyle w:val="TextBody"/>
        <w:bidi w:val="0"/>
        <w:jc w:val="both"/>
        <w:rPr>
          <w:rFonts w:ascii="Times New Roman" w:hAnsi="Times New Roman"/>
          <w:color w:val="000000"/>
          <w:sz w:val="16"/>
        </w:rPr>
      </w:pPr>
      <w:r>
        <w:rPr>
          <w:rFonts w:ascii="Times New Roman" w:hAnsi="Times New Roman"/>
          <w:color w:val="000000"/>
          <w:sz w:val="16"/>
        </w:rPr>
        <w:t>(2) Interest income calculated assuming three-month SOFR, and PRIME rate as of March 31, 2025.</w:t>
      </w:r>
    </w:p>
    <w:p>
      <w:pPr>
        <w:pStyle w:val="TextBody"/>
        <w:bidi w:val="0"/>
        <w:jc w:val="both"/>
        <w:rPr>
          <w:rFonts w:ascii="Times New Roman" w:hAnsi="Times New Roman"/>
          <w:color w:val="000000"/>
          <w:sz w:val="16"/>
        </w:rPr>
      </w:pPr>
      <w:r>
        <w:rPr>
          <w:rFonts w:ascii="Times New Roman" w:hAnsi="Times New Roman"/>
          <w:color w:val="000000"/>
          <w:sz w:val="16"/>
        </w:rPr>
        <w:t>(3) Includes the impact of income incentive fee at 20.0% on net increase (decrease) in net interest.</w:t>
      </w:r>
    </w:p>
    <w:p>
      <w:pPr>
        <w:pStyle w:val="TextBody"/>
        <w:bidi w:val="0"/>
        <w:jc w:val="both"/>
        <w:rPr>
          <w:rFonts w:ascii="Times New Roman" w:hAnsi="Times New Roman"/>
          <w:color w:val="000000"/>
          <w:sz w:val="16"/>
        </w:rPr>
      </w:pPr>
      <w:r>
        <w:rPr>
          <w:rFonts w:ascii="Times New Roman" w:hAnsi="Times New Roman"/>
          <w:color w:val="000000"/>
          <w:sz w:val="16"/>
        </w:rPr>
        <w:t>(4) As of March 31, 2025, we had no borrowings outstanding under our Credit Facility.</w:t>
      </w:r>
    </w:p>
    <w:p>
      <w:pPr>
        <w:pStyle w:val="TextBody"/>
        <w:bidi w:val="0"/>
        <w:jc w:val="both"/>
        <w:rPr>
          <w:rFonts w:ascii="Times New Roman" w:hAnsi="Times New Roman"/>
          <w:sz w:val="20"/>
        </w:rPr>
      </w:pPr>
      <w:r>
        <w:rPr>
          <w:rFonts w:ascii="Times New Roman" w:hAnsi="Times New Roman"/>
          <w:color w:val="000000"/>
          <w:sz w:val="16"/>
        </w:rPr>
        <w:br/>
      </w:r>
      <w:r>
        <w:rPr>
          <w:rFonts w:ascii="Times New Roman" w:hAnsi="Times New Roman"/>
          <w:color w:val="000000"/>
          <w:sz w:val="20"/>
        </w:rPr>
        <w:t> </w:t>
      </w:r>
    </w:p>
    <w:p>
      <w:pPr>
        <w:pStyle w:val="TextBody"/>
        <w:bidi w:val="0"/>
        <w:spacing w:before="0" w:after="180"/>
        <w:jc w:val="left"/>
        <w:rPr>
          <w:rFonts w:ascii="Times New Roman" w:hAnsi="Times New Roman"/>
          <w:b/>
          <w:color w:val="000000"/>
          <w:sz w:val="20"/>
        </w:rPr>
      </w:pPr>
      <w:bookmarkStart w:id="16" w:name="item4_controls"/>
      <w:bookmarkEnd w:id="16"/>
      <w:r>
        <w:rPr>
          <w:rFonts w:ascii="Times New Roman" w:hAnsi="Times New Roman"/>
          <w:b/>
          <w:color w:val="000000"/>
          <w:sz w:val="20"/>
        </w:rPr>
        <w:t>Item 4. Controls and Procedures.</w:t>
      </w:r>
    </w:p>
    <w:p>
      <w:pPr>
        <w:pStyle w:val="TextBody"/>
        <w:bidi w:val="0"/>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during the first quarter of 2025 that have materially affected, or are reasonably likely to materially affect, our internal control over financial reporting.</w:t>
      </w:r>
    </w:p>
    <w:p>
      <w:pPr>
        <w:pStyle w:val="TextBody"/>
        <w:bidi w:val="0"/>
        <w:jc w:val="both"/>
        <w:rPr>
          <w:rFonts w:ascii="Times New Roman" w:hAnsi="Times New Roman"/>
          <w:color w:val="000000"/>
          <w:sz w:val="20"/>
        </w:rPr>
      </w:pPr>
      <w:r>
        <w:rPr>
          <w:rFonts w:ascii="Times New Roman" w:hAnsi="Times New Roman"/>
          <w:color w:val="000000"/>
          <w:sz w:val="20"/>
        </w:rPr>
        <w:br/>
        <w:t> </w:t>
      </w:r>
    </w:p>
    <w:p>
      <w:pPr>
        <w:pStyle w:val="TextBody"/>
        <w:bidi w:val="0"/>
        <w:jc w:val="both"/>
        <w:rPr>
          <w:rFonts w:ascii="Times New Roman" w:hAnsi="Times New Roman"/>
          <w:b/>
          <w:color w:val="000000"/>
          <w:sz w:val="20"/>
        </w:rPr>
      </w:pPr>
      <w:bookmarkStart w:id="17" w:name="part_ii"/>
      <w:bookmarkEnd w:id="17"/>
      <w:r>
        <w:rPr>
          <w:rFonts w:ascii="Times New Roman" w:hAnsi="Times New Roman"/>
          <w:b/>
          <w:color w:val="000000"/>
          <w:sz w:val="20"/>
        </w:rPr>
        <w:t>PART II — OTHER INFORMATION</w:t>
      </w:r>
    </w:p>
    <w:p>
      <w:pPr>
        <w:pStyle w:val="TextBody"/>
        <w:bidi w:val="0"/>
        <w:jc w:val="both"/>
        <w:rPr/>
      </w:pPr>
      <w:r>
        <w:rPr/>
        <w:t> </w:t>
      </w:r>
    </w:p>
    <w:p>
      <w:pPr>
        <w:pStyle w:val="TextBody"/>
        <w:bidi w:val="0"/>
        <w:jc w:val="both"/>
        <w:rPr>
          <w:rFonts w:ascii="Times New Roman" w:hAnsi="Times New Roman"/>
          <w:b/>
          <w:color w:val="000000"/>
          <w:sz w:val="20"/>
        </w:rPr>
      </w:pPr>
      <w:bookmarkStart w:id="18" w:name="item1_legal_proceedings"/>
      <w:bookmarkEnd w:id="18"/>
      <w:r>
        <w:rPr>
          <w:rFonts w:ascii="Times New Roman" w:hAnsi="Times New Roman"/>
          <w:b/>
          <w:color w:val="000000"/>
          <w:sz w:val="20"/>
        </w:rPr>
        <w:t>Item 1. Legal Proceedings.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are not, and the Investment Advisor is not, currently subject to any material legal proceedings.</w:t>
      </w:r>
    </w:p>
    <w:p>
      <w:pPr>
        <w:pStyle w:val="TextBody"/>
        <w:bidi w:val="0"/>
        <w:jc w:val="both"/>
        <w:rPr/>
      </w:pPr>
      <w:r>
        <w:rPr/>
        <w:t> </w:t>
      </w:r>
    </w:p>
    <w:p>
      <w:pPr>
        <w:pStyle w:val="TextBody"/>
        <w:bidi w:val="0"/>
        <w:jc w:val="both"/>
        <w:rPr>
          <w:rFonts w:ascii="Times New Roman" w:hAnsi="Times New Roman"/>
          <w:sz w:val="20"/>
        </w:rPr>
      </w:pPr>
      <w:bookmarkStart w:id="19" w:name="item1a_risk_factors"/>
      <w:bookmarkEnd w:id="19"/>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than the risk factor described below, there have been no material changes to the risk factors previously disclosed under "Item 1A. Risk Factors” previously disclosed in our Annual Report on Form 10-K for the year ended December 31, 2024 filed with the SEC on March 6, 2025, which are incorporated herein by reference. The risk factors therein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Changes to U.S. tariff and import/export regulations may have a negative effect on the operations of our portfolio companies and, in turn, negatively impact us.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U.S. government has recently imposed, and may in the future increase, tariffs on specific countries and commodities. In response, certain foreign trading partners, and others in the future, may impose retaliatory tariffs on certain U.S. goods. The foregoing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has created significant uncertainty about the future relationship between the United States and certain other countries with respect to trade policies, treaties and new and increased tariffs. These developments, or the continued uncertainty relating to U.S. trade policies, may have a material adverse effect on global economic conditions and the stability of global financial markets, and may significantly reduce global trade and, in particular, trade between the impacted nations and the United States. The uncertainty relating to U.S. trade policies has increased market volatility. Any of these factors could depress economic activity and restrict certain of our portfolio companies’ access to suppliers or customers, and increase costs, decrease margins, and reduce the competitiveness of products and services offered by our portfolio companies. The foregoing may adversely affect the revenues and profitability of such portfolio companies and, in turn, negatively affect our results of operations, which could cause the market value of our shares of common stock to decline. </w:t>
      </w:r>
    </w:p>
    <w:p>
      <w:pPr>
        <w:pStyle w:val="TextBody"/>
        <w:bidi w:val="0"/>
        <w:jc w:val="left"/>
        <w:rPr/>
      </w:pPr>
      <w:r>
        <w:rPr/>
        <w:t> </w:t>
      </w:r>
    </w:p>
    <w:p>
      <w:pPr>
        <w:pStyle w:val="TextBody"/>
        <w:bidi w:val="0"/>
        <w:jc w:val="both"/>
        <w:rPr>
          <w:rFonts w:ascii="Times New Roman" w:hAnsi="Times New Roman"/>
          <w:sz w:val="20"/>
        </w:rPr>
      </w:pPr>
      <w:bookmarkStart w:id="20" w:name="item2_unregistered_sales_equity"/>
      <w:bookmarkEnd w:id="20"/>
      <w:r>
        <w:rPr>
          <w:rFonts w:ascii="Times New Roman" w:hAnsi="Times New Roman"/>
          <w:b/>
          <w:color w:val="000000"/>
          <w:sz w:val="20"/>
        </w:rPr>
        <w:t>Item 2. Unregistered Sales of Equity</w:t>
      </w:r>
      <w:r>
        <w:rPr>
          <w:rFonts w:ascii="Times New Roman" w:hAnsi="Times New Roman"/>
          <w:color w:val="000000"/>
          <w:sz w:val="20"/>
        </w:rPr>
        <w:t xml:space="preserve"> </w:t>
      </w:r>
      <w:r>
        <w:rPr>
          <w:rFonts w:ascii="Times New Roman" w:hAnsi="Times New Roman"/>
          <w:b/>
          <w:color w:val="000000"/>
          <w:sz w:val="20"/>
        </w:rPr>
        <w:t>Securities and Use of Proceeds.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Sales of Unregistered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Issuer Purchases of Equity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28, 2024, the Board extended the Stock Repurchase Program through December 31, 2025,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t>
      </w:r>
    </w:p>
    <w:p>
      <w:pPr>
        <w:pStyle w:val="TextBody"/>
        <w:bidi w:val="0"/>
        <w:jc w:val="both"/>
        <w:rPr/>
      </w:pPr>
      <w:r>
        <w:rPr/>
        <w:t> </w:t>
      </w:r>
    </w:p>
    <w:p>
      <w:pPr>
        <w:pStyle w:val="TextBody"/>
        <w:bidi w:val="0"/>
        <w:jc w:val="both"/>
        <w:rPr>
          <w:rFonts w:ascii="Times New Roman" w:hAnsi="Times New Roman"/>
          <w:sz w:val="20"/>
        </w:rPr>
      </w:pPr>
      <w:bookmarkStart w:id="21" w:name="item3_defaults_upon_senior_securities"/>
      <w:bookmarkEnd w:id="21"/>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3. Defaults Upon Senior Securities.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sz w:val="20"/>
        </w:rPr>
      </w:pPr>
      <w:bookmarkStart w:id="22" w:name="item4_mine_safety_disclosures"/>
      <w:bookmarkEnd w:id="22"/>
      <w:r>
        <w:rPr>
          <w:rFonts w:ascii="Times New Roman" w:hAnsi="Times New Roman"/>
          <w:b/>
          <w:color w:val="000000"/>
          <w:sz w:val="20"/>
        </w:rPr>
        <w:t>Item 4. Mine Safety Disclosures</w:t>
      </w:r>
      <w:r>
        <w:rPr>
          <w:rFonts w:ascii="Times New Roman" w:hAnsi="Times New Roman"/>
          <w:b/>
          <w:i/>
          <w:color w:val="000000"/>
          <w:sz w:val="20"/>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w:t>
      </w:r>
    </w:p>
    <w:p>
      <w:pPr>
        <w:pStyle w:val="TextBody"/>
        <w:bidi w:val="0"/>
        <w:jc w:val="both"/>
        <w:rPr/>
      </w:pPr>
      <w:r>
        <w:rPr/>
        <w:t> </w:t>
      </w:r>
    </w:p>
    <w:p>
      <w:pPr>
        <w:pStyle w:val="TextBody"/>
        <w:bidi w:val="0"/>
        <w:jc w:val="both"/>
        <w:rPr>
          <w:rFonts w:ascii="Times New Roman" w:hAnsi="Times New Roman"/>
          <w:b/>
          <w:color w:val="000000"/>
          <w:sz w:val="20"/>
        </w:rPr>
      </w:pPr>
      <w:bookmarkStart w:id="23" w:name="item5_other_information"/>
      <w:bookmarkEnd w:id="23"/>
      <w:r>
        <w:rPr>
          <w:rFonts w:ascii="Times New Roman" w:hAnsi="Times New Roman"/>
          <w:b/>
          <w:color w:val="000000"/>
          <w:sz w:val="20"/>
        </w:rPr>
        <w:t>Item 5. Other Information.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4"/>
        <w:gridCol w:w="9901"/>
      </w:tblGrid>
      <w:tr>
        <w:trPr/>
        <w:tc>
          <w:tcPr>
            <w:tcW w:w="304" w:type="dxa"/>
            <w:tcBorders/>
            <w:vAlign w:val="center"/>
          </w:tcPr>
          <w:p>
            <w:pPr>
              <w:pStyle w:val="TableContents"/>
              <w:bidi w:val="0"/>
              <w:spacing w:before="0" w:after="283"/>
              <w:jc w:val="left"/>
              <w:rPr>
                <w:sz w:val="4"/>
                <w:szCs w:val="4"/>
              </w:rPr>
            </w:pPr>
            <w:r>
              <w:rPr>
                <w:sz w:val="4"/>
                <w:szCs w:val="4"/>
              </w:rPr>
            </w:r>
          </w:p>
        </w:tc>
        <w:tc>
          <w:tcPr>
            <w:tcW w:w="9901" w:type="dxa"/>
            <w:tcBorders/>
            <w:vAlign w:val="center"/>
          </w:tcPr>
          <w:p>
            <w:pPr>
              <w:pStyle w:val="TableContents"/>
              <w:bidi w:val="0"/>
              <w:spacing w:before="0" w:after="283"/>
              <w:jc w:val="left"/>
              <w:rPr>
                <w:sz w:val="4"/>
                <w:szCs w:val="4"/>
              </w:rPr>
            </w:pPr>
            <w:r>
              <w:rPr>
                <w:sz w:val="4"/>
                <w:szCs w:val="4"/>
              </w:rPr>
            </w:r>
          </w:p>
        </w:tc>
      </w:tr>
      <w:tr>
        <w:trPr/>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r>
        <w:trPr/>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w:t>
            </w:r>
          </w:p>
        </w:tc>
      </w:tr>
      <w:tr>
        <w:trPr/>
        <w:tc>
          <w:tcPr>
            <w:tcW w:w="3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9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For the period covered by this Quarterly Report on Form 10-Q, no director or officer of the Company has entered into any (i) contract, instruction or written plan for the purchase or sale of securities of the Company intended to satisfy the affirmative defense conditions of Rule 10b5-1(c) under the Exchange Act or (ii) any non-Rule 10b5-1 trading arrangement.</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4" w:name="item6_exhibits"/>
      <w:bookmarkEnd w:id="24"/>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Articles of Amendment and Restatement of the Registrant (Filed as Exhibit (a)(1) to Pre-Effective Amendment No. 2 to the Registrant’s Registration Statement on Form N-2 (File No. 333-172550) filed with the U.S. Securities and Exchange Commission on April 29, 2011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Bylaws of the Registrant (Filed as Exhibit (b)(1) to Pre-Effective Amendment No. 2 to the Registrant’s Registration Statement on Form N-2 (File No. 333-172550) filed with the U.S. Securities and Exchange Commission on April 29, 2011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Stock Certificate of the Registrant (Filed as Exhibit (d) to Pre-Effective Amendment No. 2 to the Registrant’s Registration Statement on Form N-2 (File No. 333-172550) filed with the U.S. Securities and Exchange Commission on April 29, 2011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Agreement to Furnish Certain Instruments (Filed as Exhibit (f)(2) to Pre-Effective Amendment No. 3 to the Registrant’s Registration Statement on Form N-2 (File No. 333-172550) filed with the U.S. Securities and Exchange Commission on May 26, 2011 and incorporated herein by reference)</w:t>
              </w:r>
            </w:hyperlink>
            <w:r>
              <w:rPr>
                <w:rFonts w:ascii="Times New Roman" w:hAnsi="Times New Roman"/>
                <w:color w:val="000000"/>
                <w:sz w:val="20"/>
              </w:rPr>
              <w:t>.</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Indenture (Filed as Exhibit (d)(5) to Post-Effective Amendment No. 2 to the Registrant’s Registration Statement on Form N-2 (File No. 333-202531) filed with the U.S. Securities and Exchange Commission on April 29, 2016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Fourth Supplemental Indenture dated as of December 23, 2020 between Fidus Investment Corporation and U.S. Bank National Association, as trustee (Filed as Exhibit 4.1 to the Registrant’s Current Report on Form 8-K filed with the U.S. Securities and Exchange Commission on December 23, 2020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Global Note with respect to the 4.75% Notes due 2026 (Filed as Exhibit 4.1 to the Registrant’s Current Report on Form 8-K filed with the U.S. Securities and Exchange Commission on December 23, 2020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Fifth Supplemental Indenture dated as of October 8, 2021 between Fidus Investment Corporation and U.S. Bank National Association, as trustee (Filed as Exhibit 4.1 to the Registrant’s Current Report on Form 8-K filed with the U.S. Securities and Exchange Commission on October 8, 2021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Global Note with respect to the 3.50% Notes due 2026 (Filed as Exhibit 4.1 to the Registrant’s Current Report on Form 8-K filed with the U.S. Securities and Exchange Commission on October 8, 2021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Sixth Supplemental Indenture, dated as of March 19, 2025, by and between Fidus Investment Corporation and U.S. Bank Trust Company, National Association (as successor in interest to U.S. Bank National Association), as trustee (Filed as Exhibit 4.2 to the Registrant’s Current Report on Form 8-K filed with the U.S. Securities and Exchange Commission on March 19, 2025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Global Note with respect to the 6.750% Notes due 2030 (Filed as Exhibit 4.3 to the Registrant’s Current Report on Form 8-K filed with the U.S. Securities and Exchange Commission on March 19, 2025 and incorporated herein by reference).</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fdus-ex31_1.htm">
              <w:r>
                <w:rPr>
                  <w:rStyle w:val="InternetLink"/>
                  <w:rFonts w:ascii="Times New Roman" w:hAnsi="Times New Roman"/>
                  <w:color w:val="0000FF"/>
                  <w:sz w:val="20"/>
                  <w:u w:val="single"/>
                </w:rPr>
                <w:t>Chief Executive Officer Certification Pursuant to Rule 13a-14 of the Securities Exchange Act of 1934, as adopted pursuant to Section 302 of the Sarbanes-Oxley Act of 2002.*</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fdus-ex31_2.htm">
              <w:r>
                <w:rPr>
                  <w:rStyle w:val="InternetLink"/>
                  <w:rFonts w:ascii="Times New Roman" w:hAnsi="Times New Roman"/>
                  <w:color w:val="0000FF"/>
                  <w:sz w:val="20"/>
                  <w:u w:val="single"/>
                </w:rPr>
                <w:t>Chief Financial Officer Certification Pursuant to Rule 13a-14 of the Securities Exchange Act of 1934, as adopted pursuant to Section 302 of the Sarbanes-Oxley Act of 2002.*</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fdus-ex32_1.htm">
              <w:r>
                <w:rPr>
                  <w:rStyle w:val="InternetLink"/>
                  <w:rFonts w:ascii="Times New Roman" w:hAnsi="Times New Roman"/>
                  <w:color w:val="0000FF"/>
                  <w:sz w:val="20"/>
                  <w:u w:val="single"/>
                </w:rPr>
                <w:t>Certification pursuant to Section 1350, Chapter 63 of Title 18, United States Code, as adopted pursuant to Section 906 of the Sarbanes-Oxley Act of 2002.*</w:t>
              </w:r>
            </w:hyperlink>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723" w:type="dxa"/>
        <w:jc w:val="left"/>
        <w:tblInd w:w="0" w:type="dxa"/>
        <w:tblLayout w:type="fixed"/>
        <w:tblCellMar>
          <w:top w:w="28" w:type="dxa"/>
          <w:left w:w="28" w:type="dxa"/>
          <w:bottom w:w="28" w:type="dxa"/>
          <w:right w:w="28" w:type="dxa"/>
        </w:tblCellMar>
      </w:tblPr>
      <w:tblGrid>
        <w:gridCol w:w="871"/>
        <w:gridCol w:w="146"/>
        <w:gridCol w:w="6706"/>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sz w:val="4"/>
                <w:szCs w:val="4"/>
              </w:rPr>
            </w:pPr>
            <w:r>
              <w:rPr>
                <w:sz w:val="4"/>
                <w:szCs w:val="4"/>
              </w:rPr>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*Filed herewith.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signatures"/>
      <w:bookmarkEnd w:id="25"/>
      <w:r>
        <w:rPr>
          <w:rFonts w:ascii="Times New Roman" w:hAnsi="Times New Roman"/>
          <w:b/>
          <w:color w:val="000000"/>
          <w:sz w:val="20"/>
        </w:rPr>
        <w:t>SIGNATURES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5402" w:type="dxa"/>
        <w:jc w:val="left"/>
        <w:tblInd w:w="0" w:type="dxa"/>
        <w:tblLayout w:type="fixed"/>
        <w:tblCellMar>
          <w:top w:w="28" w:type="dxa"/>
          <w:left w:w="28" w:type="dxa"/>
          <w:bottom w:w="28" w:type="dxa"/>
          <w:right w:w="28" w:type="dxa"/>
        </w:tblCellMar>
      </w:tblPr>
      <w:tblGrid>
        <w:gridCol w:w="163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FIDUS INVESTMENT CORPORATION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May 8, 2025</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EDWARD H. ROSS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H. Ross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SHELBY E. SHERARD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Shelby E. Sherard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bookmarkStart w:id="26" w:name="fdus-ex31_1.htm"/>
      <w:bookmarkStart w:id="27" w:name="ksfdusex31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 Chief Executive Officer 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Edward H. Ross, as Chief Executive Officer of Fidus Investment Corporation,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Fidus Investment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May 8, 2025</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/s/ EDWARD H. ROSS </w:t>
      </w:r>
    </w:p>
    <w:p>
      <w:pPr>
        <w:pStyle w:val="TextBody"/>
        <w:bidi w:val="0"/>
        <w:jc w:val="left"/>
        <w:rPr>
          <w:rFonts w:ascii="Times New Roman" w:hAnsi="Times New Roman"/>
          <w:color w:val="000000"/>
          <w:sz w:val="20"/>
        </w:rPr>
      </w:pPr>
      <w:r>
        <w:rPr>
          <w:rFonts w:ascii="Times New Roman" w:hAnsi="Times New Roman"/>
          <w:color w:val="000000"/>
          <w:sz w:val="20"/>
        </w:rPr>
        <w:t>Edward H. Ross</w:t>
      </w:r>
    </w:p>
    <w:p>
      <w:pPr>
        <w:pStyle w:val="TextBody"/>
        <w:bidi w:val="0"/>
        <w:jc w:val="left"/>
        <w:rPr>
          <w:rFonts w:ascii="Times New Roman" w:hAnsi="Times New Roman"/>
          <w:color w:val="000000"/>
          <w:sz w:val="20"/>
        </w:rPr>
      </w:pPr>
      <w:r>
        <w:rPr>
          <w:rFonts w:ascii="Times New Roman" w:hAnsi="Times New Roman"/>
          <w:color w:val="000000"/>
          <w:sz w:val="20"/>
        </w:rPr>
        <w:t>Chairman and Chief Executive Officer</w:t>
      </w:r>
    </w:p>
    <w:p>
      <w:pPr>
        <w:pStyle w:val="TextBody"/>
        <w:bidi w:val="0"/>
        <w:jc w:val="left"/>
        <w:rPr>
          <w:rFonts w:ascii="Times New Roman" w:hAnsi="Times New Roman"/>
          <w:color w:val="000000"/>
          <w:sz w:val="20"/>
        </w:rPr>
      </w:pPr>
      <w:r>
        <w:rPr>
          <w:rFonts w:ascii="Times New Roman" w:hAnsi="Times New Roman"/>
          <w:color w:val="000000"/>
          <w:sz w:val="20"/>
        </w:rPr>
        <w:t>(Principal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fdus-ex31_2.htm"/>
      <w:bookmarkStart w:id="29" w:name="ksfdusex31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Fidus Investment Corporation Chief Financial Officer Certification</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Shelby E. Sherard, as Chief Financial Officer of Fidus Investment Corporation,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Fidus Investment Corporation;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May 8, 2025</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/s/ SHELBY E. SHERARD </w:t>
      </w:r>
    </w:p>
    <w:p>
      <w:pPr>
        <w:pStyle w:val="TextBody"/>
        <w:bidi w:val="0"/>
        <w:jc w:val="left"/>
        <w:rPr>
          <w:rFonts w:ascii="Times New Roman" w:hAnsi="Times New Roman"/>
          <w:color w:val="000000"/>
          <w:sz w:val="20"/>
        </w:rPr>
      </w:pPr>
      <w:r>
        <w:rPr>
          <w:rFonts w:ascii="Times New Roman" w:hAnsi="Times New Roman"/>
          <w:color w:val="000000"/>
          <w:sz w:val="20"/>
        </w:rPr>
        <w:t>Shelby E. Sherard</w:t>
      </w:r>
    </w:p>
    <w:p>
      <w:pPr>
        <w:pStyle w:val="TextBody"/>
        <w:bidi w:val="0"/>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left"/>
        <w:rPr>
          <w:rFonts w:ascii="Times New Roman" w:hAnsi="Times New Roman"/>
          <w:color w:val="000000"/>
          <w:sz w:val="20"/>
        </w:rPr>
      </w:pPr>
      <w:r>
        <w:rPr>
          <w:rFonts w:ascii="Times New Roman" w:hAnsi="Times New Roman"/>
          <w:color w:val="000000"/>
          <w:sz w:val="20"/>
        </w:rPr>
        <w:t>(Principal Financial and Accounting Officer)</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fdus-ex32_1.htm"/>
      <w:bookmarkStart w:id="31" w:name="ksfdusex32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of Fidus Investment Corporation (the “Company”) for the quarterly period ended March 31, 2025,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both"/>
        <w:rPr/>
      </w:pPr>
      <w:r>
        <w:rPr/>
        <w:t> </w:t>
      </w:r>
    </w:p>
    <w:tbl>
      <w:tblPr>
        <w:tblW w:w="5402" w:type="dxa"/>
        <w:jc w:val="left"/>
        <w:tblInd w:w="0" w:type="dxa"/>
        <w:tblLayout w:type="fixed"/>
        <w:tblCellMar>
          <w:top w:w="28" w:type="dxa"/>
          <w:left w:w="28" w:type="dxa"/>
          <w:bottom w:w="28" w:type="dxa"/>
          <w:right w:w="28" w:type="dxa"/>
        </w:tblCellMar>
      </w:tblPr>
      <w:tblGrid>
        <w:gridCol w:w="1636"/>
        <w:gridCol w:w="3766"/>
      </w:tblGrid>
      <w:tr>
        <w:trPr/>
        <w:tc>
          <w:tcPr>
            <w:tcW w:w="163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EDWARD H. ROSS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H. Ross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SHELBY E. SHERARD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Shelby E. Sherard</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180" w:after="283"/>
        <w:jc w:val="left"/>
        <w:rPr/>
      </w:pPr>
      <w:r>
        <w:rPr/>
        <w:t> </w:t>
      </w:r>
    </w:p>
    <w:p>
      <w:pPr>
        <w:pStyle w:val="TextBody"/>
        <w:bidi w:val="0"/>
        <w:jc w:val="left"/>
        <w:rPr/>
      </w:pPr>
      <w:r>
        <w:rPr/>
        <w:t> </w:t>
      </w:r>
    </w:p>
    <w:p>
      <w:pPr>
        <w:pStyle w:val="TextBody"/>
        <w:bidi w:val="0"/>
        <w:jc w:val="both"/>
        <w:rPr/>
      </w:pPr>
      <w:r>
        <w:rPr/>
        <w:t> </w:t>
      </w:r>
    </w:p>
    <w:p>
      <w:pPr>
        <w:pStyle w:val="TextBody"/>
        <w:bidi w:val="0"/>
        <w:spacing w:before="0" w:after="18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3363/000095012311041885/w81466a2exv99wxayx1y.htm" TargetMode="External"/><Relationship Id="rId3" Type="http://schemas.openxmlformats.org/officeDocument/2006/relationships/hyperlink" Target="https://www.sec.gov/Archives/edgar/data/1513363/000095012311041885/w81466a2exv99wxbyx1y.htm" TargetMode="External"/><Relationship Id="rId4" Type="http://schemas.openxmlformats.org/officeDocument/2006/relationships/hyperlink" Target="https://www.sec.gov/Archives/edgar/data/1513363/000095012311041885/w81466a2exv99wxdy.htm" TargetMode="External"/><Relationship Id="rId5" Type="http://schemas.openxmlformats.org/officeDocument/2006/relationships/hyperlink" Target="https://www.sec.gov/Archives/edgar/data/1513363/000095012311054001/w81466a3exv99wxfyx2y.htm" TargetMode="External"/><Relationship Id="rId6" Type="http://schemas.openxmlformats.org/officeDocument/2006/relationships/hyperlink" Target="https://www.sec.gov/Archives/edgar/data/1513363/000119312516569246/d141023dex99d5.htm" TargetMode="External"/><Relationship Id="rId7" Type="http://schemas.openxmlformats.org/officeDocument/2006/relationships/hyperlink" Target="https://www.sec.gov/Archives/edgar/data/1513363/000119312520325989/d97521dex41.htm" TargetMode="External"/><Relationship Id="rId8" Type="http://schemas.openxmlformats.org/officeDocument/2006/relationships/hyperlink" Target="https://www.sec.gov/Archives/edgar/data/1513363/000119312520325989/d97521dex41.htm" TargetMode="External"/><Relationship Id="rId9" Type="http://schemas.openxmlformats.org/officeDocument/2006/relationships/hyperlink" Target="https://www.sec.gov/Archives/edgar/data/0001513363/000119312521295460/d193806dex41.htm" TargetMode="External"/><Relationship Id="rId10" Type="http://schemas.openxmlformats.org/officeDocument/2006/relationships/hyperlink" Target="https://www.sec.gov/Archives/edgar/data/0001513363/000119312521295460/d193806dex41.htm" TargetMode="External"/><Relationship Id="rId11" Type="http://schemas.openxmlformats.org/officeDocument/2006/relationships/hyperlink" Target="https://www.sec.gov/Archives/edgar/data/1513363/000119312525057824/d822632dex42.htm" TargetMode="External"/><Relationship Id="rId12" Type="http://schemas.openxmlformats.org/officeDocument/2006/relationships/hyperlink" Target="https://www.sec.gov/Archives/edgar/data/1513363/000119312525057824/d822632dex42.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47914</Words>
  <Characters>260859</Characters>
  <CharactersWithSpaces>319937</CharactersWithSpaces>
  <Paragraphs>27143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