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213360</wp:posOffset>
            </wp:positionV>
            <wp:extent cx="69786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65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255905</wp:posOffset>
            </wp:positionV>
            <wp:extent cx="69786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65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2835910</wp:posOffset>
            </wp:positionH>
            <wp:positionV relativeFrom="paragraph">
              <wp:posOffset>217805</wp:posOffset>
            </wp:positionV>
            <wp:extent cx="1471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129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34"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3" w:lineRule="exact"/>
        <w:rPr>
          <w:sz w:val="24"/>
          <w:szCs w:val="24"/>
          <w:color w:val="auto"/>
        </w:rPr>
      </w:pPr>
    </w:p>
    <w:p>
      <w:pPr>
        <w:ind w:left="560" w:right="100" w:hanging="431"/>
        <w:spacing w:after="0" w:line="236" w:lineRule="auto"/>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2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42" w:lineRule="exact"/>
        <w:rPr>
          <w:sz w:val="24"/>
          <w:szCs w:val="24"/>
          <w:color w:val="auto"/>
        </w:rPr>
      </w:pPr>
    </w:p>
    <w:p>
      <w:pPr>
        <w:ind w:left="560" w:hanging="431"/>
        <w:spacing w:after="0"/>
        <w:tabs>
          <w:tab w:leader="none" w:pos="5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w:t>
      </w:r>
    </w:p>
    <w:p>
      <w:pPr>
        <w:spacing w:after="0" w:line="31"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1934</w:t>
      </w: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3676015</wp:posOffset>
            </wp:positionH>
            <wp:positionV relativeFrom="paragraph">
              <wp:posOffset>-20955</wp:posOffset>
            </wp:positionV>
            <wp:extent cx="1291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814-00861</w:t>
      </w:r>
    </w:p>
    <w:p>
      <w:pPr>
        <w:spacing w:after="0" w:line="19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Fidus Investment Corporation</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1" w:lineRule="exact"/>
        <w:rPr>
          <w:sz w:val="24"/>
          <w:szCs w:val="24"/>
          <w:color w:val="auto"/>
        </w:rPr>
      </w:pPr>
    </w:p>
    <w:tbl>
      <w:tblPr>
        <w:tblLayout w:type="fixed"/>
        <w:tblInd w:w="1560" w:type="dxa"/>
        <w:tblCellMar>
          <w:top w:w="0" w:type="dxa"/>
          <w:left w:w="0" w:type="dxa"/>
          <w:bottom w:w="0" w:type="dxa"/>
          <w:right w:w="0" w:type="dxa"/>
        </w:tblCellMar>
      </w:tblPr>
      <w:tr>
        <w:trPr>
          <w:trHeight w:val="211"/>
        </w:trPr>
        <w:tc>
          <w:tcPr>
            <w:tcW w:w="6000" w:type="dxa"/>
            <w:vAlign w:val="bottom"/>
          </w:tcPr>
          <w:p>
            <w:pPr>
              <w:jc w:val="center"/>
              <w:ind w:right="3239"/>
              <w:spacing w:after="0"/>
              <w:rPr>
                <w:sz w:val="20"/>
                <w:szCs w:val="20"/>
                <w:color w:val="auto"/>
              </w:rPr>
            </w:pPr>
            <w:r>
              <w:rPr>
                <w:rFonts w:ascii="Arial" w:cs="Arial" w:eastAsia="Arial" w:hAnsi="Arial"/>
                <w:sz w:val="18"/>
                <w:szCs w:val="18"/>
                <w:b w:val="1"/>
                <w:bCs w:val="1"/>
                <w:color w:val="auto"/>
                <w:w w:val="96"/>
              </w:rPr>
              <w:t>Maryland</w:t>
            </w:r>
          </w:p>
        </w:tc>
        <w:tc>
          <w:tcPr>
            <w:tcW w:w="1460" w:type="dxa"/>
            <w:vAlign w:val="bottom"/>
          </w:tcPr>
          <w:p>
            <w:pPr>
              <w:jc w:val="right"/>
              <w:ind w:right="61"/>
              <w:spacing w:after="0"/>
              <w:rPr>
                <w:sz w:val="20"/>
                <w:szCs w:val="20"/>
                <w:color w:val="auto"/>
              </w:rPr>
            </w:pPr>
            <w:r>
              <w:rPr>
                <w:rFonts w:ascii="Arial" w:cs="Arial" w:eastAsia="Arial" w:hAnsi="Arial"/>
                <w:sz w:val="18"/>
                <w:szCs w:val="18"/>
                <w:b w:val="1"/>
                <w:bCs w:val="1"/>
                <w:color w:val="auto"/>
              </w:rPr>
              <w:t>27-5017321</w:t>
            </w:r>
          </w:p>
        </w:tc>
      </w:tr>
      <w:tr>
        <w:trPr>
          <w:trHeight w:val="148"/>
        </w:trPr>
        <w:tc>
          <w:tcPr>
            <w:tcW w:w="6000" w:type="dxa"/>
            <w:vAlign w:val="bottom"/>
          </w:tcPr>
          <w:p>
            <w:pPr>
              <w:jc w:val="center"/>
              <w:ind w:right="3219"/>
              <w:spacing w:after="0" w:line="148" w:lineRule="exact"/>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ind w:left="261"/>
              <w:spacing w:after="0" w:line="148"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00" w:type="dxa"/>
            <w:vAlign w:val="bottom"/>
          </w:tcPr>
          <w:p>
            <w:pPr>
              <w:jc w:val="center"/>
              <w:ind w:right="3239"/>
              <w:spacing w:after="0"/>
              <w:rPr>
                <w:sz w:val="20"/>
                <w:szCs w:val="20"/>
                <w:color w:val="auto"/>
              </w:rPr>
            </w:pPr>
            <w:r>
              <w:rPr>
                <w:rFonts w:ascii="Arial" w:cs="Arial" w:eastAsia="Arial" w:hAnsi="Arial"/>
                <w:sz w:val="14"/>
                <w:szCs w:val="14"/>
                <w:b w:val="1"/>
                <w:bCs w:val="1"/>
                <w:color w:val="auto"/>
                <w:w w:val="94"/>
              </w:rPr>
              <w:t>Incorporation or Organization)</w:t>
            </w:r>
          </w:p>
        </w:tc>
        <w:tc>
          <w:tcPr>
            <w:tcW w:w="1460" w:type="dxa"/>
            <w:vAlign w:val="bottom"/>
          </w:tcPr>
          <w:p>
            <w:pPr>
              <w:jc w:val="center"/>
              <w:ind w:left="261"/>
              <w:spacing w:after="0"/>
              <w:rPr>
                <w:sz w:val="20"/>
                <w:szCs w:val="20"/>
                <w:color w:val="auto"/>
              </w:rPr>
            </w:pPr>
            <w:r>
              <w:rPr>
                <w:rFonts w:ascii="Arial" w:cs="Arial" w:eastAsia="Arial" w:hAnsi="Arial"/>
                <w:sz w:val="14"/>
                <w:szCs w:val="14"/>
                <w:b w:val="1"/>
                <w:bCs w:val="1"/>
                <w:color w:val="auto"/>
                <w:w w:val="94"/>
              </w:rPr>
              <w:t>Identification No.)</w:t>
            </w:r>
          </w:p>
        </w:tc>
      </w:tr>
      <w:tr>
        <w:trPr>
          <w:trHeight w:val="411"/>
        </w:trPr>
        <w:tc>
          <w:tcPr>
            <w:tcW w:w="6000" w:type="dxa"/>
            <w:vAlign w:val="bottom"/>
          </w:tcPr>
          <w:p>
            <w:pPr>
              <w:jc w:val="center"/>
              <w:ind w:right="3239"/>
              <w:spacing w:after="0"/>
              <w:rPr>
                <w:sz w:val="20"/>
                <w:szCs w:val="20"/>
                <w:color w:val="auto"/>
              </w:rPr>
            </w:pPr>
            <w:r>
              <w:rPr>
                <w:rFonts w:ascii="Arial" w:cs="Arial" w:eastAsia="Arial" w:hAnsi="Arial"/>
                <w:sz w:val="18"/>
                <w:szCs w:val="18"/>
                <w:b w:val="1"/>
                <w:bCs w:val="1"/>
                <w:color w:val="auto"/>
                <w:w w:val="90"/>
              </w:rPr>
              <w:t>1603 Orrington Avenue, Suite 1005</w:t>
            </w:r>
          </w:p>
        </w:tc>
        <w:tc>
          <w:tcPr>
            <w:tcW w:w="1460" w:type="dxa"/>
            <w:vAlign w:val="bottom"/>
          </w:tcPr>
          <w:p>
            <w:pPr>
              <w:spacing w:after="0"/>
              <w:rPr>
                <w:sz w:val="24"/>
                <w:szCs w:val="24"/>
                <w:color w:val="auto"/>
              </w:rPr>
            </w:pPr>
          </w:p>
        </w:tc>
      </w:tr>
      <w:tr>
        <w:trPr>
          <w:trHeight w:val="225"/>
        </w:trPr>
        <w:tc>
          <w:tcPr>
            <w:tcW w:w="6000" w:type="dxa"/>
            <w:vAlign w:val="bottom"/>
          </w:tcPr>
          <w:p>
            <w:pPr>
              <w:jc w:val="center"/>
              <w:ind w:right="3219"/>
              <w:spacing w:after="0"/>
              <w:rPr>
                <w:sz w:val="20"/>
                <w:szCs w:val="20"/>
                <w:color w:val="auto"/>
              </w:rPr>
            </w:pPr>
            <w:r>
              <w:rPr>
                <w:rFonts w:ascii="Arial" w:cs="Arial" w:eastAsia="Arial" w:hAnsi="Arial"/>
                <w:sz w:val="18"/>
                <w:szCs w:val="18"/>
                <w:b w:val="1"/>
                <w:bCs w:val="1"/>
                <w:color w:val="auto"/>
                <w:w w:val="90"/>
              </w:rPr>
              <w:t>Evanston, Illinois</w:t>
            </w:r>
          </w:p>
        </w:tc>
        <w:tc>
          <w:tcPr>
            <w:tcW w:w="1460" w:type="dxa"/>
            <w:vAlign w:val="bottom"/>
          </w:tcPr>
          <w:p>
            <w:pPr>
              <w:jc w:val="right"/>
              <w:ind w:right="261"/>
              <w:spacing w:after="0"/>
              <w:rPr>
                <w:sz w:val="20"/>
                <w:szCs w:val="20"/>
                <w:color w:val="auto"/>
              </w:rPr>
            </w:pPr>
            <w:r>
              <w:rPr>
                <w:rFonts w:ascii="Arial" w:cs="Arial" w:eastAsia="Arial" w:hAnsi="Arial"/>
                <w:sz w:val="18"/>
                <w:szCs w:val="18"/>
                <w:b w:val="1"/>
                <w:bCs w:val="1"/>
                <w:color w:val="auto"/>
              </w:rPr>
              <w:t>60201</w:t>
            </w:r>
          </w:p>
        </w:tc>
      </w:tr>
      <w:tr>
        <w:trPr>
          <w:trHeight w:val="186"/>
        </w:trPr>
        <w:tc>
          <w:tcPr>
            <w:tcW w:w="6000" w:type="dxa"/>
            <w:vAlign w:val="bottom"/>
          </w:tcPr>
          <w:p>
            <w:pPr>
              <w:jc w:val="center"/>
              <w:ind w:right="3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5"/>
              </w:rPr>
              <w:t>(Zip Code)</w:t>
            </w:r>
          </w:p>
        </w:tc>
      </w:tr>
      <w:tr>
        <w:trPr>
          <w:trHeight w:val="393"/>
        </w:trPr>
        <w:tc>
          <w:tcPr>
            <w:tcW w:w="6000" w:type="dxa"/>
            <w:vAlign w:val="bottom"/>
          </w:tcPr>
          <w:p>
            <w:pPr>
              <w:jc w:val="right"/>
              <w:ind w:right="1299"/>
              <w:spacing w:after="0"/>
              <w:rPr>
                <w:sz w:val="20"/>
                <w:szCs w:val="20"/>
                <w:color w:val="auto"/>
              </w:rPr>
            </w:pPr>
            <w:r>
              <w:rPr>
                <w:rFonts w:ascii="Arial" w:cs="Arial" w:eastAsia="Arial" w:hAnsi="Arial"/>
                <w:sz w:val="18"/>
                <w:szCs w:val="18"/>
                <w:b w:val="1"/>
                <w:bCs w:val="1"/>
                <w:color w:val="auto"/>
              </w:rPr>
              <w:t>(847) 859-3940</w:t>
            </w:r>
          </w:p>
        </w:tc>
        <w:tc>
          <w:tcPr>
            <w:tcW w:w="1460" w:type="dxa"/>
            <w:vAlign w:val="bottom"/>
          </w:tcPr>
          <w:p>
            <w:pPr>
              <w:spacing w:after="0"/>
              <w:rPr>
                <w:sz w:val="24"/>
                <w:szCs w:val="24"/>
                <w:color w:val="auto"/>
              </w:rPr>
            </w:pPr>
          </w:p>
        </w:tc>
      </w:tr>
      <w:tr>
        <w:trPr>
          <w:trHeight w:val="186"/>
        </w:trPr>
        <w:tc>
          <w:tcPr>
            <w:tcW w:w="6000" w:type="dxa"/>
            <w:vAlign w:val="bottom"/>
          </w:tcPr>
          <w:p>
            <w:pPr>
              <w:jc w:val="center"/>
              <w:ind w:left="20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2835910</wp:posOffset>
            </wp:positionH>
            <wp:positionV relativeFrom="paragraph">
              <wp:posOffset>212725</wp:posOffset>
            </wp:positionV>
            <wp:extent cx="1471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129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2835910</wp:posOffset>
            </wp:positionH>
            <wp:positionV relativeFrom="paragraph">
              <wp:posOffset>218440</wp:posOffset>
            </wp:positionV>
            <wp:extent cx="1471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1295"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4"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4"/>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Symbol</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FDUS</w:t>
            </w:r>
          </w:p>
        </w:tc>
        <w:tc>
          <w:tcPr>
            <w:tcW w:w="10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Global Select Market</w:t>
            </w:r>
          </w:p>
        </w:tc>
        <w:tc>
          <w:tcPr>
            <w:tcW w:w="0" w:type="dxa"/>
            <w:vAlign w:val="bottom"/>
          </w:tcPr>
          <w:p>
            <w:pPr>
              <w:spacing w:after="0"/>
              <w:rPr>
                <w:sz w:val="1"/>
                <w:szCs w:val="1"/>
                <w:color w:val="auto"/>
              </w:rPr>
            </w:pPr>
          </w:p>
        </w:tc>
      </w:tr>
      <w:tr>
        <w:trPr>
          <w:trHeight w:val="215"/>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5.875% Notes due 2023</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FDUSL</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Select Market</w:t>
            </w:r>
          </w:p>
        </w:tc>
        <w:tc>
          <w:tcPr>
            <w:tcW w:w="0" w:type="dxa"/>
            <w:vAlign w:val="bottom"/>
          </w:tcPr>
          <w:p>
            <w:pPr>
              <w:spacing w:after="0"/>
              <w:rPr>
                <w:sz w:val="1"/>
                <w:szCs w:val="1"/>
                <w:color w:val="auto"/>
              </w:rPr>
            </w:pPr>
          </w:p>
        </w:tc>
      </w:tr>
      <w:tr>
        <w:trPr>
          <w:trHeight w:val="215"/>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6.000% Notes due 2024</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FDUSZ</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5.375% Notes due 2024</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FDUSG</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Select Market</w:t>
            </w:r>
          </w:p>
        </w:tc>
        <w:tc>
          <w:tcPr>
            <w:tcW w:w="0" w:type="dxa"/>
            <w:vAlign w:val="bottom"/>
          </w:tcPr>
          <w:p>
            <w:pPr>
              <w:spacing w:after="0"/>
              <w:rPr>
                <w:sz w:val="1"/>
                <w:szCs w:val="1"/>
                <w:color w:val="auto"/>
              </w:rPr>
            </w:pPr>
          </w:p>
        </w:tc>
      </w:tr>
    </w:tbl>
    <w:p>
      <w:pPr>
        <w:spacing w:after="0" w:line="201" w:lineRule="exact"/>
        <w:rPr>
          <w:sz w:val="24"/>
          <w:szCs w:val="24"/>
          <w:color w:val="auto"/>
        </w:rPr>
      </w:pPr>
    </w:p>
    <w:p>
      <w:pPr>
        <w:ind w:left="120" w:right="80" w:firstLine="43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380" w:firstLine="43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120" w:right="60" w:firstLine="43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120"/>
          </w:cols>
          <w:pgMar w:left="320" w:top="230" w:right="459" w:bottom="0" w:gutter="0" w:footer="0" w:header="0"/>
        </w:sectPr>
      </w:pPr>
    </w:p>
    <w:p>
      <w:pPr>
        <w:spacing w:after="0" w:line="208" w:lineRule="exact"/>
        <w:rPr>
          <w:sz w:val="24"/>
          <w:szCs w:val="24"/>
          <w:color w:val="auto"/>
        </w:rPr>
      </w:pPr>
    </w:p>
    <w:p>
      <w:pPr>
        <w:ind w:left="120" w:right="220"/>
        <w:spacing w:after="0" w:line="232"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Accelerated filer</w:t>
      </w:r>
    </w:p>
    <w:p>
      <w:pPr>
        <w:spacing w:after="0" w:line="41" w:lineRule="exact"/>
        <w:rPr>
          <w:sz w:val="24"/>
          <w:szCs w:val="24"/>
          <w:color w:val="auto"/>
        </w:rPr>
      </w:pPr>
    </w:p>
    <w:p>
      <w:pPr>
        <w:jc w:val="center"/>
        <w:ind w:right="1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Non-accelerated filer</w:t>
      </w:r>
    </w:p>
    <w:p>
      <w:pPr>
        <w:spacing w:after="0" w:line="41" w:lineRule="exact"/>
        <w:rPr>
          <w:sz w:val="24"/>
          <w:szCs w:val="24"/>
          <w:color w:val="auto"/>
        </w:rPr>
      </w:pPr>
    </w:p>
    <w:p>
      <w:pPr>
        <w:jc w:val="center"/>
        <w:ind w:right="2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260"/>
        <w:spacing w:after="0"/>
        <w:rPr>
          <w:sz w:val="20"/>
          <w:szCs w:val="20"/>
          <w:color w:val="auto"/>
        </w:rPr>
      </w:pPr>
      <w:r>
        <w:rPr>
          <w:rFonts w:ascii="Arial" w:cs="Arial" w:eastAsia="Arial" w:hAnsi="Arial"/>
          <w:sz w:val="16"/>
          <w:szCs w:val="16"/>
          <w:color w:val="auto"/>
        </w:rPr>
        <w:t>Smaller reporting</w:t>
      </w:r>
    </w:p>
    <w:p>
      <w:pPr>
        <w:spacing w:after="0" w:line="46" w:lineRule="exact"/>
        <w:rPr>
          <w:sz w:val="24"/>
          <w:szCs w:val="24"/>
          <w:color w:val="auto"/>
        </w:rPr>
      </w:pPr>
    </w:p>
    <w:p>
      <w:pPr>
        <w:jc w:val="center"/>
        <w:ind w:right="26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420"/>
        <w:spacing w:after="0"/>
        <w:rPr>
          <w:sz w:val="20"/>
          <w:szCs w:val="20"/>
          <w:color w:val="auto"/>
        </w:rPr>
      </w:pPr>
      <w:r>
        <w:rPr>
          <w:rFonts w:ascii="Arial" w:cs="Arial" w:eastAsia="Arial" w:hAnsi="Arial"/>
          <w:sz w:val="16"/>
          <w:szCs w:val="16"/>
          <w:color w:val="auto"/>
        </w:rPr>
        <w:t>Emerging growth</w:t>
      </w:r>
    </w:p>
    <w:p>
      <w:pPr>
        <w:spacing w:after="0" w:line="46" w:lineRule="exact"/>
        <w:rPr>
          <w:sz w:val="24"/>
          <w:szCs w:val="24"/>
          <w:color w:val="auto"/>
        </w:rPr>
      </w:pPr>
    </w:p>
    <w:p>
      <w:pPr>
        <w:jc w:val="center"/>
        <w:ind w:right="42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223" w:lineRule="exact"/>
        <w:rPr>
          <w:sz w:val="24"/>
          <w:szCs w:val="24"/>
          <w:color w:val="auto"/>
        </w:rPr>
      </w:pPr>
    </w:p>
    <w:p>
      <w:pPr>
        <w:sectPr>
          <w:pgSz w:w="11900" w:h="16838" w:orient="portrait"/>
          <w:cols w:equalWidth="0" w:num="5">
            <w:col w:w="1960" w:space="720"/>
            <w:col w:w="1360" w:space="720"/>
            <w:col w:w="1720" w:space="720"/>
            <w:col w:w="1520" w:space="720"/>
            <w:col w:w="1680"/>
          </w:cols>
          <w:pgMar w:left="320" w:top="230" w:right="459" w:bottom="0" w:gutter="0" w:footer="0" w:header="0"/>
          <w:type w:val="continuous"/>
        </w:sectPr>
      </w:pPr>
    </w:p>
    <w:p>
      <w:pPr>
        <w:ind w:left="120" w:right="3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120"/>
        <w:spacing w:after="0" w:line="207" w:lineRule="exact"/>
        <w:tabs>
          <w:tab w:leader="none" w:pos="8420" w:val="left"/>
          <w:tab w:leader="none" w:pos="91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120"/>
          </w:cols>
          <w:pgMar w:left="320" w:top="230" w:right="45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As of October 29, 2020, the Registrant had outstanding 24,437,400 shares of common stock, $0.001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174625</wp:posOffset>
            </wp:positionV>
            <wp:extent cx="6978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786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217170</wp:posOffset>
            </wp:positionV>
            <wp:extent cx="6978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8650" cy="8255"/>
                    </a:xfrm>
                    <a:prstGeom prst="rect">
                      <a:avLst/>
                    </a:prstGeom>
                    <a:noFill/>
                  </pic:spPr>
                </pic:pic>
              </a:graphicData>
            </a:graphic>
          </wp:anchor>
        </w:drawing>
      </w:r>
    </w:p>
    <w:p>
      <w:pPr>
        <w:sectPr>
          <w:pgSz w:w="11900" w:h="16838" w:orient="portrait"/>
          <w:cols w:equalWidth="0" w:num="1">
            <w:col w:w="10019"/>
          </w:cols>
          <w:pgMar w:left="44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3"/>
        </w:trPr>
        <w:tc>
          <w:tcPr>
            <w:tcW w:w="10560" w:type="dxa"/>
            <w:vAlign w:val="bottom"/>
            <w:gridSpan w:val="4"/>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500" w:type="dxa"/>
            <w:vAlign w:val="bottom"/>
          </w:tcPr>
          <w:p>
            <w:pPr>
              <w:spacing w:after="0"/>
              <w:rPr>
                <w:sz w:val="20"/>
                <w:szCs w:val="20"/>
                <w:color w:val="auto"/>
              </w:rPr>
            </w:pPr>
          </w:p>
        </w:tc>
      </w:tr>
      <w:tr>
        <w:trPr>
          <w:trHeight w:val="493"/>
        </w:trPr>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74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rPr>
              <w:t>FIDUS INVESTMENT CORPORATION</w:t>
            </w:r>
          </w:p>
        </w:tc>
        <w:tc>
          <w:tcPr>
            <w:tcW w:w="500" w:type="dxa"/>
            <w:vAlign w:val="bottom"/>
          </w:tcPr>
          <w:p>
            <w:pPr>
              <w:spacing w:after="0"/>
              <w:rPr>
                <w:sz w:val="24"/>
                <w:szCs w:val="24"/>
                <w:color w:val="auto"/>
              </w:rPr>
            </w:pPr>
          </w:p>
        </w:tc>
      </w:tr>
      <w:tr>
        <w:trPr>
          <w:trHeight w:val="215"/>
        </w:trPr>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4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74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9"/>
              </w:rPr>
              <w:t>QUARTERLY REPORT ON FORM 10-Q</w:t>
            </w:r>
          </w:p>
        </w:tc>
        <w:tc>
          <w:tcPr>
            <w:tcW w:w="500" w:type="dxa"/>
            <w:vAlign w:val="bottom"/>
          </w:tcPr>
          <w:p>
            <w:pPr>
              <w:spacing w:after="0"/>
              <w:rPr>
                <w:sz w:val="20"/>
                <w:szCs w:val="20"/>
                <w:color w:val="auto"/>
              </w:rPr>
            </w:pPr>
          </w:p>
        </w:tc>
      </w:tr>
      <w:tr>
        <w:trPr>
          <w:trHeight w:val="443"/>
        </w:trPr>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740" w:type="dxa"/>
            <w:vAlign w:val="bottom"/>
            <w:gridSpan w:val="2"/>
          </w:tcPr>
          <w:p>
            <w:pPr>
              <w:ind w:left="216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 FINANCIAL INFORMATION</w:t>
              </w:r>
            </w:hyperlink>
          </w:p>
        </w:tc>
        <w:tc>
          <w:tcPr>
            <w:tcW w:w="500" w:type="dxa"/>
            <w:vAlign w:val="bottom"/>
          </w:tcPr>
          <w:p>
            <w:pPr>
              <w:spacing w:after="0"/>
              <w:rPr>
                <w:sz w:val="24"/>
                <w:szCs w:val="24"/>
                <w:color w:val="auto"/>
              </w:rPr>
            </w:pPr>
          </w:p>
        </w:tc>
      </w:tr>
      <w:tr>
        <w:trPr>
          <w:trHeight w:val="215"/>
        </w:trPr>
        <w:tc>
          <w:tcPr>
            <w:tcW w:w="1000" w:type="dxa"/>
            <w:vAlign w:val="bottom"/>
          </w:tcPr>
          <w:p>
            <w:pPr>
              <w:ind w:left="120"/>
              <w:spacing w:after="0"/>
              <w:rPr>
                <w:sz w:val="20"/>
                <w:szCs w:val="20"/>
                <w:color w:val="auto"/>
              </w:rPr>
            </w:pPr>
            <w:r>
              <w:rPr>
                <w:rFonts w:ascii="Arial" w:cs="Arial" w:eastAsia="Arial" w:hAnsi="Arial"/>
                <w:sz w:val="18"/>
                <w:szCs w:val="18"/>
                <w:color w:val="auto"/>
              </w:rPr>
              <w:t>Item 1.</w:t>
            </w:r>
          </w:p>
        </w:tc>
        <w:tc>
          <w:tcPr>
            <w:tcW w:w="956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5"/>
        </w:trPr>
        <w:tc>
          <w:tcPr>
            <w:tcW w:w="1000" w:type="dxa"/>
            <w:vAlign w:val="bottom"/>
          </w:tcPr>
          <w:p>
            <w:pPr>
              <w:spacing w:after="0"/>
              <w:rPr>
                <w:sz w:val="18"/>
                <w:szCs w:val="18"/>
                <w:color w:val="auto"/>
              </w:rPr>
            </w:pPr>
          </w:p>
        </w:tc>
        <w:tc>
          <w:tcPr>
            <w:tcW w:w="956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Assets and Liabilities — September 30, 2020 (unaudited) and December 31, 2019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5"/>
        </w:trPr>
        <w:tc>
          <w:tcPr>
            <w:tcW w:w="1000" w:type="dxa"/>
            <w:vAlign w:val="bottom"/>
          </w:tcPr>
          <w:p>
            <w:pPr>
              <w:spacing w:after="0"/>
              <w:rPr>
                <w:sz w:val="18"/>
                <w:szCs w:val="18"/>
                <w:color w:val="auto"/>
              </w:rPr>
            </w:pPr>
          </w:p>
        </w:tc>
        <w:tc>
          <w:tcPr>
            <w:tcW w:w="9560" w:type="dxa"/>
            <w:vAlign w:val="bottom"/>
            <w:gridSpan w:val="3"/>
          </w:tcPr>
          <w:p>
            <w:pPr>
              <w:spacing w:after="0"/>
              <w:rPr>
                <w:rFonts w:ascii="Arial" w:cs="Arial" w:eastAsia="Arial" w:hAnsi="Arial"/>
                <w:sz w:val="18"/>
                <w:szCs w:val="18"/>
                <w:u w:val="single" w:color="auto"/>
                <w:color w:val="0000EE"/>
                <w:w w:val="92"/>
              </w:rPr>
            </w:pPr>
            <w:hyperlink w:anchor="page5">
              <w:r>
                <w:rPr>
                  <w:rFonts w:ascii="Arial" w:cs="Arial" w:eastAsia="Arial" w:hAnsi="Arial"/>
                  <w:sz w:val="18"/>
                  <w:szCs w:val="18"/>
                  <w:u w:val="single" w:color="auto"/>
                  <w:color w:val="0000EE"/>
                  <w:w w:val="92"/>
                </w:rPr>
                <w:t>Consolidated Statements of Operations — Three and Nine Months Ended September 30, 2020 (unaudited) and 2019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89"/>
        </w:trPr>
        <w:tc>
          <w:tcPr>
            <w:tcW w:w="1000" w:type="dxa"/>
            <w:vAlign w:val="bottom"/>
          </w:tcPr>
          <w:p>
            <w:pPr>
              <w:spacing w:after="0"/>
              <w:rPr>
                <w:sz w:val="16"/>
                <w:szCs w:val="16"/>
                <w:color w:val="auto"/>
              </w:rPr>
            </w:pPr>
          </w:p>
        </w:tc>
        <w:tc>
          <w:tcPr>
            <w:tcW w:w="9180" w:type="dxa"/>
            <w:vAlign w:val="bottom"/>
            <w:tcBorders>
              <w:bottom w:val="single" w:sz="8" w:color="0000EE"/>
            </w:tcBorders>
            <w:gridSpan w:val="2"/>
          </w:tcPr>
          <w:p>
            <w:pPr>
              <w:spacing w:after="0" w:line="189"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Changes in Net Assets — Three and Nine Months Ended September 30, 2020 (unaudited) and 2019</w:t>
              </w:r>
            </w:hyperlink>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5"/>
        </w:trPr>
        <w:tc>
          <w:tcPr>
            <w:tcW w:w="1000" w:type="dxa"/>
            <w:vAlign w:val="bottom"/>
          </w:tcPr>
          <w:p>
            <w:pPr>
              <w:spacing w:after="0"/>
              <w:rPr>
                <w:sz w:val="17"/>
                <w:szCs w:val="17"/>
                <w:color w:val="auto"/>
              </w:rPr>
            </w:pPr>
          </w:p>
        </w:tc>
        <w:tc>
          <w:tcPr>
            <w:tcW w:w="820" w:type="dxa"/>
            <w:vAlign w:val="bottom"/>
            <w:tcBorders>
              <w:bottom w:val="single" w:sz="8" w:color="0000EE"/>
            </w:tcBorders>
          </w:tcPr>
          <w:p>
            <w:pPr>
              <w:spacing w:after="0" w:line="195"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(unaudited)</w:t>
              </w:r>
            </w:hyperlink>
          </w:p>
        </w:tc>
        <w:tc>
          <w:tcPr>
            <w:tcW w:w="8740" w:type="dxa"/>
            <w:vAlign w:val="bottom"/>
            <w:gridSpan w:val="2"/>
          </w:tcPr>
          <w:p>
            <w:pPr>
              <w:spacing w:after="0"/>
              <w:rPr>
                <w:sz w:val="17"/>
                <w:szCs w:val="17"/>
                <w:color w:val="auto"/>
              </w:rPr>
            </w:pP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rPr>
              <w:t>5</w:t>
            </w:r>
          </w:p>
        </w:tc>
      </w:tr>
      <w:tr>
        <w:trPr>
          <w:trHeight w:val="222"/>
        </w:trPr>
        <w:tc>
          <w:tcPr>
            <w:tcW w:w="1000" w:type="dxa"/>
            <w:vAlign w:val="bottom"/>
          </w:tcPr>
          <w:p>
            <w:pPr>
              <w:spacing w:after="0"/>
              <w:rPr>
                <w:sz w:val="19"/>
                <w:szCs w:val="19"/>
                <w:color w:val="auto"/>
              </w:rPr>
            </w:pPr>
          </w:p>
        </w:tc>
        <w:tc>
          <w:tcPr>
            <w:tcW w:w="956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 — Nine Months Ended September 30, 2020 (unaudited) and 2019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5"/>
        </w:trPr>
        <w:tc>
          <w:tcPr>
            <w:tcW w:w="1000" w:type="dxa"/>
            <w:vAlign w:val="bottom"/>
          </w:tcPr>
          <w:p>
            <w:pPr>
              <w:spacing w:after="0"/>
              <w:rPr>
                <w:sz w:val="18"/>
                <w:szCs w:val="18"/>
                <w:color w:val="auto"/>
              </w:rPr>
            </w:pPr>
          </w:p>
        </w:tc>
        <w:tc>
          <w:tcPr>
            <w:tcW w:w="9560" w:type="dxa"/>
            <w:vAlign w:val="bottom"/>
            <w:gridSpan w:val="3"/>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Schedules of Investments — September 30, 2020 (unaudited) and December 31, 2019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5"/>
        </w:trPr>
        <w:tc>
          <w:tcPr>
            <w:tcW w:w="1000" w:type="dxa"/>
            <w:vAlign w:val="bottom"/>
          </w:tcPr>
          <w:p>
            <w:pPr>
              <w:spacing w:after="0"/>
              <w:rPr>
                <w:sz w:val="18"/>
                <w:szCs w:val="18"/>
                <w:color w:val="auto"/>
              </w:rPr>
            </w:pPr>
          </w:p>
        </w:tc>
        <w:tc>
          <w:tcPr>
            <w:tcW w:w="9560" w:type="dxa"/>
            <w:vAlign w:val="bottom"/>
            <w:gridSpan w:val="3"/>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Notes to Consolidated Financial Statements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5"/>
        </w:trPr>
        <w:tc>
          <w:tcPr>
            <w:tcW w:w="1000" w:type="dxa"/>
            <w:vAlign w:val="bottom"/>
          </w:tcPr>
          <w:p>
            <w:pPr>
              <w:ind w:left="120"/>
              <w:spacing w:after="0"/>
              <w:rPr>
                <w:sz w:val="20"/>
                <w:szCs w:val="20"/>
                <w:color w:val="auto"/>
              </w:rPr>
            </w:pPr>
            <w:r>
              <w:rPr>
                <w:rFonts w:ascii="Arial" w:cs="Arial" w:eastAsia="Arial" w:hAnsi="Arial"/>
                <w:sz w:val="18"/>
                <w:szCs w:val="18"/>
                <w:color w:val="auto"/>
              </w:rPr>
              <w:t>Item 2.</w:t>
            </w:r>
          </w:p>
        </w:tc>
        <w:tc>
          <w:tcPr>
            <w:tcW w:w="9560" w:type="dxa"/>
            <w:vAlign w:val="bottom"/>
            <w:gridSpan w:val="3"/>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5"/>
        </w:trPr>
        <w:tc>
          <w:tcPr>
            <w:tcW w:w="1000" w:type="dxa"/>
            <w:vAlign w:val="bottom"/>
          </w:tcPr>
          <w:p>
            <w:pPr>
              <w:ind w:left="120"/>
              <w:spacing w:after="0"/>
              <w:rPr>
                <w:sz w:val="20"/>
                <w:szCs w:val="20"/>
                <w:color w:val="auto"/>
              </w:rPr>
            </w:pPr>
            <w:r>
              <w:rPr>
                <w:rFonts w:ascii="Arial" w:cs="Arial" w:eastAsia="Arial" w:hAnsi="Arial"/>
                <w:sz w:val="18"/>
                <w:szCs w:val="18"/>
                <w:color w:val="auto"/>
              </w:rPr>
              <w:t>Item 3.</w:t>
            </w:r>
          </w:p>
        </w:tc>
        <w:tc>
          <w:tcPr>
            <w:tcW w:w="9560" w:type="dxa"/>
            <w:vAlign w:val="bottom"/>
            <w:gridSpan w:val="3"/>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Quantitative and Qualitative Disclosures About Market Risk.</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000" w:type="dxa"/>
            <w:vAlign w:val="bottom"/>
          </w:tcPr>
          <w:p>
            <w:pPr>
              <w:ind w:left="120"/>
              <w:spacing w:after="0"/>
              <w:rPr>
                <w:sz w:val="20"/>
                <w:szCs w:val="20"/>
                <w:color w:val="auto"/>
              </w:rPr>
            </w:pPr>
            <w:r>
              <w:rPr>
                <w:rFonts w:ascii="Arial" w:cs="Arial" w:eastAsia="Arial" w:hAnsi="Arial"/>
                <w:sz w:val="18"/>
                <w:szCs w:val="18"/>
                <w:color w:val="auto"/>
              </w:rPr>
              <w:t>Item 4.</w:t>
            </w:r>
          </w:p>
        </w:tc>
        <w:tc>
          <w:tcPr>
            <w:tcW w:w="9560" w:type="dxa"/>
            <w:vAlign w:val="bottom"/>
            <w:gridSpan w:val="3"/>
          </w:tcPr>
          <w:p>
            <w:pPr>
              <w:spacing w:after="0"/>
              <w:rPr>
                <w:rFonts w:ascii="Arial" w:cs="Arial" w:eastAsia="Arial" w:hAnsi="Arial"/>
                <w:sz w:val="18"/>
                <w:szCs w:val="18"/>
                <w:color w:val="0000EE"/>
              </w:rPr>
            </w:pPr>
            <w:hyperlink w:anchor="page61">
              <w:r>
                <w:rPr>
                  <w:rFonts w:ascii="Arial" w:cs="Arial" w:eastAsia="Arial" w:hAnsi="Arial"/>
                  <w:sz w:val="18"/>
                  <w:szCs w:val="18"/>
                  <w:u w:val="single" w:color="auto"/>
                  <w:color w:val="0000EE"/>
                </w:rPr>
                <w:t>Controls and Procedures</w:t>
              </w:r>
              <w:r>
                <w:rPr>
                  <w:rFonts w:ascii="Arial" w:cs="Arial" w:eastAsia="Arial" w:hAnsi="Arial"/>
                  <w:sz w:val="18"/>
                  <w:szCs w:val="18"/>
                  <w:color w:val="0000EE"/>
                </w:rPr>
                <w: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09"/>
        </w:trPr>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740" w:type="dxa"/>
            <w:vAlign w:val="bottom"/>
            <w:gridSpan w:val="2"/>
          </w:tcPr>
          <w:p>
            <w:pPr>
              <w:ind w:left="2140"/>
              <w:spacing w:after="0"/>
              <w:rPr>
                <w:rFonts w:ascii="Arial" w:cs="Arial" w:eastAsia="Arial" w:hAnsi="Arial"/>
                <w:sz w:val="18"/>
                <w:szCs w:val="18"/>
                <w:b w:val="1"/>
                <w:bCs w:val="1"/>
                <w:u w:val="single" w:color="auto"/>
                <w:color w:val="0000EE"/>
              </w:rPr>
            </w:pPr>
            <w:hyperlink w:anchor="page62">
              <w:r>
                <w:rPr>
                  <w:rFonts w:ascii="Arial" w:cs="Arial" w:eastAsia="Arial" w:hAnsi="Arial"/>
                  <w:sz w:val="18"/>
                  <w:szCs w:val="18"/>
                  <w:b w:val="1"/>
                  <w:bCs w:val="1"/>
                  <w:u w:val="single" w:color="auto"/>
                  <w:color w:val="0000EE"/>
                </w:rPr>
                <w:t>PART II — OTHER INFORMATION</w:t>
              </w:r>
            </w:hyperlink>
          </w:p>
        </w:tc>
        <w:tc>
          <w:tcPr>
            <w:tcW w:w="500" w:type="dxa"/>
            <w:vAlign w:val="bottom"/>
          </w:tcPr>
          <w:p>
            <w:pPr>
              <w:spacing w:after="0"/>
              <w:rPr>
                <w:sz w:val="24"/>
                <w:szCs w:val="24"/>
                <w:color w:val="auto"/>
              </w:rPr>
            </w:pPr>
          </w:p>
        </w:tc>
      </w:tr>
      <w:tr>
        <w:trPr>
          <w:trHeight w:val="215"/>
        </w:trPr>
        <w:tc>
          <w:tcPr>
            <w:tcW w:w="1000" w:type="dxa"/>
            <w:vAlign w:val="bottom"/>
          </w:tcPr>
          <w:p>
            <w:pPr>
              <w:ind w:left="120"/>
              <w:spacing w:after="0"/>
              <w:rPr>
                <w:sz w:val="20"/>
                <w:szCs w:val="20"/>
                <w:color w:val="auto"/>
              </w:rPr>
            </w:pPr>
            <w:r>
              <w:rPr>
                <w:rFonts w:ascii="Arial" w:cs="Arial" w:eastAsia="Arial" w:hAnsi="Arial"/>
                <w:sz w:val="18"/>
                <w:szCs w:val="18"/>
                <w:color w:val="auto"/>
              </w:rPr>
              <w:t>Item 1.</w:t>
            </w:r>
          </w:p>
        </w:tc>
        <w:tc>
          <w:tcPr>
            <w:tcW w:w="9560" w:type="dxa"/>
            <w:vAlign w:val="bottom"/>
            <w:gridSpan w:val="3"/>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Legal Proceedings.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5"/>
        </w:trPr>
        <w:tc>
          <w:tcPr>
            <w:tcW w:w="1000" w:type="dxa"/>
            <w:vAlign w:val="bottom"/>
          </w:tcPr>
          <w:p>
            <w:pPr>
              <w:ind w:left="120"/>
              <w:spacing w:after="0"/>
              <w:rPr>
                <w:sz w:val="20"/>
                <w:szCs w:val="20"/>
                <w:color w:val="auto"/>
              </w:rPr>
            </w:pPr>
            <w:r>
              <w:rPr>
                <w:rFonts w:ascii="Arial" w:cs="Arial" w:eastAsia="Arial" w:hAnsi="Arial"/>
                <w:sz w:val="18"/>
                <w:szCs w:val="18"/>
                <w:color w:val="auto"/>
              </w:rPr>
              <w:t>Item 1A.</w:t>
            </w:r>
          </w:p>
        </w:tc>
        <w:tc>
          <w:tcPr>
            <w:tcW w:w="9560" w:type="dxa"/>
            <w:vAlign w:val="bottom"/>
            <w:gridSpan w:val="3"/>
          </w:tcPr>
          <w:p>
            <w:pPr>
              <w:spacing w:after="0"/>
              <w:rPr>
                <w:rFonts w:ascii="Arial" w:cs="Arial" w:eastAsia="Arial" w:hAnsi="Arial"/>
                <w:sz w:val="18"/>
                <w:szCs w:val="18"/>
                <w:color w:val="0000EE"/>
              </w:rPr>
            </w:pPr>
            <w:hyperlink w:anchor="page62">
              <w:r>
                <w:rPr>
                  <w:rFonts w:ascii="Arial" w:cs="Arial" w:eastAsia="Arial" w:hAnsi="Arial"/>
                  <w:sz w:val="18"/>
                  <w:szCs w:val="18"/>
                  <w:u w:val="single" w:color="auto"/>
                  <w:color w:val="0000EE"/>
                </w:rPr>
                <w:t>Risk Factors</w:t>
              </w:r>
              <w:r>
                <w:rPr>
                  <w:rFonts w:ascii="Arial" w:cs="Arial" w:eastAsia="Arial" w:hAnsi="Arial"/>
                  <w:sz w:val="18"/>
                  <w:szCs w:val="18"/>
                  <w:color w:val="0000EE"/>
                </w:rPr>
                <w: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5"/>
        </w:trPr>
        <w:tc>
          <w:tcPr>
            <w:tcW w:w="1000" w:type="dxa"/>
            <w:vAlign w:val="bottom"/>
          </w:tcPr>
          <w:p>
            <w:pPr>
              <w:ind w:left="120"/>
              <w:spacing w:after="0"/>
              <w:rPr>
                <w:sz w:val="20"/>
                <w:szCs w:val="20"/>
                <w:color w:val="auto"/>
              </w:rPr>
            </w:pPr>
            <w:r>
              <w:rPr>
                <w:rFonts w:ascii="Arial" w:cs="Arial" w:eastAsia="Arial" w:hAnsi="Arial"/>
                <w:sz w:val="18"/>
                <w:szCs w:val="18"/>
                <w:color w:val="auto"/>
              </w:rPr>
              <w:t>Item 2.</w:t>
            </w:r>
          </w:p>
        </w:tc>
        <w:tc>
          <w:tcPr>
            <w:tcW w:w="9560" w:type="dxa"/>
            <w:vAlign w:val="bottom"/>
            <w:gridSpan w:val="3"/>
          </w:tcPr>
          <w:p>
            <w:pPr>
              <w:spacing w:after="0"/>
              <w:rPr>
                <w:rFonts w:ascii="Arial" w:cs="Arial" w:eastAsia="Arial" w:hAnsi="Arial"/>
                <w:sz w:val="18"/>
                <w:szCs w:val="18"/>
                <w:color w:val="0000EE"/>
              </w:rPr>
            </w:pPr>
            <w:hyperlink w:anchor="page66">
              <w:r>
                <w:rPr>
                  <w:rFonts w:ascii="Arial" w:cs="Arial" w:eastAsia="Arial" w:hAnsi="Arial"/>
                  <w:sz w:val="18"/>
                  <w:szCs w:val="18"/>
                  <w:u w:val="single" w:color="auto"/>
                  <w:color w:val="0000EE"/>
                </w:rPr>
                <w:t>Unregistered Sales of Equity Securities and Use of Proceeds</w:t>
              </w:r>
              <w:r>
                <w:rPr>
                  <w:rFonts w:ascii="Arial" w:cs="Arial" w:eastAsia="Arial" w:hAnsi="Arial"/>
                  <w:sz w:val="18"/>
                  <w:szCs w:val="18"/>
                  <w:color w:val="0000EE"/>
                </w:rPr>
                <w: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5"/>
        </w:trPr>
        <w:tc>
          <w:tcPr>
            <w:tcW w:w="1000" w:type="dxa"/>
            <w:vAlign w:val="bottom"/>
          </w:tcPr>
          <w:p>
            <w:pPr>
              <w:ind w:left="120"/>
              <w:spacing w:after="0"/>
              <w:rPr>
                <w:sz w:val="20"/>
                <w:szCs w:val="20"/>
                <w:color w:val="auto"/>
              </w:rPr>
            </w:pPr>
            <w:r>
              <w:rPr>
                <w:rFonts w:ascii="Arial" w:cs="Arial" w:eastAsia="Arial" w:hAnsi="Arial"/>
                <w:sz w:val="18"/>
                <w:szCs w:val="18"/>
                <w:color w:val="auto"/>
              </w:rPr>
              <w:t>Item 3.</w:t>
            </w:r>
          </w:p>
        </w:tc>
        <w:tc>
          <w:tcPr>
            <w:tcW w:w="9560" w:type="dxa"/>
            <w:vAlign w:val="bottom"/>
            <w:gridSpan w:val="3"/>
          </w:tcPr>
          <w:p>
            <w:pPr>
              <w:spacing w:after="0"/>
              <w:rPr>
                <w:rFonts w:ascii="Arial" w:cs="Arial" w:eastAsia="Arial" w:hAnsi="Arial"/>
                <w:sz w:val="18"/>
                <w:szCs w:val="18"/>
                <w:color w:val="0000EE"/>
              </w:rPr>
            </w:pPr>
            <w:hyperlink w:anchor="page67">
              <w:r>
                <w:rPr>
                  <w:rFonts w:ascii="Arial" w:cs="Arial" w:eastAsia="Arial" w:hAnsi="Arial"/>
                  <w:sz w:val="18"/>
                  <w:szCs w:val="18"/>
                  <w:u w:val="single" w:color="auto"/>
                  <w:color w:val="0000EE"/>
                </w:rPr>
                <w:t>Defaults Upon Senior Securities</w:t>
              </w:r>
              <w:r>
                <w:rPr>
                  <w:rFonts w:ascii="Arial" w:cs="Arial" w:eastAsia="Arial" w:hAnsi="Arial"/>
                  <w:sz w:val="18"/>
                  <w:szCs w:val="18"/>
                  <w:color w:val="0000EE"/>
                </w:rPr>
                <w: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5"/>
        </w:trPr>
        <w:tc>
          <w:tcPr>
            <w:tcW w:w="1000" w:type="dxa"/>
            <w:vAlign w:val="bottom"/>
          </w:tcPr>
          <w:p>
            <w:pPr>
              <w:ind w:left="120"/>
              <w:spacing w:after="0"/>
              <w:rPr>
                <w:sz w:val="20"/>
                <w:szCs w:val="20"/>
                <w:color w:val="auto"/>
              </w:rPr>
            </w:pPr>
            <w:r>
              <w:rPr>
                <w:rFonts w:ascii="Arial" w:cs="Arial" w:eastAsia="Arial" w:hAnsi="Arial"/>
                <w:sz w:val="18"/>
                <w:szCs w:val="18"/>
                <w:color w:val="auto"/>
              </w:rPr>
              <w:t>Item 4.</w:t>
            </w:r>
          </w:p>
        </w:tc>
        <w:tc>
          <w:tcPr>
            <w:tcW w:w="9560" w:type="dxa"/>
            <w:vAlign w:val="bottom"/>
            <w:gridSpan w:val="3"/>
          </w:tcPr>
          <w:p>
            <w:pPr>
              <w:spacing w:after="0"/>
              <w:rPr>
                <w:rFonts w:ascii="Arial" w:cs="Arial" w:eastAsia="Arial" w:hAnsi="Arial"/>
                <w:sz w:val="18"/>
                <w:szCs w:val="18"/>
                <w:color w:val="0000EE"/>
              </w:rPr>
            </w:pPr>
            <w:hyperlink w:anchor="page67">
              <w:r>
                <w:rPr>
                  <w:rFonts w:ascii="Arial" w:cs="Arial" w:eastAsia="Arial" w:hAnsi="Arial"/>
                  <w:sz w:val="18"/>
                  <w:szCs w:val="18"/>
                  <w:u w:val="single" w:color="auto"/>
                  <w:color w:val="0000EE"/>
                </w:rPr>
                <w:t>Mine Safety Disclosures</w:t>
              </w:r>
              <w:r>
                <w:rPr>
                  <w:rFonts w:ascii="Arial" w:cs="Arial" w:eastAsia="Arial" w:hAnsi="Arial"/>
                  <w:sz w:val="18"/>
                  <w:szCs w:val="18"/>
                  <w:color w:val="0000EE"/>
                </w:rPr>
                <w: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5"/>
        </w:trPr>
        <w:tc>
          <w:tcPr>
            <w:tcW w:w="1000" w:type="dxa"/>
            <w:vAlign w:val="bottom"/>
          </w:tcPr>
          <w:p>
            <w:pPr>
              <w:ind w:left="120"/>
              <w:spacing w:after="0"/>
              <w:rPr>
                <w:sz w:val="20"/>
                <w:szCs w:val="20"/>
                <w:color w:val="auto"/>
              </w:rPr>
            </w:pPr>
            <w:r>
              <w:rPr>
                <w:rFonts w:ascii="Arial" w:cs="Arial" w:eastAsia="Arial" w:hAnsi="Arial"/>
                <w:sz w:val="18"/>
                <w:szCs w:val="18"/>
                <w:color w:val="auto"/>
              </w:rPr>
              <w:t>Item 5.</w:t>
            </w:r>
          </w:p>
        </w:tc>
        <w:tc>
          <w:tcPr>
            <w:tcW w:w="9560" w:type="dxa"/>
            <w:vAlign w:val="bottom"/>
            <w:gridSpan w:val="3"/>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Other Information.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5"/>
        </w:trPr>
        <w:tc>
          <w:tcPr>
            <w:tcW w:w="1000" w:type="dxa"/>
            <w:vAlign w:val="bottom"/>
          </w:tcPr>
          <w:p>
            <w:pPr>
              <w:ind w:left="120"/>
              <w:spacing w:after="0"/>
              <w:rPr>
                <w:sz w:val="20"/>
                <w:szCs w:val="20"/>
                <w:color w:val="auto"/>
              </w:rPr>
            </w:pPr>
            <w:r>
              <w:rPr>
                <w:rFonts w:ascii="Arial" w:cs="Arial" w:eastAsia="Arial" w:hAnsi="Arial"/>
                <w:sz w:val="18"/>
                <w:szCs w:val="18"/>
                <w:color w:val="auto"/>
              </w:rPr>
              <w:t>Item 6.</w:t>
            </w:r>
          </w:p>
        </w:tc>
        <w:tc>
          <w:tcPr>
            <w:tcW w:w="9560" w:type="dxa"/>
            <w:vAlign w:val="bottom"/>
            <w:gridSpan w:val="3"/>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5"/>
        </w:trPr>
        <w:tc>
          <w:tcPr>
            <w:tcW w:w="1000" w:type="dxa"/>
            <w:vAlign w:val="bottom"/>
          </w:tcPr>
          <w:p>
            <w:pPr>
              <w:ind w:left="120"/>
              <w:spacing w:after="0"/>
              <w:rPr>
                <w:rFonts w:ascii="Arial" w:cs="Arial" w:eastAsia="Arial" w:hAnsi="Arial"/>
                <w:sz w:val="18"/>
                <w:szCs w:val="18"/>
                <w:u w:val="single" w:color="auto"/>
                <w:color w:val="0000EE"/>
                <w:w w:val="99"/>
              </w:rPr>
            </w:pPr>
            <w:hyperlink w:anchor="page69">
              <w:r>
                <w:rPr>
                  <w:rFonts w:ascii="Arial" w:cs="Arial" w:eastAsia="Arial" w:hAnsi="Arial"/>
                  <w:sz w:val="18"/>
                  <w:szCs w:val="18"/>
                  <w:u w:val="single" w:color="auto"/>
                  <w:color w:val="0000EE"/>
                  <w:w w:val="99"/>
                </w:rPr>
                <w:t>Signatures</w:t>
              </w:r>
            </w:hyperlink>
          </w:p>
        </w:tc>
        <w:tc>
          <w:tcPr>
            <w:tcW w:w="8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0560" w:type="dxa"/>
            <w:vAlign w:val="bottom"/>
            <w:gridSpan w:val="4"/>
          </w:tcPr>
          <w:p>
            <w:pPr>
              <w:ind w:left="120"/>
              <w:spacing w:after="0"/>
              <w:rPr>
                <w:sz w:val="20"/>
                <w:szCs w:val="20"/>
                <w:color w:val="auto"/>
              </w:rPr>
            </w:pPr>
            <w:r>
              <w:rPr>
                <w:rFonts w:ascii="Arial" w:cs="Arial" w:eastAsia="Arial" w:hAnsi="Arial"/>
                <w:sz w:val="18"/>
                <w:szCs w:val="18"/>
                <w:color w:val="auto"/>
              </w:rPr>
              <w:t>Exhibit Index</w:t>
            </w:r>
          </w:p>
        </w:tc>
        <w:tc>
          <w:tcPr>
            <w:tcW w:w="500" w:type="dxa"/>
            <w:vAlign w:val="bottom"/>
          </w:tcPr>
          <w:p>
            <w:pPr>
              <w:spacing w:after="0"/>
              <w:rPr>
                <w:sz w:val="19"/>
                <w:szCs w:val="19"/>
                <w:color w:val="auto"/>
              </w:rPr>
            </w:pPr>
          </w:p>
        </w:tc>
      </w:tr>
      <w:tr>
        <w:trPr>
          <w:trHeight w:val="364"/>
        </w:trPr>
        <w:tc>
          <w:tcPr>
            <w:tcW w:w="1000" w:type="dxa"/>
            <w:vAlign w:val="bottom"/>
          </w:tcPr>
          <w:p>
            <w:pPr>
              <w:spacing w:after="0"/>
              <w:rPr>
                <w:sz w:val="24"/>
                <w:szCs w:val="24"/>
                <w:color w:val="auto"/>
              </w:rPr>
            </w:pPr>
          </w:p>
        </w:tc>
        <w:tc>
          <w:tcPr>
            <w:tcW w:w="9180" w:type="dxa"/>
            <w:vAlign w:val="bottom"/>
            <w:gridSpan w:val="2"/>
          </w:tcPr>
          <w:p>
            <w:pPr>
              <w:jc w:val="center"/>
              <w:spacing w:after="0"/>
              <w:rPr>
                <w:sz w:val="20"/>
                <w:szCs w:val="20"/>
                <w:color w:val="auto"/>
              </w:rPr>
            </w:pPr>
            <w:r>
              <w:rPr>
                <w:rFonts w:ascii="Arial" w:cs="Arial" w:eastAsia="Arial" w:hAnsi="Arial"/>
                <w:sz w:val="18"/>
                <w:szCs w:val="18"/>
                <w:color w:val="auto"/>
                <w:w w:val="79"/>
              </w:rPr>
              <w:t>2</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58"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 — FINANCIAL INFORMATION</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9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4"/>
          </w:tcPr>
          <w:p>
            <w:pPr>
              <w:spacing w:after="0"/>
              <w:rPr>
                <w:sz w:val="20"/>
                <w:szCs w:val="20"/>
                <w:color w:val="auto"/>
              </w:rPr>
            </w:pPr>
            <w:r>
              <w:rPr>
                <w:rFonts w:ascii="Arial" w:cs="Arial" w:eastAsia="Arial" w:hAnsi="Arial"/>
                <w:sz w:val="13"/>
                <w:szCs w:val="13"/>
                <w:b w:val="1"/>
                <w:bCs w:val="1"/>
                <w:color w:val="auto"/>
                <w:w w:val="89"/>
              </w:rPr>
              <w:t>September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3"/>
        </w:trPr>
        <w:tc>
          <w:tcPr>
            <w:tcW w:w="9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3"/>
                <w:szCs w:val="13"/>
                <w:b w:val="1"/>
                <w:bCs w:val="1"/>
                <w:color w:val="auto"/>
              </w:rPr>
              <w:t>(unaudited)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77"/>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93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ASSETS</w:t>
            </w: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300" w:type="dxa"/>
            <w:vAlign w:val="bottom"/>
          </w:tcPr>
          <w:p>
            <w:pPr>
              <w:spacing w:after="0" w:line="135" w:lineRule="exact"/>
              <w:rPr>
                <w:sz w:val="20"/>
                <w:szCs w:val="20"/>
                <w:color w:val="auto"/>
              </w:rPr>
            </w:pPr>
            <w:r>
              <w:rPr>
                <w:rFonts w:ascii="Arial" w:cs="Arial" w:eastAsia="Arial" w:hAnsi="Arial"/>
                <w:sz w:val="13"/>
                <w:szCs w:val="13"/>
                <w:color w:val="auto"/>
              </w:rPr>
              <w:t>Investments, at fair value: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30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Control investments (cost: $31,044 and $27,718, respectively)</w:t>
            </w:r>
          </w:p>
        </w:tc>
        <w:tc>
          <w:tcPr>
            <w:tcW w:w="6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23,989</w:t>
            </w:r>
          </w:p>
        </w:tc>
        <w:tc>
          <w:tcPr>
            <w:tcW w:w="2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21,820</w:t>
            </w:r>
          </w:p>
        </w:tc>
        <w:tc>
          <w:tcPr>
            <w:tcW w:w="0" w:type="dxa"/>
            <w:vAlign w:val="bottom"/>
          </w:tcPr>
          <w:p>
            <w:pPr>
              <w:spacing w:after="0"/>
              <w:rPr>
                <w:sz w:val="1"/>
                <w:szCs w:val="1"/>
                <w:color w:val="auto"/>
              </w:rPr>
            </w:pPr>
          </w:p>
        </w:tc>
      </w:tr>
      <w:tr>
        <w:trPr>
          <w:trHeight w:val="135"/>
        </w:trPr>
        <w:tc>
          <w:tcPr>
            <w:tcW w:w="9300" w:type="dxa"/>
            <w:vAlign w:val="bottom"/>
          </w:tcPr>
          <w:p>
            <w:pPr>
              <w:ind w:left="260"/>
              <w:spacing w:after="0" w:line="135" w:lineRule="exact"/>
              <w:rPr>
                <w:sz w:val="20"/>
                <w:szCs w:val="20"/>
                <w:color w:val="auto"/>
              </w:rPr>
            </w:pPr>
            <w:r>
              <w:rPr>
                <w:rFonts w:ascii="Arial" w:cs="Arial" w:eastAsia="Arial" w:hAnsi="Arial"/>
                <w:sz w:val="13"/>
                <w:szCs w:val="13"/>
                <w:color w:val="auto"/>
              </w:rPr>
              <w:t>Affiliate investments (cost: $40,920 and $56,328, respectively)</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77,852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121,555</w:t>
            </w:r>
          </w:p>
        </w:tc>
        <w:tc>
          <w:tcPr>
            <w:tcW w:w="0" w:type="dxa"/>
            <w:vAlign w:val="bottom"/>
          </w:tcPr>
          <w:p>
            <w:pPr>
              <w:spacing w:after="0"/>
              <w:rPr>
                <w:sz w:val="1"/>
                <w:szCs w:val="1"/>
                <w:color w:val="auto"/>
              </w:rPr>
            </w:pPr>
          </w:p>
        </w:tc>
      </w:tr>
      <w:tr>
        <w:trPr>
          <w:trHeight w:val="135"/>
        </w:trPr>
        <w:tc>
          <w:tcPr>
            <w:tcW w:w="930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Non-control/non-affiliate investments (cost: $644,455 and $620,453, respectively)</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613,564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623,544</w:t>
            </w:r>
          </w:p>
        </w:tc>
        <w:tc>
          <w:tcPr>
            <w:tcW w:w="0" w:type="dxa"/>
            <w:vAlign w:val="bottom"/>
          </w:tcPr>
          <w:p>
            <w:pPr>
              <w:spacing w:after="0"/>
              <w:rPr>
                <w:sz w:val="1"/>
                <w:szCs w:val="1"/>
                <w:color w:val="auto"/>
              </w:rPr>
            </w:pPr>
          </w:p>
        </w:tc>
      </w:tr>
      <w:tr>
        <w:trPr>
          <w:trHeight w:val="142"/>
        </w:trPr>
        <w:tc>
          <w:tcPr>
            <w:tcW w:w="9300" w:type="dxa"/>
            <w:vAlign w:val="bottom"/>
          </w:tcPr>
          <w:p>
            <w:pPr>
              <w:spacing w:after="0" w:line="142" w:lineRule="exact"/>
              <w:rPr>
                <w:sz w:val="20"/>
                <w:szCs w:val="20"/>
                <w:color w:val="auto"/>
              </w:rPr>
            </w:pPr>
            <w:r>
              <w:rPr>
                <w:rFonts w:ascii="Arial" w:cs="Arial" w:eastAsia="Arial" w:hAnsi="Arial"/>
                <w:sz w:val="13"/>
                <w:szCs w:val="13"/>
                <w:color w:val="auto"/>
              </w:rPr>
              <w:t>Total investments, at fair value (cost: $716,419 and $704,499, respectively)</w:t>
            </w: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715,405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766,919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and cash equivalents</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24,682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15,012</w:t>
            </w:r>
          </w:p>
        </w:tc>
        <w:tc>
          <w:tcPr>
            <w:tcW w:w="0" w:type="dxa"/>
            <w:vAlign w:val="bottom"/>
          </w:tcPr>
          <w:p>
            <w:pPr>
              <w:spacing w:after="0"/>
              <w:rPr>
                <w:sz w:val="1"/>
                <w:szCs w:val="1"/>
                <w:color w:val="auto"/>
              </w:rPr>
            </w:pPr>
          </w:p>
        </w:tc>
      </w:tr>
      <w:tr>
        <w:trPr>
          <w:trHeight w:val="135"/>
        </w:trPr>
        <w:tc>
          <w:tcPr>
            <w:tcW w:w="9300" w:type="dxa"/>
            <w:vAlign w:val="bottom"/>
          </w:tcPr>
          <w:p>
            <w:pPr>
              <w:spacing w:after="0" w:line="135" w:lineRule="exact"/>
              <w:rPr>
                <w:sz w:val="20"/>
                <w:szCs w:val="20"/>
                <w:color w:val="auto"/>
              </w:rPr>
            </w:pPr>
            <w:r>
              <w:rPr>
                <w:rFonts w:ascii="Arial" w:cs="Arial" w:eastAsia="Arial" w:hAnsi="Arial"/>
                <w:sz w:val="13"/>
                <w:szCs w:val="13"/>
                <w:color w:val="auto"/>
              </w:rPr>
              <w:t>Interest receivable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7,071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6,331</w:t>
            </w:r>
          </w:p>
        </w:tc>
        <w:tc>
          <w:tcPr>
            <w:tcW w:w="0" w:type="dxa"/>
            <w:vAlign w:val="bottom"/>
          </w:tcPr>
          <w:p>
            <w:pPr>
              <w:spacing w:after="0"/>
              <w:rPr>
                <w:sz w:val="1"/>
                <w:szCs w:val="1"/>
                <w:color w:val="auto"/>
              </w:rPr>
            </w:pPr>
          </w:p>
        </w:tc>
      </w:tr>
      <w:tr>
        <w:trPr>
          <w:trHeight w:val="135"/>
        </w:trPr>
        <w:tc>
          <w:tcPr>
            <w:tcW w:w="9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expenses and other assets</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1,143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1,177</w:t>
            </w:r>
          </w:p>
        </w:tc>
        <w:tc>
          <w:tcPr>
            <w:tcW w:w="0" w:type="dxa"/>
            <w:vAlign w:val="bottom"/>
          </w:tcPr>
          <w:p>
            <w:pPr>
              <w:spacing w:after="0"/>
              <w:rPr>
                <w:sz w:val="1"/>
                <w:szCs w:val="1"/>
                <w:color w:val="auto"/>
              </w:rPr>
            </w:pPr>
          </w:p>
        </w:tc>
      </w:tr>
      <w:tr>
        <w:trPr>
          <w:trHeight w:val="142"/>
        </w:trPr>
        <w:tc>
          <w:tcPr>
            <w:tcW w:w="9300" w:type="dxa"/>
            <w:vAlign w:val="bottom"/>
          </w:tcPr>
          <w:p>
            <w:pPr>
              <w:spacing w:after="0" w:line="142" w:lineRule="exact"/>
              <w:rPr>
                <w:sz w:val="20"/>
                <w:szCs w:val="20"/>
                <w:color w:val="auto"/>
              </w:rPr>
            </w:pPr>
            <w:r>
              <w:rPr>
                <w:rFonts w:ascii="Arial" w:cs="Arial" w:eastAsia="Arial" w:hAnsi="Arial"/>
                <w:sz w:val="13"/>
                <w:szCs w:val="13"/>
                <w:b w:val="1"/>
                <w:bCs w:val="1"/>
                <w:color w:val="auto"/>
              </w:rPr>
              <w:t>Total assets</w:t>
            </w:r>
          </w:p>
        </w:tc>
        <w:tc>
          <w:tcPr>
            <w:tcW w:w="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748,301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789,439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93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LIABILITIES</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9300" w:type="dxa"/>
            <w:vAlign w:val="bottom"/>
          </w:tcPr>
          <w:p>
            <w:pPr>
              <w:spacing w:after="0"/>
              <w:rPr>
                <w:sz w:val="20"/>
                <w:szCs w:val="20"/>
                <w:color w:val="auto"/>
              </w:rPr>
            </w:pPr>
            <w:r>
              <w:rPr>
                <w:rFonts w:ascii="Arial" w:cs="Arial" w:eastAsia="Arial" w:hAnsi="Arial"/>
                <w:sz w:val="13"/>
                <w:szCs w:val="13"/>
                <w:color w:val="auto"/>
              </w:rPr>
              <w:t>SBA debentures, net of deferred financing costs (Note 6)</w:t>
            </w:r>
          </w:p>
        </w:tc>
        <w:tc>
          <w:tcPr>
            <w:tcW w:w="60" w:type="dxa"/>
            <w:vAlign w:val="bottom"/>
            <w:gridSpan w:val="2"/>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143,871</w:t>
            </w:r>
          </w:p>
        </w:tc>
        <w:tc>
          <w:tcPr>
            <w:tcW w:w="60" w:type="dxa"/>
            <w:vAlign w:val="bottom"/>
          </w:tcPr>
          <w:p>
            <w:pPr>
              <w:spacing w:after="0"/>
              <w:rPr>
                <w:sz w:val="21"/>
                <w:szCs w:val="21"/>
                <w:color w:val="auto"/>
              </w:rPr>
            </w:pPr>
          </w:p>
        </w:tc>
        <w:tc>
          <w:tcPr>
            <w:tcW w:w="2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153,802</w:t>
            </w:r>
          </w:p>
        </w:tc>
        <w:tc>
          <w:tcPr>
            <w:tcW w:w="0" w:type="dxa"/>
            <w:vAlign w:val="bottom"/>
          </w:tcPr>
          <w:p>
            <w:pPr>
              <w:spacing w:after="0"/>
              <w:rPr>
                <w:sz w:val="1"/>
                <w:szCs w:val="1"/>
                <w:color w:val="auto"/>
              </w:rPr>
            </w:pPr>
          </w:p>
        </w:tc>
      </w:tr>
      <w:tr>
        <w:trPr>
          <w:trHeight w:val="135"/>
        </w:trPr>
        <w:tc>
          <w:tcPr>
            <w:tcW w:w="9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Public Notes, net of deferred financing costs (Note 6)</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177,883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176,901</w:t>
            </w:r>
          </w:p>
        </w:tc>
        <w:tc>
          <w:tcPr>
            <w:tcW w:w="0" w:type="dxa"/>
            <w:vAlign w:val="bottom"/>
          </w:tcPr>
          <w:p>
            <w:pPr>
              <w:spacing w:after="0"/>
              <w:rPr>
                <w:sz w:val="1"/>
                <w:szCs w:val="1"/>
                <w:color w:val="auto"/>
              </w:rPr>
            </w:pPr>
          </w:p>
        </w:tc>
      </w:tr>
      <w:tr>
        <w:trPr>
          <w:trHeight w:val="135"/>
        </w:trPr>
        <w:tc>
          <w:tcPr>
            <w:tcW w:w="9300" w:type="dxa"/>
            <w:vAlign w:val="bottom"/>
          </w:tcPr>
          <w:p>
            <w:pPr>
              <w:spacing w:after="0" w:line="135" w:lineRule="exact"/>
              <w:rPr>
                <w:sz w:val="20"/>
                <w:szCs w:val="20"/>
                <w:color w:val="auto"/>
              </w:rPr>
            </w:pPr>
            <w:r>
              <w:rPr>
                <w:rFonts w:ascii="Arial" w:cs="Arial" w:eastAsia="Arial" w:hAnsi="Arial"/>
                <w:sz w:val="13"/>
                <w:szCs w:val="13"/>
                <w:color w:val="auto"/>
              </w:rPr>
              <w:t>Borrowings under Credit Facility, net of deferred financing costs (Note 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21,837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23,899</w:t>
            </w:r>
          </w:p>
        </w:tc>
        <w:tc>
          <w:tcPr>
            <w:tcW w:w="0" w:type="dxa"/>
            <w:vAlign w:val="bottom"/>
          </w:tcPr>
          <w:p>
            <w:pPr>
              <w:spacing w:after="0"/>
              <w:rPr>
                <w:sz w:val="1"/>
                <w:szCs w:val="1"/>
                <w:color w:val="auto"/>
              </w:rPr>
            </w:pPr>
          </w:p>
        </w:tc>
      </w:tr>
      <w:tr>
        <w:trPr>
          <w:trHeight w:val="135"/>
        </w:trPr>
        <w:tc>
          <w:tcPr>
            <w:tcW w:w="9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Accrued interest and fees payable</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2,122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3,505</w:t>
            </w:r>
          </w:p>
        </w:tc>
        <w:tc>
          <w:tcPr>
            <w:tcW w:w="0" w:type="dxa"/>
            <w:vAlign w:val="bottom"/>
          </w:tcPr>
          <w:p>
            <w:pPr>
              <w:spacing w:after="0"/>
              <w:rPr>
                <w:sz w:val="1"/>
                <w:szCs w:val="1"/>
                <w:color w:val="auto"/>
              </w:rPr>
            </w:pPr>
          </w:p>
        </w:tc>
      </w:tr>
      <w:tr>
        <w:trPr>
          <w:trHeight w:val="135"/>
        </w:trPr>
        <w:tc>
          <w:tcPr>
            <w:tcW w:w="9300" w:type="dxa"/>
            <w:vAlign w:val="bottom"/>
          </w:tcPr>
          <w:p>
            <w:pPr>
              <w:spacing w:after="0" w:line="135" w:lineRule="exact"/>
              <w:rPr>
                <w:sz w:val="20"/>
                <w:szCs w:val="20"/>
                <w:color w:val="auto"/>
              </w:rPr>
            </w:pPr>
            <w:r>
              <w:rPr>
                <w:rFonts w:ascii="Arial" w:cs="Arial" w:eastAsia="Arial" w:hAnsi="Arial"/>
                <w:sz w:val="13"/>
                <w:szCs w:val="13"/>
                <w:color w:val="auto"/>
              </w:rPr>
              <w:t>Base management fee payable – due to affiliate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3,224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3,334</w:t>
            </w:r>
          </w:p>
        </w:tc>
        <w:tc>
          <w:tcPr>
            <w:tcW w:w="0" w:type="dxa"/>
            <w:vAlign w:val="bottom"/>
          </w:tcPr>
          <w:p>
            <w:pPr>
              <w:spacing w:after="0"/>
              <w:rPr>
                <w:sz w:val="1"/>
                <w:szCs w:val="1"/>
                <w:color w:val="auto"/>
              </w:rPr>
            </w:pPr>
          </w:p>
        </w:tc>
      </w:tr>
      <w:tr>
        <w:trPr>
          <w:trHeight w:val="135"/>
        </w:trPr>
        <w:tc>
          <w:tcPr>
            <w:tcW w:w="9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Income incentive fee payable – due to affiliate</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2,374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1,497</w:t>
            </w:r>
          </w:p>
        </w:tc>
        <w:tc>
          <w:tcPr>
            <w:tcW w:w="0" w:type="dxa"/>
            <w:vAlign w:val="bottom"/>
          </w:tcPr>
          <w:p>
            <w:pPr>
              <w:spacing w:after="0"/>
              <w:rPr>
                <w:sz w:val="1"/>
                <w:szCs w:val="1"/>
                <w:color w:val="auto"/>
              </w:rPr>
            </w:pPr>
          </w:p>
        </w:tc>
      </w:tr>
      <w:tr>
        <w:trPr>
          <w:trHeight w:val="135"/>
        </w:trPr>
        <w:tc>
          <w:tcPr>
            <w:tcW w:w="9300" w:type="dxa"/>
            <w:vAlign w:val="bottom"/>
          </w:tcPr>
          <w:p>
            <w:pPr>
              <w:spacing w:after="0" w:line="135" w:lineRule="exact"/>
              <w:rPr>
                <w:sz w:val="20"/>
                <w:szCs w:val="20"/>
                <w:color w:val="auto"/>
              </w:rPr>
            </w:pPr>
            <w:r>
              <w:rPr>
                <w:rFonts w:ascii="Arial" w:cs="Arial" w:eastAsia="Arial" w:hAnsi="Arial"/>
                <w:sz w:val="13"/>
                <w:szCs w:val="13"/>
                <w:color w:val="auto"/>
              </w:rPr>
              <w:t>Capital gains incentive fee payable – due to affiliate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6,335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12,715</w:t>
            </w:r>
          </w:p>
        </w:tc>
        <w:tc>
          <w:tcPr>
            <w:tcW w:w="0" w:type="dxa"/>
            <w:vAlign w:val="bottom"/>
          </w:tcPr>
          <w:p>
            <w:pPr>
              <w:spacing w:after="0"/>
              <w:rPr>
                <w:sz w:val="1"/>
                <w:szCs w:val="1"/>
                <w:color w:val="auto"/>
              </w:rPr>
            </w:pPr>
          </w:p>
        </w:tc>
      </w:tr>
      <w:tr>
        <w:trPr>
          <w:trHeight w:val="135"/>
        </w:trPr>
        <w:tc>
          <w:tcPr>
            <w:tcW w:w="9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Administration fee payable and other – due to affiliate</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554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487</w:t>
            </w:r>
          </w:p>
        </w:tc>
        <w:tc>
          <w:tcPr>
            <w:tcW w:w="0" w:type="dxa"/>
            <w:vAlign w:val="bottom"/>
          </w:tcPr>
          <w:p>
            <w:pPr>
              <w:spacing w:after="0"/>
              <w:rPr>
                <w:sz w:val="1"/>
                <w:szCs w:val="1"/>
                <w:color w:val="auto"/>
              </w:rPr>
            </w:pPr>
          </w:p>
        </w:tc>
      </w:tr>
      <w:tr>
        <w:trPr>
          <w:trHeight w:val="135"/>
        </w:trPr>
        <w:tc>
          <w:tcPr>
            <w:tcW w:w="9300" w:type="dxa"/>
            <w:vAlign w:val="bottom"/>
          </w:tcPr>
          <w:p>
            <w:pPr>
              <w:spacing w:after="0" w:line="135" w:lineRule="exact"/>
              <w:rPr>
                <w:sz w:val="20"/>
                <w:szCs w:val="20"/>
                <w:color w:val="auto"/>
              </w:rPr>
            </w:pPr>
            <w:r>
              <w:rPr>
                <w:rFonts w:ascii="Arial" w:cs="Arial" w:eastAsia="Arial" w:hAnsi="Arial"/>
                <w:sz w:val="13"/>
                <w:szCs w:val="13"/>
                <w:color w:val="auto"/>
              </w:rPr>
              <w:t>Taxes payable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123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547</w:t>
            </w:r>
          </w:p>
        </w:tc>
        <w:tc>
          <w:tcPr>
            <w:tcW w:w="0" w:type="dxa"/>
            <w:vAlign w:val="bottom"/>
          </w:tcPr>
          <w:p>
            <w:pPr>
              <w:spacing w:after="0"/>
              <w:rPr>
                <w:sz w:val="1"/>
                <w:szCs w:val="1"/>
                <w:color w:val="auto"/>
              </w:rPr>
            </w:pPr>
          </w:p>
        </w:tc>
      </w:tr>
      <w:tr>
        <w:trPr>
          <w:trHeight w:val="135"/>
        </w:trPr>
        <w:tc>
          <w:tcPr>
            <w:tcW w:w="9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Accounts payable and other liabilities</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426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442</w:t>
            </w:r>
          </w:p>
        </w:tc>
        <w:tc>
          <w:tcPr>
            <w:tcW w:w="0" w:type="dxa"/>
            <w:vAlign w:val="bottom"/>
          </w:tcPr>
          <w:p>
            <w:pPr>
              <w:spacing w:after="0"/>
              <w:rPr>
                <w:sz w:val="1"/>
                <w:szCs w:val="1"/>
                <w:color w:val="auto"/>
              </w:rPr>
            </w:pPr>
          </w:p>
        </w:tc>
      </w:tr>
      <w:tr>
        <w:trPr>
          <w:trHeight w:val="149"/>
        </w:trPr>
        <w:tc>
          <w:tcPr>
            <w:tcW w:w="9300" w:type="dxa"/>
            <w:vAlign w:val="bottom"/>
          </w:tcPr>
          <w:p>
            <w:pPr>
              <w:spacing w:after="0" w:line="142" w:lineRule="exact"/>
              <w:rPr>
                <w:sz w:val="20"/>
                <w:szCs w:val="20"/>
                <w:color w:val="auto"/>
              </w:rPr>
            </w:pPr>
            <w:r>
              <w:rPr>
                <w:rFonts w:ascii="Arial" w:cs="Arial" w:eastAsia="Arial" w:hAnsi="Arial"/>
                <w:sz w:val="13"/>
                <w:szCs w:val="13"/>
                <w:b w:val="1"/>
                <w:bCs w:val="1"/>
                <w:color w:val="auto"/>
              </w:rPr>
              <w:t>Total liabilities</w:t>
            </w:r>
          </w:p>
        </w:tc>
        <w:tc>
          <w:tcPr>
            <w:tcW w:w="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358,749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377,129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Commitments and contingencies (Note 7)</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9300" w:type="dxa"/>
            <w:vAlign w:val="bottom"/>
          </w:tcPr>
          <w:p>
            <w:pPr>
              <w:spacing w:after="0"/>
              <w:rPr>
                <w:sz w:val="20"/>
                <w:szCs w:val="20"/>
                <w:color w:val="auto"/>
              </w:rPr>
            </w:pPr>
            <w:r>
              <w:rPr>
                <w:rFonts w:ascii="Arial" w:cs="Arial" w:eastAsia="Arial" w:hAnsi="Arial"/>
                <w:sz w:val="13"/>
                <w:szCs w:val="13"/>
                <w:b w:val="1"/>
                <w:bCs w:val="1"/>
                <w:color w:val="auto"/>
              </w:rPr>
              <w:t>NET ASSETS</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9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Common stock, $0.001 par value (100,000,000 shares authorized, 24,437,400 and 24,463,119 shares issued and</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outstanding at September 30, 2020 and December 31, 2019, respectively)</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300" w:type="dxa"/>
            <w:vAlign w:val="bottom"/>
          </w:tcPr>
          <w:p>
            <w:pPr>
              <w:spacing w:after="0" w:line="135" w:lineRule="exact"/>
              <w:rPr>
                <w:sz w:val="20"/>
                <w:szCs w:val="20"/>
                <w:color w:val="auto"/>
              </w:rPr>
            </w:pPr>
            <w:r>
              <w:rPr>
                <w:rFonts w:ascii="Arial" w:cs="Arial" w:eastAsia="Arial" w:hAnsi="Arial"/>
                <w:sz w:val="13"/>
                <w:szCs w:val="13"/>
                <w:color w:val="auto"/>
              </w:rPr>
              <w:t>Additional paid-in capital</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365,793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366,061</w:t>
            </w:r>
          </w:p>
        </w:tc>
        <w:tc>
          <w:tcPr>
            <w:tcW w:w="0" w:type="dxa"/>
            <w:vAlign w:val="bottom"/>
          </w:tcPr>
          <w:p>
            <w:pPr>
              <w:spacing w:after="0"/>
              <w:rPr>
                <w:sz w:val="1"/>
                <w:szCs w:val="1"/>
                <w:color w:val="auto"/>
              </w:rPr>
            </w:pPr>
          </w:p>
        </w:tc>
      </w:tr>
      <w:tr>
        <w:trPr>
          <w:trHeight w:val="135"/>
        </w:trPr>
        <w:tc>
          <w:tcPr>
            <w:tcW w:w="9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distributable earnings</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23,735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46,225</w:t>
            </w:r>
          </w:p>
        </w:tc>
        <w:tc>
          <w:tcPr>
            <w:tcW w:w="0" w:type="dxa"/>
            <w:vAlign w:val="bottom"/>
          </w:tcPr>
          <w:p>
            <w:pPr>
              <w:spacing w:after="0"/>
              <w:rPr>
                <w:sz w:val="1"/>
                <w:szCs w:val="1"/>
                <w:color w:val="auto"/>
              </w:rPr>
            </w:pPr>
          </w:p>
        </w:tc>
      </w:tr>
      <w:tr>
        <w:trPr>
          <w:trHeight w:val="149"/>
        </w:trPr>
        <w:tc>
          <w:tcPr>
            <w:tcW w:w="9300" w:type="dxa"/>
            <w:vAlign w:val="bottom"/>
          </w:tcPr>
          <w:p>
            <w:pPr>
              <w:spacing w:after="0" w:line="142" w:lineRule="exact"/>
              <w:rPr>
                <w:sz w:val="20"/>
                <w:szCs w:val="20"/>
                <w:color w:val="auto"/>
              </w:rPr>
            </w:pPr>
            <w:r>
              <w:rPr>
                <w:rFonts w:ascii="Arial" w:cs="Arial" w:eastAsia="Arial" w:hAnsi="Arial"/>
                <w:sz w:val="13"/>
                <w:szCs w:val="13"/>
                <w:b w:val="1"/>
                <w:bCs w:val="1"/>
                <w:color w:val="auto"/>
              </w:rPr>
              <w:t>Total net assets</w:t>
            </w:r>
          </w:p>
        </w:tc>
        <w:tc>
          <w:tcPr>
            <w:tcW w:w="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389,552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412,310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3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liabilities and net assets</w:t>
            </w:r>
          </w:p>
        </w:tc>
        <w:tc>
          <w:tcPr>
            <w:tcW w:w="6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748,301</w:t>
            </w:r>
          </w:p>
        </w:tc>
        <w:tc>
          <w:tcPr>
            <w:tcW w:w="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789,439</w:t>
            </w:r>
          </w:p>
        </w:tc>
        <w:tc>
          <w:tcPr>
            <w:tcW w:w="0" w:type="dxa"/>
            <w:vAlign w:val="bottom"/>
          </w:tcPr>
          <w:p>
            <w:pPr>
              <w:spacing w:after="0"/>
              <w:rPr>
                <w:sz w:val="1"/>
                <w:szCs w:val="1"/>
                <w:color w:val="auto"/>
              </w:rPr>
            </w:pPr>
          </w:p>
        </w:tc>
      </w:tr>
      <w:tr>
        <w:trPr>
          <w:trHeight w:val="20"/>
        </w:trPr>
        <w:tc>
          <w:tcPr>
            <w:tcW w:w="9300" w:type="dxa"/>
            <w:vAlign w:val="bottom"/>
            <w:vMerge w:val="restart"/>
          </w:tcPr>
          <w:p>
            <w:pPr>
              <w:spacing w:after="0"/>
              <w:rPr>
                <w:sz w:val="20"/>
                <w:szCs w:val="20"/>
                <w:color w:val="auto"/>
              </w:rPr>
            </w:pPr>
            <w:r>
              <w:rPr>
                <w:rFonts w:ascii="Arial" w:cs="Arial" w:eastAsia="Arial" w:hAnsi="Arial"/>
                <w:sz w:val="13"/>
                <w:szCs w:val="13"/>
                <w:b w:val="1"/>
                <w:bCs w:val="1"/>
                <w:color w:val="auto"/>
              </w:rPr>
              <w:t>Net asset value per common share</w:t>
            </w: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300" w:type="dxa"/>
            <w:vAlign w:val="bottom"/>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15.94</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8"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0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6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Investment Income: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6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Control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5"/>
        </w:trPr>
        <w:tc>
          <w:tcPr>
            <w:tcW w:w="6680" w:type="dxa"/>
            <w:vAlign w:val="bottom"/>
          </w:tcPr>
          <w:p>
            <w:pPr>
              <w:ind w:left="720"/>
              <w:spacing w:after="0"/>
              <w:rPr>
                <w:sz w:val="20"/>
                <w:szCs w:val="20"/>
                <w:color w:val="auto"/>
              </w:rPr>
            </w:pPr>
            <w:r>
              <w:rPr>
                <w:rFonts w:ascii="Arial" w:cs="Arial" w:eastAsia="Arial" w:hAnsi="Arial"/>
                <w:sz w:val="18"/>
                <w:szCs w:val="18"/>
                <w:color w:val="auto"/>
              </w:rPr>
              <w:t>Affiliate investments</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Non-control/non-affiliate investments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17,449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14,871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51,060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40,686</w:t>
            </w:r>
          </w:p>
        </w:tc>
        <w:tc>
          <w:tcPr>
            <w:tcW w:w="0" w:type="dxa"/>
            <w:vAlign w:val="bottom"/>
          </w:tcPr>
          <w:p>
            <w:pPr>
              <w:spacing w:after="0"/>
              <w:rPr>
                <w:sz w:val="1"/>
                <w:szCs w:val="1"/>
                <w:color w:val="auto"/>
              </w:rPr>
            </w:pPr>
          </w:p>
        </w:tc>
      </w:tr>
      <w:tr>
        <w:trPr>
          <w:trHeight w:val="222"/>
        </w:trPr>
        <w:tc>
          <w:tcPr>
            <w:tcW w:w="6680" w:type="dxa"/>
            <w:vAlign w:val="bottom"/>
          </w:tcPr>
          <w:p>
            <w:pPr>
              <w:ind w:left="1080"/>
              <w:spacing w:after="0"/>
              <w:rPr>
                <w:sz w:val="20"/>
                <w:szCs w:val="20"/>
                <w:color w:val="auto"/>
              </w:rPr>
            </w:pPr>
            <w:r>
              <w:rPr>
                <w:rFonts w:ascii="Arial" w:cs="Arial" w:eastAsia="Arial" w:hAnsi="Arial"/>
                <w:sz w:val="18"/>
                <w:szCs w:val="18"/>
                <w:color w:val="auto"/>
              </w:rPr>
              <w:t>Total interest income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18,765</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16,133</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55,071</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Payment-in-kind interest income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tcPr>
          <w:p>
            <w:pPr>
              <w:ind w:left="720"/>
              <w:spacing w:after="0"/>
              <w:rPr>
                <w:sz w:val="20"/>
                <w:szCs w:val="20"/>
                <w:color w:val="auto"/>
              </w:rPr>
            </w:pPr>
            <w:r>
              <w:rPr>
                <w:rFonts w:ascii="Arial" w:cs="Arial" w:eastAsia="Arial" w:hAnsi="Arial"/>
                <w:sz w:val="18"/>
                <w:szCs w:val="18"/>
                <w:color w:val="auto"/>
              </w:rPr>
              <w:t>Control investments</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Affiliate investments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5"/>
        </w:trPr>
        <w:tc>
          <w:tcPr>
            <w:tcW w:w="6680" w:type="dxa"/>
            <w:vAlign w:val="bottom"/>
          </w:tcPr>
          <w:p>
            <w:pPr>
              <w:ind w:left="720"/>
              <w:spacing w:after="0"/>
              <w:rPr>
                <w:sz w:val="20"/>
                <w:szCs w:val="20"/>
                <w:color w:val="auto"/>
              </w:rPr>
            </w:pPr>
            <w:r>
              <w:rPr>
                <w:rFonts w:ascii="Arial" w:cs="Arial" w:eastAsia="Arial" w:hAnsi="Arial"/>
                <w:sz w:val="18"/>
                <w:szCs w:val="18"/>
                <w:color w:val="auto"/>
              </w:rPr>
              <w:t>Non-control/non-affiliate investments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6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payment-in-kind interest income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7,838</w:t>
            </w:r>
          </w:p>
        </w:tc>
        <w:tc>
          <w:tcPr>
            <w:tcW w:w="0" w:type="dxa"/>
            <w:vAlign w:val="bottom"/>
          </w:tcPr>
          <w:p>
            <w:pPr>
              <w:spacing w:after="0"/>
              <w:rPr>
                <w:sz w:val="1"/>
                <w:szCs w:val="1"/>
                <w:color w:val="auto"/>
              </w:rPr>
            </w:pPr>
          </w:p>
        </w:tc>
      </w:tr>
      <w:tr>
        <w:trPr>
          <w:trHeight w:val="215"/>
        </w:trPr>
        <w:tc>
          <w:tcPr>
            <w:tcW w:w="6680" w:type="dxa"/>
            <w:vAlign w:val="bottom"/>
          </w:tcPr>
          <w:p>
            <w:pPr>
              <w:ind w:left="360"/>
              <w:spacing w:after="0"/>
              <w:rPr>
                <w:sz w:val="20"/>
                <w:szCs w:val="20"/>
                <w:color w:val="auto"/>
              </w:rPr>
            </w:pPr>
            <w:r>
              <w:rPr>
                <w:rFonts w:ascii="Arial" w:cs="Arial" w:eastAsia="Arial" w:hAnsi="Arial"/>
                <w:sz w:val="18"/>
                <w:szCs w:val="18"/>
                <w:color w:val="auto"/>
              </w:rPr>
              <w:t>Dividend income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Control investments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680" w:type="dxa"/>
            <w:vAlign w:val="bottom"/>
          </w:tcPr>
          <w:p>
            <w:pPr>
              <w:ind w:left="720"/>
              <w:spacing w:after="0"/>
              <w:rPr>
                <w:sz w:val="20"/>
                <w:szCs w:val="20"/>
                <w:color w:val="auto"/>
              </w:rPr>
            </w:pPr>
            <w:r>
              <w:rPr>
                <w:rFonts w:ascii="Arial" w:cs="Arial" w:eastAsia="Arial" w:hAnsi="Arial"/>
                <w:sz w:val="18"/>
                <w:szCs w:val="18"/>
                <w:color w:val="auto"/>
              </w:rPr>
              <w:t>Affiliate investments</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Non-control/non-affiliate investments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2"/>
        </w:trPr>
        <w:tc>
          <w:tcPr>
            <w:tcW w:w="6680" w:type="dxa"/>
            <w:vAlign w:val="bottom"/>
          </w:tcPr>
          <w:p>
            <w:pPr>
              <w:ind w:left="1080"/>
              <w:spacing w:after="0"/>
              <w:rPr>
                <w:sz w:val="20"/>
                <w:szCs w:val="20"/>
                <w:color w:val="auto"/>
              </w:rPr>
            </w:pPr>
            <w:r>
              <w:rPr>
                <w:rFonts w:ascii="Arial" w:cs="Arial" w:eastAsia="Arial" w:hAnsi="Arial"/>
                <w:sz w:val="18"/>
                <w:szCs w:val="18"/>
                <w:color w:val="auto"/>
              </w:rPr>
              <w:t>Total dividend income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Fee income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tcPr>
          <w:p>
            <w:pPr>
              <w:ind w:left="720"/>
              <w:spacing w:after="0"/>
              <w:rPr>
                <w:sz w:val="20"/>
                <w:szCs w:val="20"/>
                <w:color w:val="auto"/>
              </w:rPr>
            </w:pPr>
            <w:r>
              <w:rPr>
                <w:rFonts w:ascii="Arial" w:cs="Arial" w:eastAsia="Arial" w:hAnsi="Arial"/>
                <w:sz w:val="18"/>
                <w:szCs w:val="18"/>
                <w:color w:val="auto"/>
              </w:rPr>
              <w:t>Control investments</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Affiliate investments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5"/>
        </w:trPr>
        <w:tc>
          <w:tcPr>
            <w:tcW w:w="6680" w:type="dxa"/>
            <w:vAlign w:val="bottom"/>
          </w:tcPr>
          <w:p>
            <w:pPr>
              <w:ind w:left="720"/>
              <w:spacing w:after="0"/>
              <w:rPr>
                <w:sz w:val="20"/>
                <w:szCs w:val="20"/>
                <w:color w:val="auto"/>
              </w:rPr>
            </w:pPr>
            <w:r>
              <w:rPr>
                <w:rFonts w:ascii="Arial" w:cs="Arial" w:eastAsia="Arial" w:hAnsi="Arial"/>
                <w:sz w:val="18"/>
                <w:szCs w:val="18"/>
                <w:color w:val="auto"/>
              </w:rPr>
              <w:t>Non-control/non-affiliate investments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6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fee income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5"/>
        </w:trPr>
        <w:tc>
          <w:tcPr>
            <w:tcW w:w="6680" w:type="dxa"/>
            <w:vAlign w:val="bottom"/>
          </w:tcPr>
          <w:p>
            <w:pPr>
              <w:ind w:left="360"/>
              <w:spacing w:after="0"/>
              <w:rPr>
                <w:sz w:val="20"/>
                <w:szCs w:val="20"/>
                <w:color w:val="auto"/>
              </w:rPr>
            </w:pPr>
            <w:r>
              <w:rPr>
                <w:rFonts w:ascii="Arial" w:cs="Arial" w:eastAsia="Arial" w:hAnsi="Arial"/>
                <w:sz w:val="18"/>
                <w:szCs w:val="18"/>
                <w:color w:val="auto"/>
              </w:rPr>
              <w:t>Interest on idle funds and other income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19,201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61,493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57,599</w:t>
            </w:r>
          </w:p>
        </w:tc>
        <w:tc>
          <w:tcPr>
            <w:tcW w:w="0" w:type="dxa"/>
            <w:vAlign w:val="bottom"/>
          </w:tcPr>
          <w:p>
            <w:pPr>
              <w:spacing w:after="0"/>
              <w:rPr>
                <w:sz w:val="1"/>
                <w:szCs w:val="1"/>
                <w:color w:val="auto"/>
              </w:rPr>
            </w:pPr>
          </w:p>
        </w:tc>
      </w:tr>
      <w:tr>
        <w:trPr>
          <w:trHeight w:val="222"/>
        </w:trPr>
        <w:tc>
          <w:tcPr>
            <w:tcW w:w="66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financing expenses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12,197</w:t>
            </w:r>
          </w:p>
        </w:tc>
        <w:tc>
          <w:tcPr>
            <w:tcW w:w="0" w:type="dxa"/>
            <w:vAlign w:val="bottom"/>
          </w:tcPr>
          <w:p>
            <w:pPr>
              <w:spacing w:after="0"/>
              <w:rPr>
                <w:sz w:val="1"/>
                <w:szCs w:val="1"/>
                <w:color w:val="auto"/>
              </w:rPr>
            </w:pPr>
          </w:p>
        </w:tc>
      </w:tr>
      <w:tr>
        <w:trPr>
          <w:trHeight w:val="215"/>
        </w:trPr>
        <w:tc>
          <w:tcPr>
            <w:tcW w:w="6680" w:type="dxa"/>
            <w:vAlign w:val="bottom"/>
          </w:tcPr>
          <w:p>
            <w:pPr>
              <w:ind w:left="360"/>
              <w:spacing w:after="0"/>
              <w:rPr>
                <w:sz w:val="20"/>
                <w:szCs w:val="20"/>
                <w:color w:val="auto"/>
              </w:rPr>
            </w:pPr>
            <w:r>
              <w:rPr>
                <w:rFonts w:ascii="Arial" w:cs="Arial" w:eastAsia="Arial" w:hAnsi="Arial"/>
                <w:sz w:val="18"/>
                <w:szCs w:val="18"/>
                <w:color w:val="auto"/>
              </w:rPr>
              <w:t>Base management fee</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3,223</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9,688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9,066</w:t>
            </w: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Incentive fee - income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15"/>
        </w:trPr>
        <w:tc>
          <w:tcPr>
            <w:tcW w:w="6680" w:type="dxa"/>
            <w:vAlign w:val="bottom"/>
          </w:tcPr>
          <w:p>
            <w:pPr>
              <w:ind w:left="360"/>
              <w:spacing w:after="0"/>
              <w:rPr>
                <w:sz w:val="20"/>
                <w:szCs w:val="20"/>
                <w:color w:val="auto"/>
              </w:rPr>
            </w:pPr>
            <w:r>
              <w:rPr>
                <w:rFonts w:ascii="Arial" w:cs="Arial" w:eastAsia="Arial" w:hAnsi="Arial"/>
                <w:sz w:val="18"/>
                <w:szCs w:val="18"/>
                <w:color w:val="auto"/>
              </w:rPr>
              <w:t>Incentive fee - capital gains</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(6,380)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service expenses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5"/>
        </w:trPr>
        <w:tc>
          <w:tcPr>
            <w:tcW w:w="6680" w:type="dxa"/>
            <w:vAlign w:val="bottom"/>
          </w:tcPr>
          <w:p>
            <w:pPr>
              <w:ind w:left="360"/>
              <w:spacing w:after="0"/>
              <w:rPr>
                <w:sz w:val="20"/>
                <w:szCs w:val="20"/>
                <w:color w:val="auto"/>
              </w:rPr>
            </w:pPr>
            <w:r>
              <w:rPr>
                <w:rFonts w:ascii="Arial" w:cs="Arial" w:eastAsia="Arial" w:hAnsi="Arial"/>
                <w:sz w:val="18"/>
                <w:szCs w:val="18"/>
                <w:color w:val="auto"/>
              </w:rPr>
              <w:t>Professional fees</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Total expenses before income incentive fee waiver</w:t>
            </w: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14,173</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11,919</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Incentive fee waiver - income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Total expenses, net of income incentive fee waiver</w:t>
            </w: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14,173</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11,919</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before income taxes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33,756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26,579</w:t>
            </w:r>
          </w:p>
        </w:tc>
        <w:tc>
          <w:tcPr>
            <w:tcW w:w="0" w:type="dxa"/>
            <w:vAlign w:val="bottom"/>
          </w:tcPr>
          <w:p>
            <w:pPr>
              <w:spacing w:after="0"/>
              <w:rPr>
                <w:sz w:val="1"/>
                <w:szCs w:val="1"/>
                <w:color w:val="auto"/>
              </w:rPr>
            </w:pPr>
          </w:p>
        </w:tc>
      </w:tr>
      <w:tr>
        <w:trPr>
          <w:trHeight w:val="215"/>
        </w:trPr>
        <w:tc>
          <w:tcPr>
            <w:tcW w:w="6680" w:type="dxa"/>
            <w:vAlign w:val="bottom"/>
          </w:tcPr>
          <w:p>
            <w:pPr>
              <w:ind w:left="360"/>
              <w:spacing w:after="0"/>
              <w:rPr>
                <w:sz w:val="20"/>
                <w:szCs w:val="20"/>
                <w:color w:val="auto"/>
              </w:rPr>
            </w:pPr>
            <w:r>
              <w:rPr>
                <w:rFonts w:ascii="Arial" w:cs="Arial" w:eastAsia="Arial" w:hAnsi="Arial"/>
                <w:sz w:val="18"/>
                <w:szCs w:val="18"/>
                <w:color w:val="auto"/>
              </w:rPr>
              <w:t>Income tax provision (benefit)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7,362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26,604</w:t>
            </w:r>
          </w:p>
        </w:tc>
        <w:tc>
          <w:tcPr>
            <w:tcW w:w="0" w:type="dxa"/>
            <w:vAlign w:val="bottom"/>
          </w:tcPr>
          <w:p>
            <w:pPr>
              <w:spacing w:after="0"/>
              <w:rPr>
                <w:sz w:val="1"/>
                <w:szCs w:val="1"/>
                <w:color w:val="auto"/>
              </w:rPr>
            </w:pPr>
          </w:p>
        </w:tc>
      </w:tr>
      <w:tr>
        <w:trPr>
          <w:trHeight w:val="222"/>
        </w:trPr>
        <w:tc>
          <w:tcPr>
            <w:tcW w:w="6680" w:type="dxa"/>
            <w:vAlign w:val="bottom"/>
          </w:tcPr>
          <w:p>
            <w:pPr>
              <w:spacing w:after="0"/>
              <w:rPr>
                <w:sz w:val="20"/>
                <w:szCs w:val="20"/>
                <w:color w:val="auto"/>
              </w:rPr>
            </w:pPr>
            <w:r>
              <w:rPr>
                <w:rFonts w:ascii="Arial" w:cs="Arial" w:eastAsia="Arial" w:hAnsi="Arial"/>
                <w:sz w:val="18"/>
                <w:szCs w:val="18"/>
                <w:b w:val="1"/>
                <w:bCs w:val="1"/>
                <w:color w:val="auto"/>
              </w:rPr>
              <w:t>Net realized and unrealized gains (losses) on investments: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gains (losses):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tcPr>
          <w:p>
            <w:pPr>
              <w:ind w:left="720"/>
              <w:spacing w:after="0"/>
              <w:rPr>
                <w:sz w:val="20"/>
                <w:szCs w:val="20"/>
                <w:color w:val="auto"/>
              </w:rPr>
            </w:pPr>
            <w:r>
              <w:rPr>
                <w:rFonts w:ascii="Arial" w:cs="Arial" w:eastAsia="Arial" w:hAnsi="Arial"/>
                <w:sz w:val="18"/>
                <w:szCs w:val="18"/>
                <w:color w:val="auto"/>
              </w:rPr>
              <w:t>Control investments</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Affiliate investments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24,354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5"/>
        </w:trPr>
        <w:tc>
          <w:tcPr>
            <w:tcW w:w="6680" w:type="dxa"/>
            <w:vAlign w:val="bottom"/>
          </w:tcPr>
          <w:p>
            <w:pPr>
              <w:ind w:left="720"/>
              <w:spacing w:after="0"/>
              <w:rPr>
                <w:sz w:val="20"/>
                <w:szCs w:val="20"/>
                <w:color w:val="auto"/>
              </w:rPr>
            </w:pPr>
            <w:r>
              <w:rPr>
                <w:rFonts w:ascii="Arial" w:cs="Arial" w:eastAsia="Arial" w:hAnsi="Arial"/>
                <w:sz w:val="18"/>
                <w:szCs w:val="18"/>
                <w:color w:val="auto"/>
              </w:rPr>
              <w:t>Non-control/non-affiliate investments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10,507</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8,543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10,172</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realized gain (loss) on investments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10,533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32,897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8,831</w:t>
            </w:r>
          </w:p>
        </w:tc>
        <w:tc>
          <w:tcPr>
            <w:tcW w:w="0" w:type="dxa"/>
            <w:vAlign w:val="bottom"/>
          </w:tcPr>
          <w:p>
            <w:pPr>
              <w:spacing w:after="0"/>
              <w:rPr>
                <w:sz w:val="1"/>
                <w:szCs w:val="1"/>
                <w:color w:val="auto"/>
              </w:rPr>
            </w:pPr>
          </w:p>
        </w:tc>
      </w:tr>
      <w:tr>
        <w:trPr>
          <w:trHeight w:val="222"/>
        </w:trPr>
        <w:tc>
          <w:tcPr>
            <w:tcW w:w="6680" w:type="dxa"/>
            <w:vAlign w:val="bottom"/>
          </w:tcPr>
          <w:p>
            <w:pPr>
              <w:ind w:left="360"/>
              <w:spacing w:after="0"/>
              <w:rPr>
                <w:sz w:val="20"/>
                <w:szCs w:val="20"/>
                <w:color w:val="auto"/>
              </w:rPr>
            </w:pPr>
            <w:r>
              <w:rPr>
                <w:rFonts w:ascii="Arial" w:cs="Arial" w:eastAsia="Arial" w:hAnsi="Arial"/>
                <w:sz w:val="18"/>
                <w:szCs w:val="18"/>
                <w:color w:val="auto"/>
              </w:rPr>
              <w:t>Income tax (provision) benefit from realized gains on investments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unrealized appreciation (depreciation):</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tcPr>
          <w:p>
            <w:pPr>
              <w:ind w:left="720"/>
              <w:spacing w:after="0"/>
              <w:rPr>
                <w:sz w:val="20"/>
                <w:szCs w:val="20"/>
                <w:color w:val="auto"/>
              </w:rPr>
            </w:pPr>
            <w:r>
              <w:rPr>
                <w:rFonts w:ascii="Arial" w:cs="Arial" w:eastAsia="Arial" w:hAnsi="Arial"/>
                <w:sz w:val="18"/>
                <w:szCs w:val="18"/>
                <w:color w:val="auto"/>
              </w:rPr>
              <w:t>Control investments</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(9,843)</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(8,270)</w:t>
            </w: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Affiliate investments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7,158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(28,295)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15"/>
        </w:trPr>
        <w:tc>
          <w:tcPr>
            <w:tcW w:w="6680" w:type="dxa"/>
            <w:vAlign w:val="bottom"/>
          </w:tcPr>
          <w:p>
            <w:pPr>
              <w:ind w:left="720"/>
              <w:spacing w:after="0"/>
              <w:rPr>
                <w:sz w:val="20"/>
                <w:szCs w:val="20"/>
                <w:color w:val="auto"/>
              </w:rPr>
            </w:pPr>
            <w:r>
              <w:rPr>
                <w:rFonts w:ascii="Arial" w:cs="Arial" w:eastAsia="Arial" w:hAnsi="Arial"/>
                <w:sz w:val="18"/>
                <w:szCs w:val="18"/>
                <w:color w:val="auto"/>
              </w:rPr>
              <w:t>Non-control/non-affiliate investments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7,722</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(33,982)</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change in unrealized appreciation (depreciation) on investments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(63,434)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22"/>
        </w:trPr>
        <w:tc>
          <w:tcPr>
            <w:tcW w:w="6680" w:type="dxa"/>
            <w:vAlign w:val="bottom"/>
          </w:tcPr>
          <w:p>
            <w:pPr>
              <w:spacing w:after="0"/>
              <w:rPr>
                <w:sz w:val="20"/>
                <w:szCs w:val="20"/>
                <w:color w:val="auto"/>
              </w:rPr>
            </w:pPr>
            <w:r>
              <w:rPr>
                <w:rFonts w:ascii="Arial" w:cs="Arial" w:eastAsia="Arial" w:hAnsi="Arial"/>
                <w:sz w:val="18"/>
                <w:szCs w:val="18"/>
                <w:b w:val="1"/>
                <w:bCs w:val="1"/>
                <w:color w:val="auto"/>
              </w:rPr>
              <w:t>Net gain (loss) on investments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13,979</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6,743</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(31,602)</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losses on extinguishment of debt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2"/>
        </w:trPr>
        <w:tc>
          <w:tcPr>
            <w:tcW w:w="6680" w:type="dxa"/>
            <w:vAlign w:val="bottom"/>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20,707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13,895</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common share data:</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tcPr>
          <w:p>
            <w:pPr>
              <w:spacing w:after="0"/>
              <w:rPr>
                <w:sz w:val="20"/>
                <w:szCs w:val="20"/>
                <w:color w:val="auto"/>
              </w:rPr>
            </w:pPr>
            <w:r>
              <w:rPr>
                <w:rFonts w:ascii="Arial" w:cs="Arial" w:eastAsia="Arial" w:hAnsi="Arial"/>
                <w:sz w:val="18"/>
                <w:szCs w:val="18"/>
                <w:color w:val="auto"/>
              </w:rPr>
              <w:t>Net investment income per share-basic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share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Dividends declared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24,437,400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24,463,119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24,444,120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24,463,119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ectPr>
          <w:pgSz w:w="11900" w:h="16838" w:orient="portrait"/>
          <w:cols w:equalWidth="0" w:num="1">
            <w:col w:w="11120"/>
          </w:cols>
          <w:pgMar w:left="320" w:top="458" w:right="459" w:bottom="214" w:gutter="0" w:footer="0" w:header="0"/>
        </w:sectPr>
      </w:pP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20"/>
          </w:cols>
          <w:pgMar w:left="320" w:top="458" w:right="459" w:bottom="214"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Changes in Net Assets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7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Common Stock</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Number of</w:t>
            </w:r>
          </w:p>
        </w:tc>
        <w:tc>
          <w:tcPr>
            <w:tcW w:w="3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Par</w:t>
            </w:r>
          </w:p>
        </w:tc>
        <w:tc>
          <w:tcPr>
            <w:tcW w:w="320" w:type="dxa"/>
            <w:vAlign w:val="bottom"/>
          </w:tcPr>
          <w:p>
            <w:pPr>
              <w:spacing w:after="0"/>
              <w:rPr>
                <w:sz w:val="10"/>
                <w:szCs w:val="10"/>
                <w:color w:val="auto"/>
              </w:rPr>
            </w:pPr>
          </w:p>
        </w:tc>
        <w:tc>
          <w:tcPr>
            <w:tcW w:w="8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0"/>
                <w:szCs w:val="10"/>
                <w:color w:val="auto"/>
              </w:rPr>
            </w:pP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distributable</w:t>
            </w:r>
          </w:p>
        </w:tc>
        <w:tc>
          <w:tcPr>
            <w:tcW w:w="80" w:type="dxa"/>
            <w:vAlign w:val="bottom"/>
          </w:tcPr>
          <w:p>
            <w:pPr>
              <w:spacing w:after="0"/>
              <w:rPr>
                <w:sz w:val="10"/>
                <w:szCs w:val="10"/>
                <w:color w:val="auto"/>
              </w:rPr>
            </w:pPr>
          </w:p>
        </w:tc>
        <w:tc>
          <w:tcPr>
            <w:tcW w:w="80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Total net</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value</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earnings</w:t>
            </w: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9"/>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24,463,119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$366,278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$402,985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9,599</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9,599</w:t>
            </w:r>
          </w:p>
        </w:tc>
        <w:tc>
          <w:tcPr>
            <w:tcW w:w="0" w:type="dxa"/>
            <w:vAlign w:val="bottom"/>
          </w:tcPr>
          <w:p>
            <w:pPr>
              <w:spacing w:after="0"/>
              <w:rPr>
                <w:sz w:val="1"/>
                <w:szCs w:val="1"/>
                <w:color w:val="auto"/>
              </w:rPr>
            </w:pPr>
          </w:p>
        </w:tc>
      </w:tr>
      <w:tr>
        <w:trPr>
          <w:trHeight w:val="215"/>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(1,583)</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3,545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15"/>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rPr>
              <w:t>Dividends declared</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(9,541)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2019</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24,463,119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366,278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38,514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404,816</w:t>
            </w:r>
          </w:p>
        </w:tc>
        <w:tc>
          <w:tcPr>
            <w:tcW w:w="0" w:type="dxa"/>
            <w:vAlign w:val="bottom"/>
          </w:tcPr>
          <w:p>
            <w:pPr>
              <w:spacing w:after="0"/>
              <w:rPr>
                <w:sz w:val="1"/>
                <w:szCs w:val="1"/>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Net investment income</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(6,029)</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(6,029)</w:t>
            </w:r>
          </w:p>
        </w:tc>
        <w:tc>
          <w:tcPr>
            <w:tcW w:w="0" w:type="dxa"/>
            <w:vAlign w:val="bottom"/>
          </w:tcPr>
          <w:p>
            <w:pPr>
              <w:spacing w:after="0"/>
              <w:rPr>
                <w:sz w:val="1"/>
                <w:szCs w:val="1"/>
                <w:color w:val="auto"/>
              </w:rPr>
            </w:pPr>
          </w:p>
        </w:tc>
      </w:tr>
      <w:tr>
        <w:trPr>
          <w:trHeight w:val="215"/>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rPr>
              <w:t>Dividends declared</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(9,540)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(9,540)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June 30, 2019</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24,463,119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366,278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32,176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398,478</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Net investment income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4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10,565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10,565</w:t>
            </w: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(3,822)</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15"/>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rPr>
              <w:t>Dividends declared</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(9,541)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2019</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24,463,119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366,278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36,530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402,832</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Balances at December 31, 2019</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40" w:type="dxa"/>
            <w:vAlign w:val="bottom"/>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24,463,119</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366,061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412,310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 under Stock Repurchase Program (Note 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(25,719)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17,417</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17,417</w:t>
            </w:r>
          </w:p>
        </w:tc>
        <w:tc>
          <w:tcPr>
            <w:tcW w:w="0" w:type="dxa"/>
            <w:vAlign w:val="bottom"/>
          </w:tcPr>
          <w:p>
            <w:pPr>
              <w:spacing w:after="0"/>
              <w:rPr>
                <w:sz w:val="1"/>
                <w:szCs w:val="1"/>
                <w:color w:val="auto"/>
              </w:rPr>
            </w:pPr>
          </w:p>
        </w:tc>
      </w:tr>
      <w:tr>
        <w:trPr>
          <w:trHeight w:val="215"/>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30,327</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30,327</w:t>
            </w: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(74,590)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(74,590)</w:t>
            </w:r>
          </w:p>
        </w:tc>
        <w:tc>
          <w:tcPr>
            <w:tcW w:w="0" w:type="dxa"/>
            <w:vAlign w:val="bottom"/>
          </w:tcPr>
          <w:p>
            <w:pPr>
              <w:spacing w:after="0"/>
              <w:rPr>
                <w:sz w:val="1"/>
                <w:szCs w:val="1"/>
                <w:color w:val="auto"/>
              </w:rPr>
            </w:pPr>
          </w:p>
        </w:tc>
      </w:tr>
      <w:tr>
        <w:trPr>
          <w:trHeight w:val="215"/>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rPr>
              <w:t>Dividends declared</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(9,537)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2020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24,437,400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365,793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9,717</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375,534</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Net investment income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4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(1,508)</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5"/>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rPr>
              <w:t>Dividends declared</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(7,331)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June 30, 2020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24,437,400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365,793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10,359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376,176</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Net investment income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4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12,664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12,664</w:t>
            </w:r>
          </w:p>
        </w:tc>
        <w:tc>
          <w:tcPr>
            <w:tcW w:w="0" w:type="dxa"/>
            <w:vAlign w:val="bottom"/>
          </w:tcPr>
          <w:p>
            <w:pPr>
              <w:spacing w:after="0"/>
              <w:rPr>
                <w:sz w:val="1"/>
                <w:szCs w:val="1"/>
                <w:color w:val="auto"/>
              </w:rPr>
            </w:pPr>
          </w:p>
        </w:tc>
      </w:tr>
      <w:tr>
        <w:trPr>
          <w:trHeight w:val="215"/>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rPr>
              <w:t>Dividends declared</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(7,331)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2020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24,437,400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365,793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23,735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389,552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amount is greater than zero but less than one</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8"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228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87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7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720" w:type="dxa"/>
            <w:vAlign w:val="bottom"/>
          </w:tcPr>
          <w:p>
            <w:pPr>
              <w:ind w:left="300"/>
              <w:spacing w:after="0" w:line="148" w:lineRule="exact"/>
              <w:rPr>
                <w:sz w:val="20"/>
                <w:szCs w:val="20"/>
                <w:color w:val="auto"/>
              </w:rPr>
            </w:pPr>
            <w:r>
              <w:rPr>
                <w:rFonts w:ascii="Arial" w:cs="Arial" w:eastAsia="Arial" w:hAnsi="Arial"/>
                <w:sz w:val="14"/>
                <w:szCs w:val="14"/>
                <w:color w:val="auto"/>
              </w:rPr>
              <w:t>Net increase in net assets resulting from operations</w:t>
            </w:r>
          </w:p>
        </w:tc>
        <w:tc>
          <w:tcPr>
            <w:tcW w:w="200" w:type="dxa"/>
            <w:vAlign w:val="bottom"/>
          </w:tcPr>
          <w:p>
            <w:pPr>
              <w:jc w:val="right"/>
              <w:ind w:right="48"/>
              <w:spacing w:after="0" w:line="148"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60"/>
              <w:spacing w:after="0" w:line="148" w:lineRule="exact"/>
              <w:rPr>
                <w:sz w:val="20"/>
                <w:szCs w:val="20"/>
                <w:color w:val="auto"/>
              </w:rPr>
            </w:pPr>
            <w:r>
              <w:rPr>
                <w:rFonts w:ascii="Arial" w:cs="Arial" w:eastAsia="Arial" w:hAnsi="Arial"/>
                <w:sz w:val="14"/>
                <w:szCs w:val="14"/>
                <w:color w:val="auto"/>
              </w:rPr>
              <w:t>1,709</w:t>
            </w:r>
          </w:p>
        </w:tc>
        <w:tc>
          <w:tcPr>
            <w:tcW w:w="220" w:type="dxa"/>
            <w:vAlign w:val="bottom"/>
          </w:tcPr>
          <w:p>
            <w:pPr>
              <w:jc w:val="right"/>
              <w:ind w:right="68"/>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28,469</w:t>
            </w: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ind w:left="300"/>
              <w:spacing w:after="0" w:line="148" w:lineRule="exact"/>
              <w:rPr>
                <w:sz w:val="20"/>
                <w:szCs w:val="20"/>
                <w:color w:val="auto"/>
              </w:rPr>
            </w:pPr>
            <w:r>
              <w:rPr>
                <w:rFonts w:ascii="Arial" w:cs="Arial" w:eastAsia="Arial" w:hAnsi="Arial"/>
                <w:sz w:val="14"/>
                <w:szCs w:val="14"/>
                <w:color w:val="auto"/>
              </w:rPr>
              <w:t>Adjustments to reconcile net increase in net assets resulting from operations to net cash provided by (used for) operating activities: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720" w:type="dxa"/>
            <w:vAlign w:val="bottom"/>
          </w:tcPr>
          <w:p>
            <w:pPr>
              <w:ind w:left="580"/>
              <w:spacing w:after="0" w:line="148" w:lineRule="exact"/>
              <w:rPr>
                <w:sz w:val="20"/>
                <w:szCs w:val="20"/>
                <w:color w:val="auto"/>
              </w:rPr>
            </w:pPr>
            <w:r>
              <w:rPr>
                <w:rFonts w:ascii="Arial" w:cs="Arial" w:eastAsia="Arial" w:hAnsi="Arial"/>
                <w:sz w:val="14"/>
                <w:szCs w:val="14"/>
                <w:color w:val="auto"/>
              </w:rPr>
              <w:t>Net change in unrealized (appreciation) depreciation on investments</w:t>
            </w:r>
          </w:p>
        </w:tc>
        <w:tc>
          <w:tcPr>
            <w:tcW w:w="200" w:type="dxa"/>
            <w:vAlign w:val="bottom"/>
          </w:tcPr>
          <w:p>
            <w:pPr>
              <w:spacing w:after="0"/>
              <w:rPr>
                <w:sz w:val="12"/>
                <w:szCs w:val="12"/>
                <w:color w:val="auto"/>
              </w:rPr>
            </w:pPr>
          </w:p>
        </w:tc>
        <w:tc>
          <w:tcPr>
            <w:tcW w:w="960" w:type="dxa"/>
            <w:vAlign w:val="bottom"/>
            <w:gridSpan w:val="2"/>
          </w:tcPr>
          <w:p>
            <w:pPr>
              <w:jc w:val="right"/>
              <w:ind w:right="260"/>
              <w:spacing w:after="0" w:line="148" w:lineRule="exact"/>
              <w:rPr>
                <w:sz w:val="20"/>
                <w:szCs w:val="20"/>
                <w:color w:val="auto"/>
              </w:rPr>
            </w:pPr>
            <w:r>
              <w:rPr>
                <w:rFonts w:ascii="Arial" w:cs="Arial" w:eastAsia="Arial" w:hAnsi="Arial"/>
                <w:sz w:val="14"/>
                <w:szCs w:val="14"/>
                <w:color w:val="auto"/>
              </w:rPr>
              <w:t>63,434</w:t>
            </w: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6,306</w:t>
            </w: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ind w:left="580"/>
              <w:spacing w:after="0" w:line="148" w:lineRule="exact"/>
              <w:rPr>
                <w:sz w:val="20"/>
                <w:szCs w:val="20"/>
                <w:color w:val="auto"/>
              </w:rPr>
            </w:pPr>
            <w:r>
              <w:rPr>
                <w:rFonts w:ascii="Arial" w:cs="Arial" w:eastAsia="Arial" w:hAnsi="Arial"/>
                <w:sz w:val="14"/>
                <w:szCs w:val="14"/>
                <w:color w:val="auto"/>
              </w:rPr>
              <w:t>Net realized (gain) loss on investments</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(32,897)</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(8,831)</w:t>
            </w:r>
          </w:p>
        </w:tc>
        <w:tc>
          <w:tcPr>
            <w:tcW w:w="0" w:type="dxa"/>
            <w:vAlign w:val="bottom"/>
          </w:tcPr>
          <w:p>
            <w:pPr>
              <w:spacing w:after="0"/>
              <w:rPr>
                <w:sz w:val="1"/>
                <w:szCs w:val="1"/>
                <w:color w:val="auto"/>
              </w:rPr>
            </w:pPr>
          </w:p>
        </w:tc>
      </w:tr>
      <w:tr>
        <w:trPr>
          <w:trHeight w:val="148"/>
        </w:trPr>
        <w:tc>
          <w:tcPr>
            <w:tcW w:w="8720" w:type="dxa"/>
            <w:vAlign w:val="bottom"/>
          </w:tcPr>
          <w:p>
            <w:pPr>
              <w:ind w:left="580"/>
              <w:spacing w:after="0" w:line="148" w:lineRule="exact"/>
              <w:rPr>
                <w:sz w:val="20"/>
                <w:szCs w:val="20"/>
                <w:color w:val="auto"/>
              </w:rPr>
            </w:pPr>
            <w:r>
              <w:rPr>
                <w:rFonts w:ascii="Arial" w:cs="Arial" w:eastAsia="Arial" w:hAnsi="Arial"/>
                <w:sz w:val="14"/>
                <w:szCs w:val="14"/>
                <w:color w:val="auto"/>
              </w:rPr>
              <w:t>Interest and dividend income paid-in-kind</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(3,511)</w:t>
            </w:r>
          </w:p>
        </w:tc>
        <w:tc>
          <w:tcPr>
            <w:tcW w:w="220" w:type="dxa"/>
            <w:vAlign w:val="bottom"/>
          </w:tcPr>
          <w:p>
            <w:pPr>
              <w:spacing w:after="0"/>
              <w:rPr>
                <w:sz w:val="12"/>
                <w:szCs w:val="12"/>
                <w:color w:val="auto"/>
              </w:rPr>
            </w:pPr>
          </w:p>
        </w:tc>
        <w:tc>
          <w:tcPr>
            <w:tcW w:w="9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(7,838)</w:t>
            </w: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ind w:left="580"/>
              <w:spacing w:after="0" w:line="148" w:lineRule="exact"/>
              <w:rPr>
                <w:sz w:val="20"/>
                <w:szCs w:val="20"/>
                <w:color w:val="auto"/>
              </w:rPr>
            </w:pPr>
            <w:r>
              <w:rPr>
                <w:rFonts w:ascii="Arial" w:cs="Arial" w:eastAsia="Arial" w:hAnsi="Arial"/>
                <w:sz w:val="14"/>
                <w:szCs w:val="14"/>
                <w:color w:val="auto"/>
              </w:rPr>
              <w:t>Accretion of original issue discount</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(118)</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8"/>
        </w:trPr>
        <w:tc>
          <w:tcPr>
            <w:tcW w:w="8720" w:type="dxa"/>
            <w:vAlign w:val="bottom"/>
          </w:tcPr>
          <w:p>
            <w:pPr>
              <w:ind w:left="580"/>
              <w:spacing w:after="0" w:line="148" w:lineRule="exact"/>
              <w:rPr>
                <w:sz w:val="20"/>
                <w:szCs w:val="20"/>
                <w:color w:val="auto"/>
              </w:rPr>
            </w:pPr>
            <w:r>
              <w:rPr>
                <w:rFonts w:ascii="Arial" w:cs="Arial" w:eastAsia="Arial" w:hAnsi="Arial"/>
                <w:sz w:val="14"/>
                <w:szCs w:val="14"/>
                <w:color w:val="auto"/>
              </w:rPr>
              <w:t>Accretion of loan origination fees</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(866)</w:t>
            </w:r>
          </w:p>
        </w:tc>
        <w:tc>
          <w:tcPr>
            <w:tcW w:w="220" w:type="dxa"/>
            <w:vAlign w:val="bottom"/>
          </w:tcPr>
          <w:p>
            <w:pPr>
              <w:spacing w:after="0"/>
              <w:rPr>
                <w:sz w:val="12"/>
                <w:szCs w:val="12"/>
                <w:color w:val="auto"/>
              </w:rPr>
            </w:pPr>
          </w:p>
        </w:tc>
        <w:tc>
          <w:tcPr>
            <w:tcW w:w="9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(796)</w:t>
            </w: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ind w:left="580"/>
              <w:spacing w:after="0" w:line="148" w:lineRule="exact"/>
              <w:rPr>
                <w:sz w:val="20"/>
                <w:szCs w:val="20"/>
                <w:color w:val="auto"/>
              </w:rPr>
            </w:pPr>
            <w:r>
              <w:rPr>
                <w:rFonts w:ascii="Arial" w:cs="Arial" w:eastAsia="Arial" w:hAnsi="Arial"/>
                <w:sz w:val="14"/>
                <w:szCs w:val="14"/>
                <w:color w:val="auto"/>
              </w:rPr>
              <w:t>Purchase of investments</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(86,121)</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(175,535)</w:t>
            </w:r>
          </w:p>
        </w:tc>
        <w:tc>
          <w:tcPr>
            <w:tcW w:w="0" w:type="dxa"/>
            <w:vAlign w:val="bottom"/>
          </w:tcPr>
          <w:p>
            <w:pPr>
              <w:spacing w:after="0"/>
              <w:rPr>
                <w:sz w:val="1"/>
                <w:szCs w:val="1"/>
                <w:color w:val="auto"/>
              </w:rPr>
            </w:pPr>
          </w:p>
        </w:tc>
      </w:tr>
      <w:tr>
        <w:trPr>
          <w:trHeight w:val="148"/>
        </w:trPr>
        <w:tc>
          <w:tcPr>
            <w:tcW w:w="8720" w:type="dxa"/>
            <w:vAlign w:val="bottom"/>
          </w:tcPr>
          <w:p>
            <w:pPr>
              <w:ind w:left="580"/>
              <w:spacing w:after="0" w:line="148" w:lineRule="exact"/>
              <w:rPr>
                <w:sz w:val="20"/>
                <w:szCs w:val="20"/>
                <w:color w:val="auto"/>
              </w:rPr>
            </w:pPr>
            <w:r>
              <w:rPr>
                <w:rFonts w:ascii="Arial" w:cs="Arial" w:eastAsia="Arial" w:hAnsi="Arial"/>
                <w:sz w:val="14"/>
                <w:szCs w:val="14"/>
                <w:color w:val="auto"/>
              </w:rPr>
              <w:t>Proceeds from sales and repayments of investments</w:t>
            </w:r>
          </w:p>
        </w:tc>
        <w:tc>
          <w:tcPr>
            <w:tcW w:w="200" w:type="dxa"/>
            <w:vAlign w:val="bottom"/>
          </w:tcPr>
          <w:p>
            <w:pPr>
              <w:spacing w:after="0"/>
              <w:rPr>
                <w:sz w:val="12"/>
                <w:szCs w:val="12"/>
                <w:color w:val="auto"/>
              </w:rPr>
            </w:pPr>
          </w:p>
        </w:tc>
        <w:tc>
          <w:tcPr>
            <w:tcW w:w="960" w:type="dxa"/>
            <w:vAlign w:val="bottom"/>
            <w:gridSpan w:val="2"/>
          </w:tcPr>
          <w:p>
            <w:pPr>
              <w:jc w:val="right"/>
              <w:ind w:right="260"/>
              <w:spacing w:after="0" w:line="148" w:lineRule="exact"/>
              <w:rPr>
                <w:sz w:val="20"/>
                <w:szCs w:val="20"/>
                <w:color w:val="auto"/>
              </w:rPr>
            </w:pPr>
            <w:r>
              <w:rPr>
                <w:rFonts w:ascii="Arial" w:cs="Arial" w:eastAsia="Arial" w:hAnsi="Arial"/>
                <w:sz w:val="14"/>
                <w:szCs w:val="14"/>
                <w:color w:val="auto"/>
              </w:rPr>
              <w:t>110,149</w:t>
            </w: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98,805</w:t>
            </w: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ind w:left="580"/>
              <w:spacing w:after="0" w:line="148" w:lineRule="exact"/>
              <w:rPr>
                <w:sz w:val="20"/>
                <w:szCs w:val="20"/>
                <w:color w:val="auto"/>
              </w:rPr>
            </w:pPr>
            <w:r>
              <w:rPr>
                <w:rFonts w:ascii="Arial" w:cs="Arial" w:eastAsia="Arial" w:hAnsi="Arial"/>
                <w:sz w:val="14"/>
                <w:szCs w:val="14"/>
                <w:color w:val="auto"/>
              </w:rPr>
              <w:t>Proceeds from loan origination fees</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4"/>
                <w:szCs w:val="14"/>
                <w:color w:val="auto"/>
              </w:rPr>
              <w:t>1,444</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1,480</w:t>
            </w:r>
          </w:p>
        </w:tc>
        <w:tc>
          <w:tcPr>
            <w:tcW w:w="0" w:type="dxa"/>
            <w:vAlign w:val="bottom"/>
          </w:tcPr>
          <w:p>
            <w:pPr>
              <w:spacing w:after="0"/>
              <w:rPr>
                <w:sz w:val="1"/>
                <w:szCs w:val="1"/>
                <w:color w:val="auto"/>
              </w:rPr>
            </w:pPr>
          </w:p>
        </w:tc>
      </w:tr>
      <w:tr>
        <w:trPr>
          <w:trHeight w:val="148"/>
        </w:trPr>
        <w:tc>
          <w:tcPr>
            <w:tcW w:w="8720" w:type="dxa"/>
            <w:vAlign w:val="bottom"/>
          </w:tcPr>
          <w:p>
            <w:pPr>
              <w:ind w:left="580"/>
              <w:spacing w:after="0" w:line="148" w:lineRule="exact"/>
              <w:rPr>
                <w:sz w:val="20"/>
                <w:szCs w:val="20"/>
                <w:color w:val="auto"/>
              </w:rPr>
            </w:pPr>
            <w:r>
              <w:rPr>
                <w:rFonts w:ascii="Arial" w:cs="Arial" w:eastAsia="Arial" w:hAnsi="Arial"/>
                <w:sz w:val="14"/>
                <w:szCs w:val="14"/>
                <w:color w:val="auto"/>
              </w:rPr>
              <w:t>Realized losses on extinguishment of debt</w:t>
            </w:r>
          </w:p>
        </w:tc>
        <w:tc>
          <w:tcPr>
            <w:tcW w:w="200" w:type="dxa"/>
            <w:vAlign w:val="bottom"/>
          </w:tcPr>
          <w:p>
            <w:pPr>
              <w:spacing w:after="0"/>
              <w:rPr>
                <w:sz w:val="12"/>
                <w:szCs w:val="12"/>
                <w:color w:val="auto"/>
              </w:rPr>
            </w:pPr>
          </w:p>
        </w:tc>
        <w:tc>
          <w:tcPr>
            <w:tcW w:w="960" w:type="dxa"/>
            <w:vAlign w:val="bottom"/>
            <w:gridSpan w:val="2"/>
          </w:tcPr>
          <w:p>
            <w:pPr>
              <w:jc w:val="right"/>
              <w:ind w:right="260"/>
              <w:spacing w:after="0" w:line="148" w:lineRule="exact"/>
              <w:rPr>
                <w:sz w:val="20"/>
                <w:szCs w:val="20"/>
                <w:color w:val="auto"/>
              </w:rPr>
            </w:pPr>
            <w:r>
              <w:rPr>
                <w:rFonts w:ascii="Arial" w:cs="Arial" w:eastAsia="Arial" w:hAnsi="Arial"/>
                <w:sz w:val="14"/>
                <w:szCs w:val="14"/>
                <w:color w:val="auto"/>
              </w:rPr>
              <w:t>299</w:t>
            </w: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ind w:left="580"/>
              <w:spacing w:after="0" w:line="148" w:lineRule="exact"/>
              <w:rPr>
                <w:sz w:val="20"/>
                <w:szCs w:val="20"/>
                <w:color w:val="auto"/>
              </w:rPr>
            </w:pPr>
            <w:r>
              <w:rPr>
                <w:rFonts w:ascii="Arial" w:cs="Arial" w:eastAsia="Arial" w:hAnsi="Arial"/>
                <w:sz w:val="14"/>
                <w:szCs w:val="14"/>
                <w:color w:val="auto"/>
              </w:rPr>
              <w:t>Amortization of deferred financing costs</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4"/>
                <w:szCs w:val="14"/>
                <w:color w:val="auto"/>
              </w:rPr>
              <w:t>1,680</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1,315</w:t>
            </w:r>
          </w:p>
        </w:tc>
        <w:tc>
          <w:tcPr>
            <w:tcW w:w="0" w:type="dxa"/>
            <w:vAlign w:val="bottom"/>
          </w:tcPr>
          <w:p>
            <w:pPr>
              <w:spacing w:after="0"/>
              <w:rPr>
                <w:sz w:val="1"/>
                <w:szCs w:val="1"/>
                <w:color w:val="auto"/>
              </w:rPr>
            </w:pPr>
          </w:p>
        </w:tc>
      </w:tr>
      <w:tr>
        <w:trPr>
          <w:trHeight w:val="148"/>
        </w:trPr>
        <w:tc>
          <w:tcPr>
            <w:tcW w:w="8720" w:type="dxa"/>
            <w:vAlign w:val="bottom"/>
          </w:tcPr>
          <w:p>
            <w:pPr>
              <w:ind w:left="580"/>
              <w:spacing w:after="0" w:line="148" w:lineRule="exact"/>
              <w:rPr>
                <w:sz w:val="20"/>
                <w:szCs w:val="20"/>
                <w:color w:val="auto"/>
              </w:rPr>
            </w:pPr>
            <w:r>
              <w:rPr>
                <w:rFonts w:ascii="Arial" w:cs="Arial" w:eastAsia="Arial" w:hAnsi="Arial"/>
                <w:sz w:val="14"/>
                <w:szCs w:val="14"/>
                <w:color w:val="auto"/>
              </w:rPr>
              <w:t>Changes in operating assets and liabilities: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ind w:left="880"/>
              <w:spacing w:after="0" w:line="148" w:lineRule="exact"/>
              <w:rPr>
                <w:sz w:val="20"/>
                <w:szCs w:val="20"/>
                <w:color w:val="auto"/>
              </w:rPr>
            </w:pPr>
            <w:r>
              <w:rPr>
                <w:rFonts w:ascii="Arial" w:cs="Arial" w:eastAsia="Arial" w:hAnsi="Arial"/>
                <w:sz w:val="14"/>
                <w:szCs w:val="14"/>
                <w:color w:val="auto"/>
              </w:rPr>
              <w:t>Interest receivable</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(740)</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1,045</w:t>
            </w:r>
          </w:p>
        </w:tc>
        <w:tc>
          <w:tcPr>
            <w:tcW w:w="0" w:type="dxa"/>
            <w:vAlign w:val="bottom"/>
          </w:tcPr>
          <w:p>
            <w:pPr>
              <w:spacing w:after="0"/>
              <w:rPr>
                <w:sz w:val="1"/>
                <w:szCs w:val="1"/>
                <w:color w:val="auto"/>
              </w:rPr>
            </w:pPr>
          </w:p>
        </w:tc>
      </w:tr>
      <w:tr>
        <w:trPr>
          <w:trHeight w:val="148"/>
        </w:trPr>
        <w:tc>
          <w:tcPr>
            <w:tcW w:w="8720" w:type="dxa"/>
            <w:vAlign w:val="bottom"/>
          </w:tcPr>
          <w:p>
            <w:pPr>
              <w:ind w:left="880"/>
              <w:spacing w:after="0" w:line="148" w:lineRule="exact"/>
              <w:rPr>
                <w:sz w:val="20"/>
                <w:szCs w:val="20"/>
                <w:color w:val="auto"/>
              </w:rPr>
            </w:pPr>
            <w:r>
              <w:rPr>
                <w:rFonts w:ascii="Arial" w:cs="Arial" w:eastAsia="Arial" w:hAnsi="Arial"/>
                <w:sz w:val="14"/>
                <w:szCs w:val="14"/>
                <w:color w:val="auto"/>
              </w:rPr>
              <w:t>Prepaid expenses and other assets</w:t>
            </w:r>
          </w:p>
        </w:tc>
        <w:tc>
          <w:tcPr>
            <w:tcW w:w="200" w:type="dxa"/>
            <w:vAlign w:val="bottom"/>
          </w:tcPr>
          <w:p>
            <w:pPr>
              <w:spacing w:after="0"/>
              <w:rPr>
                <w:sz w:val="12"/>
                <w:szCs w:val="12"/>
                <w:color w:val="auto"/>
              </w:rPr>
            </w:pPr>
          </w:p>
        </w:tc>
        <w:tc>
          <w:tcPr>
            <w:tcW w:w="960" w:type="dxa"/>
            <w:vAlign w:val="bottom"/>
            <w:gridSpan w:val="2"/>
          </w:tcPr>
          <w:p>
            <w:pPr>
              <w:jc w:val="right"/>
              <w:ind w:right="260"/>
              <w:spacing w:after="0" w:line="148" w:lineRule="exact"/>
              <w:rPr>
                <w:sz w:val="20"/>
                <w:szCs w:val="20"/>
                <w:color w:val="auto"/>
              </w:rPr>
            </w:pPr>
            <w:r>
              <w:rPr>
                <w:rFonts w:ascii="Arial" w:cs="Arial" w:eastAsia="Arial" w:hAnsi="Arial"/>
                <w:sz w:val="14"/>
                <w:szCs w:val="14"/>
                <w:color w:val="auto"/>
              </w:rPr>
              <w:t>34</w:t>
            </w: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ind w:left="880"/>
              <w:spacing w:after="0" w:line="148" w:lineRule="exact"/>
              <w:rPr>
                <w:sz w:val="20"/>
                <w:szCs w:val="20"/>
                <w:color w:val="auto"/>
              </w:rPr>
            </w:pPr>
            <w:r>
              <w:rPr>
                <w:rFonts w:ascii="Arial" w:cs="Arial" w:eastAsia="Arial" w:hAnsi="Arial"/>
                <w:sz w:val="14"/>
                <w:szCs w:val="14"/>
                <w:color w:val="auto"/>
              </w:rPr>
              <w:t>Accrued interest and fees payable</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(1,383)</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148"/>
        </w:trPr>
        <w:tc>
          <w:tcPr>
            <w:tcW w:w="8720" w:type="dxa"/>
            <w:vAlign w:val="bottom"/>
          </w:tcPr>
          <w:p>
            <w:pPr>
              <w:ind w:left="880"/>
              <w:spacing w:after="0" w:line="148" w:lineRule="exact"/>
              <w:rPr>
                <w:sz w:val="20"/>
                <w:szCs w:val="20"/>
                <w:color w:val="auto"/>
              </w:rPr>
            </w:pPr>
            <w:r>
              <w:rPr>
                <w:rFonts w:ascii="Arial" w:cs="Arial" w:eastAsia="Arial" w:hAnsi="Arial"/>
                <w:sz w:val="14"/>
                <w:szCs w:val="14"/>
                <w:color w:val="auto"/>
              </w:rPr>
              <w:t>Base management fee payable – due to affiliate</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(110)</w:t>
            </w: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ind w:left="880"/>
              <w:spacing w:after="0" w:line="148" w:lineRule="exact"/>
              <w:rPr>
                <w:sz w:val="20"/>
                <w:szCs w:val="20"/>
                <w:color w:val="auto"/>
              </w:rPr>
            </w:pPr>
            <w:r>
              <w:rPr>
                <w:rFonts w:ascii="Arial" w:cs="Arial" w:eastAsia="Arial" w:hAnsi="Arial"/>
                <w:sz w:val="14"/>
                <w:szCs w:val="14"/>
                <w:color w:val="auto"/>
              </w:rPr>
              <w:t>Income incentive fee payable – due to affiliate</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4"/>
                <w:szCs w:val="14"/>
                <w:color w:val="auto"/>
              </w:rPr>
              <w:t>877</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48"/>
        </w:trPr>
        <w:tc>
          <w:tcPr>
            <w:tcW w:w="8720" w:type="dxa"/>
            <w:vAlign w:val="bottom"/>
          </w:tcPr>
          <w:p>
            <w:pPr>
              <w:ind w:left="880"/>
              <w:spacing w:after="0" w:line="148" w:lineRule="exact"/>
              <w:rPr>
                <w:sz w:val="20"/>
                <w:szCs w:val="20"/>
                <w:color w:val="auto"/>
              </w:rPr>
            </w:pPr>
            <w:r>
              <w:rPr>
                <w:rFonts w:ascii="Arial" w:cs="Arial" w:eastAsia="Arial" w:hAnsi="Arial"/>
                <w:sz w:val="14"/>
                <w:szCs w:val="14"/>
                <w:color w:val="auto"/>
              </w:rPr>
              <w:t>Capital gains incentive fee payable – due to affiliate</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(6,380)</w:t>
            </w: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ind w:left="880"/>
              <w:spacing w:after="0" w:line="148" w:lineRule="exact"/>
              <w:rPr>
                <w:sz w:val="20"/>
                <w:szCs w:val="20"/>
                <w:color w:val="auto"/>
              </w:rPr>
            </w:pPr>
            <w:r>
              <w:rPr>
                <w:rFonts w:ascii="Arial" w:cs="Arial" w:eastAsia="Arial" w:hAnsi="Arial"/>
                <w:sz w:val="14"/>
                <w:szCs w:val="14"/>
                <w:color w:val="auto"/>
              </w:rPr>
              <w:t>Administration fee payable and other – due to affiliate</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4"/>
                <w:szCs w:val="14"/>
                <w:color w:val="auto"/>
              </w:rPr>
              <w:t>67</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48"/>
        </w:trPr>
        <w:tc>
          <w:tcPr>
            <w:tcW w:w="8720" w:type="dxa"/>
            <w:vAlign w:val="bottom"/>
          </w:tcPr>
          <w:p>
            <w:pPr>
              <w:ind w:left="880"/>
              <w:spacing w:after="0" w:line="148" w:lineRule="exact"/>
              <w:rPr>
                <w:sz w:val="20"/>
                <w:szCs w:val="20"/>
                <w:color w:val="auto"/>
              </w:rPr>
            </w:pPr>
            <w:r>
              <w:rPr>
                <w:rFonts w:ascii="Arial" w:cs="Arial" w:eastAsia="Arial" w:hAnsi="Arial"/>
                <w:sz w:val="14"/>
                <w:szCs w:val="14"/>
                <w:color w:val="auto"/>
              </w:rPr>
              <w:t>Taxes payable</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(424)</w:t>
            </w:r>
          </w:p>
        </w:tc>
        <w:tc>
          <w:tcPr>
            <w:tcW w:w="220" w:type="dxa"/>
            <w:vAlign w:val="bottom"/>
          </w:tcPr>
          <w:p>
            <w:pPr>
              <w:spacing w:after="0"/>
              <w:rPr>
                <w:sz w:val="12"/>
                <w:szCs w:val="12"/>
                <w:color w:val="auto"/>
              </w:rPr>
            </w:pPr>
          </w:p>
        </w:tc>
        <w:tc>
          <w:tcPr>
            <w:tcW w:w="9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ind w:left="880"/>
              <w:spacing w:after="0" w:line="148" w:lineRule="exact"/>
              <w:rPr>
                <w:sz w:val="20"/>
                <w:szCs w:val="20"/>
                <w:color w:val="auto"/>
              </w:rPr>
            </w:pPr>
            <w:r>
              <w:rPr>
                <w:rFonts w:ascii="Arial" w:cs="Arial" w:eastAsia="Arial" w:hAnsi="Arial"/>
                <w:sz w:val="14"/>
                <w:szCs w:val="14"/>
                <w:color w:val="auto"/>
              </w:rPr>
              <w:t>Accounts payable and other liabilities</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62"/>
        </w:trPr>
        <w:tc>
          <w:tcPr>
            <w:tcW w:w="8720" w:type="dxa"/>
            <w:vAlign w:val="bottom"/>
          </w:tcPr>
          <w:p>
            <w:pPr>
              <w:ind w:left="1160"/>
              <w:spacing w:after="0" w:line="155" w:lineRule="exact"/>
              <w:rPr>
                <w:sz w:val="20"/>
                <w:szCs w:val="20"/>
                <w:color w:val="auto"/>
              </w:rPr>
            </w:pPr>
            <w:r>
              <w:rPr>
                <w:rFonts w:ascii="Arial" w:cs="Arial" w:eastAsia="Arial" w:hAnsi="Arial"/>
                <w:sz w:val="14"/>
                <w:szCs w:val="14"/>
                <w:b w:val="1"/>
                <w:bCs w:val="1"/>
                <w:color w:val="auto"/>
              </w:rPr>
              <w:t>Net cash provided by (used for) operating activities</w:t>
            </w: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47,127</w:t>
            </w:r>
          </w:p>
        </w:tc>
        <w:tc>
          <w:tcPr>
            <w:tcW w:w="2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(57,181)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720" w:type="dxa"/>
            <w:vAlign w:val="bottom"/>
          </w:tcPr>
          <w:p>
            <w:pPr>
              <w:ind w:left="580"/>
              <w:spacing w:after="0" w:line="148" w:lineRule="exact"/>
              <w:rPr>
                <w:sz w:val="20"/>
                <w:szCs w:val="20"/>
                <w:color w:val="auto"/>
              </w:rPr>
            </w:pPr>
            <w:r>
              <w:rPr>
                <w:rFonts w:ascii="Arial" w:cs="Arial" w:eastAsia="Arial" w:hAnsi="Arial"/>
                <w:sz w:val="14"/>
                <w:szCs w:val="14"/>
                <w:color w:val="auto"/>
              </w:rPr>
              <w:t>Proceeds received from SBA debentures</w:t>
            </w:r>
          </w:p>
        </w:tc>
        <w:tc>
          <w:tcPr>
            <w:tcW w:w="200" w:type="dxa"/>
            <w:vAlign w:val="bottom"/>
          </w:tcPr>
          <w:p>
            <w:pPr>
              <w:spacing w:after="0"/>
              <w:rPr>
                <w:sz w:val="12"/>
                <w:szCs w:val="12"/>
                <w:color w:val="auto"/>
              </w:rPr>
            </w:pPr>
          </w:p>
        </w:tc>
        <w:tc>
          <w:tcPr>
            <w:tcW w:w="960" w:type="dxa"/>
            <w:vAlign w:val="bottom"/>
            <w:gridSpan w:val="2"/>
          </w:tcPr>
          <w:p>
            <w:pPr>
              <w:jc w:val="right"/>
              <w:ind w:right="260"/>
              <w:spacing w:after="0" w:line="148" w:lineRule="exact"/>
              <w:rPr>
                <w:sz w:val="20"/>
                <w:szCs w:val="20"/>
                <w:color w:val="auto"/>
              </w:rPr>
            </w:pPr>
            <w:r>
              <w:rPr>
                <w:rFonts w:ascii="Arial" w:cs="Arial" w:eastAsia="Arial" w:hAnsi="Arial"/>
                <w:sz w:val="14"/>
                <w:szCs w:val="14"/>
                <w:color w:val="auto"/>
              </w:rPr>
              <w:t>6,000</w:t>
            </w: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ind w:left="580"/>
              <w:spacing w:after="0" w:line="148" w:lineRule="exact"/>
              <w:rPr>
                <w:sz w:val="20"/>
                <w:szCs w:val="20"/>
                <w:color w:val="auto"/>
              </w:rPr>
            </w:pPr>
            <w:r>
              <w:rPr>
                <w:rFonts w:ascii="Arial" w:cs="Arial" w:eastAsia="Arial" w:hAnsi="Arial"/>
                <w:sz w:val="14"/>
                <w:szCs w:val="14"/>
                <w:color w:val="auto"/>
              </w:rPr>
              <w:t>Repayments of SBA debentures</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(16,500)</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(41,000)</w:t>
            </w:r>
          </w:p>
        </w:tc>
        <w:tc>
          <w:tcPr>
            <w:tcW w:w="0" w:type="dxa"/>
            <w:vAlign w:val="bottom"/>
          </w:tcPr>
          <w:p>
            <w:pPr>
              <w:spacing w:after="0"/>
              <w:rPr>
                <w:sz w:val="1"/>
                <w:szCs w:val="1"/>
                <w:color w:val="auto"/>
              </w:rPr>
            </w:pPr>
          </w:p>
        </w:tc>
      </w:tr>
      <w:tr>
        <w:trPr>
          <w:trHeight w:val="148"/>
        </w:trPr>
        <w:tc>
          <w:tcPr>
            <w:tcW w:w="8720" w:type="dxa"/>
            <w:vAlign w:val="bottom"/>
          </w:tcPr>
          <w:p>
            <w:pPr>
              <w:ind w:left="580"/>
              <w:spacing w:after="0" w:line="148" w:lineRule="exact"/>
              <w:rPr>
                <w:sz w:val="20"/>
                <w:szCs w:val="20"/>
                <w:color w:val="auto"/>
              </w:rPr>
            </w:pPr>
            <w:r>
              <w:rPr>
                <w:rFonts w:ascii="Arial" w:cs="Arial" w:eastAsia="Arial" w:hAnsi="Arial"/>
                <w:sz w:val="14"/>
                <w:szCs w:val="14"/>
                <w:color w:val="auto"/>
              </w:rPr>
              <w:t>Proceeds received from issuance of Public Notes</w:t>
            </w:r>
          </w:p>
        </w:tc>
        <w:tc>
          <w:tcPr>
            <w:tcW w:w="200" w:type="dxa"/>
            <w:vAlign w:val="bottom"/>
          </w:tcPr>
          <w:p>
            <w:pPr>
              <w:spacing w:after="0"/>
              <w:rPr>
                <w:sz w:val="12"/>
                <w:szCs w:val="12"/>
                <w:color w:val="auto"/>
              </w:rPr>
            </w:pPr>
          </w:p>
        </w:tc>
        <w:tc>
          <w:tcPr>
            <w:tcW w:w="960" w:type="dxa"/>
            <w:vAlign w:val="bottom"/>
            <w:gridSpan w:val="2"/>
          </w:tcPr>
          <w:p>
            <w:pPr>
              <w:jc w:val="right"/>
              <w:ind w:right="260"/>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69,000</w:t>
            </w: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ind w:left="580"/>
              <w:spacing w:after="0" w:line="148" w:lineRule="exact"/>
              <w:rPr>
                <w:sz w:val="20"/>
                <w:szCs w:val="20"/>
                <w:color w:val="auto"/>
              </w:rPr>
            </w:pPr>
            <w:r>
              <w:rPr>
                <w:rFonts w:ascii="Arial" w:cs="Arial" w:eastAsia="Arial" w:hAnsi="Arial"/>
                <w:sz w:val="14"/>
                <w:szCs w:val="14"/>
                <w:color w:val="auto"/>
              </w:rPr>
              <w:t>Proceeds received from (repayments of) borrowings under Credit Facility, net</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30,000</w:t>
            </w:r>
          </w:p>
        </w:tc>
        <w:tc>
          <w:tcPr>
            <w:tcW w:w="0" w:type="dxa"/>
            <w:vAlign w:val="bottom"/>
          </w:tcPr>
          <w:p>
            <w:pPr>
              <w:spacing w:after="0"/>
              <w:rPr>
                <w:sz w:val="1"/>
                <w:szCs w:val="1"/>
                <w:color w:val="auto"/>
              </w:rPr>
            </w:pPr>
          </w:p>
        </w:tc>
      </w:tr>
      <w:tr>
        <w:trPr>
          <w:trHeight w:val="148"/>
        </w:trPr>
        <w:tc>
          <w:tcPr>
            <w:tcW w:w="8720" w:type="dxa"/>
            <w:vAlign w:val="bottom"/>
          </w:tcPr>
          <w:p>
            <w:pPr>
              <w:ind w:left="580"/>
              <w:spacing w:after="0" w:line="148" w:lineRule="exact"/>
              <w:rPr>
                <w:sz w:val="20"/>
                <w:szCs w:val="20"/>
                <w:color w:val="auto"/>
              </w:rPr>
            </w:pPr>
            <w:r>
              <w:rPr>
                <w:rFonts w:ascii="Arial" w:cs="Arial" w:eastAsia="Arial" w:hAnsi="Arial"/>
                <w:sz w:val="14"/>
                <w:szCs w:val="14"/>
                <w:color w:val="auto"/>
              </w:rPr>
              <w:t>Payment of deferred financing costs</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(490)</w:t>
            </w:r>
          </w:p>
        </w:tc>
        <w:tc>
          <w:tcPr>
            <w:tcW w:w="220" w:type="dxa"/>
            <w:vAlign w:val="bottom"/>
          </w:tcPr>
          <w:p>
            <w:pPr>
              <w:spacing w:after="0"/>
              <w:rPr>
                <w:sz w:val="12"/>
                <w:szCs w:val="12"/>
                <w:color w:val="auto"/>
              </w:rPr>
            </w:pPr>
          </w:p>
        </w:tc>
        <w:tc>
          <w:tcPr>
            <w:tcW w:w="9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(4,186)</w:t>
            </w: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ind w:left="580"/>
              <w:spacing w:after="0" w:line="148" w:lineRule="exact"/>
              <w:rPr>
                <w:sz w:val="20"/>
                <w:szCs w:val="20"/>
                <w:color w:val="auto"/>
              </w:rPr>
            </w:pPr>
            <w:r>
              <w:rPr>
                <w:rFonts w:ascii="Arial" w:cs="Arial" w:eastAsia="Arial" w:hAnsi="Arial"/>
                <w:sz w:val="14"/>
                <w:szCs w:val="14"/>
                <w:color w:val="auto"/>
              </w:rPr>
              <w:t>Dividends paid to stockholders, including expenses</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(24,199)</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(28,622)</w:t>
            </w:r>
          </w:p>
        </w:tc>
        <w:tc>
          <w:tcPr>
            <w:tcW w:w="0" w:type="dxa"/>
            <w:vAlign w:val="bottom"/>
          </w:tcPr>
          <w:p>
            <w:pPr>
              <w:spacing w:after="0"/>
              <w:rPr>
                <w:sz w:val="1"/>
                <w:szCs w:val="1"/>
                <w:color w:val="auto"/>
              </w:rPr>
            </w:pPr>
          </w:p>
        </w:tc>
      </w:tr>
      <w:tr>
        <w:trPr>
          <w:trHeight w:val="148"/>
        </w:trPr>
        <w:tc>
          <w:tcPr>
            <w:tcW w:w="8720" w:type="dxa"/>
            <w:vAlign w:val="bottom"/>
          </w:tcPr>
          <w:p>
            <w:pPr>
              <w:ind w:left="580"/>
              <w:spacing w:after="0" w:line="148" w:lineRule="exact"/>
              <w:rPr>
                <w:sz w:val="20"/>
                <w:szCs w:val="20"/>
                <w:color w:val="auto"/>
              </w:rPr>
            </w:pPr>
            <w:r>
              <w:rPr>
                <w:rFonts w:ascii="Arial" w:cs="Arial" w:eastAsia="Arial" w:hAnsi="Arial"/>
                <w:sz w:val="14"/>
                <w:szCs w:val="14"/>
                <w:color w:val="auto"/>
              </w:rPr>
              <w:t>Repurchases of common stock under Stock Repurchase Program</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(268)</w:t>
            </w: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720" w:type="dxa"/>
            <w:vAlign w:val="bottom"/>
            <w:shd w:val="clear" w:color="auto" w:fill="CCEEFF"/>
          </w:tcPr>
          <w:p>
            <w:pPr>
              <w:ind w:left="1160"/>
              <w:spacing w:after="0" w:line="148" w:lineRule="exact"/>
              <w:rPr>
                <w:sz w:val="20"/>
                <w:szCs w:val="20"/>
                <w:color w:val="auto"/>
              </w:rPr>
            </w:pPr>
            <w:r>
              <w:rPr>
                <w:rFonts w:ascii="Arial" w:cs="Arial" w:eastAsia="Arial" w:hAnsi="Arial"/>
                <w:sz w:val="14"/>
                <w:szCs w:val="14"/>
                <w:b w:val="1"/>
                <w:bCs w:val="1"/>
                <w:color w:val="auto"/>
              </w:rPr>
              <w:t>Net cash provided by (used for) financing activities</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(37,457)</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32,692</w:t>
            </w:r>
          </w:p>
        </w:tc>
        <w:tc>
          <w:tcPr>
            <w:tcW w:w="0" w:type="dxa"/>
            <w:vAlign w:val="bottom"/>
          </w:tcPr>
          <w:p>
            <w:pPr>
              <w:spacing w:after="0"/>
              <w:rPr>
                <w:sz w:val="1"/>
                <w:szCs w:val="1"/>
                <w:color w:val="auto"/>
              </w:rPr>
            </w:pPr>
          </w:p>
        </w:tc>
      </w:tr>
      <w:tr>
        <w:trPr>
          <w:trHeight w:val="155"/>
        </w:trPr>
        <w:tc>
          <w:tcPr>
            <w:tcW w:w="8720" w:type="dxa"/>
            <w:vAlign w:val="bottom"/>
          </w:tcPr>
          <w:p>
            <w:pPr>
              <w:ind w:left="1160"/>
              <w:spacing w:after="0" w:line="155"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9,670</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(24,489)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Cash and cash equivalents: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720" w:type="dxa"/>
            <w:vAlign w:val="bottom"/>
          </w:tcPr>
          <w:p>
            <w:pPr>
              <w:ind w:left="580"/>
              <w:spacing w:after="0" w:line="148" w:lineRule="exact"/>
              <w:rPr>
                <w:sz w:val="20"/>
                <w:szCs w:val="20"/>
                <w:color w:val="auto"/>
              </w:rPr>
            </w:pPr>
            <w:r>
              <w:rPr>
                <w:rFonts w:ascii="Arial" w:cs="Arial" w:eastAsia="Arial" w:hAnsi="Arial"/>
                <w:sz w:val="14"/>
                <w:szCs w:val="14"/>
                <w:color w:val="auto"/>
              </w:rPr>
              <w:t>Beginning of period</w:t>
            </w:r>
          </w:p>
        </w:tc>
        <w:tc>
          <w:tcPr>
            <w:tcW w:w="200" w:type="dxa"/>
            <w:vAlign w:val="bottom"/>
          </w:tcPr>
          <w:p>
            <w:pPr>
              <w:spacing w:after="0"/>
              <w:rPr>
                <w:sz w:val="12"/>
                <w:szCs w:val="12"/>
                <w:color w:val="auto"/>
              </w:rPr>
            </w:pPr>
          </w:p>
        </w:tc>
        <w:tc>
          <w:tcPr>
            <w:tcW w:w="960" w:type="dxa"/>
            <w:vAlign w:val="bottom"/>
            <w:gridSpan w:val="2"/>
          </w:tcPr>
          <w:p>
            <w:pPr>
              <w:jc w:val="right"/>
              <w:ind w:right="260"/>
              <w:spacing w:after="0" w:line="148" w:lineRule="exact"/>
              <w:rPr>
                <w:sz w:val="20"/>
                <w:szCs w:val="20"/>
                <w:color w:val="auto"/>
              </w:rPr>
            </w:pPr>
            <w:r>
              <w:rPr>
                <w:rFonts w:ascii="Arial" w:cs="Arial" w:eastAsia="Arial" w:hAnsi="Arial"/>
                <w:sz w:val="14"/>
                <w:szCs w:val="14"/>
                <w:color w:val="auto"/>
              </w:rPr>
              <w:t>15,012</w:t>
            </w: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42,015</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720" w:type="dxa"/>
            <w:vAlign w:val="bottom"/>
            <w:shd w:val="clear" w:color="auto" w:fill="CCEEFF"/>
          </w:tcPr>
          <w:p>
            <w:pPr>
              <w:ind w:left="580"/>
              <w:spacing w:after="0" w:line="148" w:lineRule="exact"/>
              <w:rPr>
                <w:sz w:val="20"/>
                <w:szCs w:val="20"/>
                <w:color w:val="auto"/>
              </w:rPr>
            </w:pPr>
            <w:r>
              <w:rPr>
                <w:rFonts w:ascii="Arial" w:cs="Arial" w:eastAsia="Arial" w:hAnsi="Arial"/>
                <w:sz w:val="14"/>
                <w:szCs w:val="14"/>
                <w:color w:val="auto"/>
              </w:rPr>
              <w:t>End of period</w:t>
            </w:r>
          </w:p>
        </w:tc>
        <w:tc>
          <w:tcPr>
            <w:tcW w:w="200" w:type="dxa"/>
            <w:vAlign w:val="bottom"/>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4"/>
                <w:szCs w:val="14"/>
                <w:color w:val="auto"/>
              </w:rPr>
              <w:t>24,682</w:t>
            </w:r>
          </w:p>
        </w:tc>
        <w:tc>
          <w:tcPr>
            <w:tcW w:w="220" w:type="dxa"/>
            <w:vAlign w:val="bottom"/>
            <w:shd w:val="clear" w:color="auto" w:fill="CCEEFF"/>
          </w:tcPr>
          <w:p>
            <w:pPr>
              <w:jc w:val="right"/>
              <w:ind w:right="68"/>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17,526</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r>
              <w:rPr>
                <w:rFonts w:ascii="Arial" w:cs="Arial" w:eastAsia="Arial" w:hAnsi="Arial"/>
                <w:sz w:val="14"/>
                <w:szCs w:val="14"/>
                <w:color w:val="auto"/>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720" w:type="dxa"/>
            <w:vAlign w:val="bottom"/>
            <w:shd w:val="clear" w:color="auto" w:fill="CCEEFF"/>
          </w:tcPr>
          <w:p>
            <w:pPr>
              <w:ind w:left="580"/>
              <w:spacing w:after="0" w:line="148" w:lineRule="exact"/>
              <w:rPr>
                <w:sz w:val="20"/>
                <w:szCs w:val="20"/>
                <w:color w:val="auto"/>
              </w:rPr>
            </w:pPr>
            <w:r>
              <w:rPr>
                <w:rFonts w:ascii="Arial" w:cs="Arial" w:eastAsia="Arial" w:hAnsi="Arial"/>
                <w:sz w:val="14"/>
                <w:szCs w:val="14"/>
                <w:color w:val="auto"/>
              </w:rPr>
              <w:t>Cash payments for interest</w:t>
            </w:r>
          </w:p>
        </w:tc>
        <w:tc>
          <w:tcPr>
            <w:tcW w:w="200" w:type="dxa"/>
            <w:vAlign w:val="bottom"/>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4"/>
                <w:szCs w:val="14"/>
                <w:color w:val="auto"/>
              </w:rPr>
              <w:t>14,404</w:t>
            </w:r>
          </w:p>
        </w:tc>
        <w:tc>
          <w:tcPr>
            <w:tcW w:w="220" w:type="dxa"/>
            <w:vAlign w:val="bottom"/>
            <w:shd w:val="clear" w:color="auto" w:fill="CCEEFF"/>
          </w:tcPr>
          <w:p>
            <w:pPr>
              <w:jc w:val="right"/>
              <w:ind w:right="68"/>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12,050</w:t>
            </w:r>
          </w:p>
        </w:tc>
        <w:tc>
          <w:tcPr>
            <w:tcW w:w="0" w:type="dxa"/>
            <w:vAlign w:val="bottom"/>
          </w:tcPr>
          <w:p>
            <w:pPr>
              <w:spacing w:after="0"/>
              <w:rPr>
                <w:sz w:val="1"/>
                <w:szCs w:val="1"/>
                <w:color w:val="auto"/>
              </w:rPr>
            </w:pPr>
          </w:p>
        </w:tc>
      </w:tr>
      <w:tr>
        <w:trPr>
          <w:trHeight w:val="182"/>
        </w:trPr>
        <w:tc>
          <w:tcPr>
            <w:tcW w:w="8720" w:type="dxa"/>
            <w:vAlign w:val="bottom"/>
          </w:tcPr>
          <w:p>
            <w:pPr>
              <w:ind w:left="580"/>
              <w:spacing w:after="0"/>
              <w:rPr>
                <w:sz w:val="20"/>
                <w:szCs w:val="20"/>
                <w:color w:val="auto"/>
              </w:rPr>
            </w:pPr>
            <w:r>
              <w:rPr>
                <w:rFonts w:ascii="Arial" w:cs="Arial" w:eastAsia="Arial" w:hAnsi="Arial"/>
                <w:sz w:val="14"/>
                <w:szCs w:val="14"/>
                <w:color w:val="auto"/>
              </w:rPr>
              <w:t>Cash payments for taxes, net of tax refunds received</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1,635</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8"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Consolidated Schedule of Investments (unaudited)</w:t>
      </w:r>
    </w:p>
    <w:p>
      <w:pPr>
        <w:spacing w:after="0" w:line="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120"/>
          </w:cols>
          <w:pgMar w:left="320" w:top="458" w:right="459" w:bottom="1440" w:gutter="0" w:footer="0" w:header="0"/>
        </w:sectPr>
      </w:pPr>
    </w:p>
    <w:p>
      <w:pPr>
        <w:spacing w:after="0" w:line="23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Portfolio Company (a)(b)</w:t>
      </w:r>
    </w:p>
    <w:p>
      <w:pPr>
        <w:ind w:left="120"/>
        <w:spacing w:after="0" w:line="237" w:lineRule="auto"/>
        <w:rPr>
          <w:sz w:val="20"/>
          <w:szCs w:val="20"/>
          <w:color w:val="auto"/>
        </w:rPr>
      </w:pPr>
      <w:r>
        <w:rPr>
          <w:rFonts w:ascii="Arial" w:cs="Arial" w:eastAsia="Arial" w:hAnsi="Arial"/>
          <w:sz w:val="13"/>
          <w:szCs w:val="13"/>
          <w:b w:val="1"/>
          <w:bCs w:val="1"/>
          <w:color w:val="auto"/>
        </w:rPr>
        <w:t>Investment Type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-5080</wp:posOffset>
            </wp:positionV>
            <wp:extent cx="838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ind w:left="120"/>
        <w:spacing w:after="0" w:line="217" w:lineRule="auto"/>
        <w:rPr>
          <w:sz w:val="20"/>
          <w:szCs w:val="20"/>
          <w:color w:val="auto"/>
        </w:rPr>
      </w:pPr>
      <w:r>
        <w:rPr>
          <w:rFonts w:ascii="Arial" w:cs="Arial" w:eastAsia="Arial" w:hAnsi="Arial"/>
          <w:sz w:val="13"/>
          <w:szCs w:val="13"/>
          <w:b w:val="1"/>
          <w:bCs w:val="1"/>
          <w:u w:val="single" w:color="auto"/>
          <w:color w:val="auto"/>
        </w:rPr>
        <w:t>Control Investments (t)</w:t>
      </w:r>
    </w:p>
    <w:p>
      <w:pPr>
        <w:ind w:left="120"/>
        <w:spacing w:after="0"/>
        <w:rPr>
          <w:sz w:val="20"/>
          <w:szCs w:val="20"/>
          <w:color w:val="auto"/>
        </w:rPr>
      </w:pPr>
      <w:r>
        <w:rPr>
          <w:rFonts w:ascii="Arial" w:cs="Arial" w:eastAsia="Arial" w:hAnsi="Arial"/>
          <w:sz w:val="10"/>
          <w:szCs w:val="10"/>
          <w:i w:val="1"/>
          <w:iCs w:val="1"/>
          <w:color w:val="auto"/>
        </w:rPr>
        <w:t>FDS Avionics Corp. (dba Flight Display Systems)</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Second Lien Debt</w:t>
      </w:r>
    </w:p>
    <w:p>
      <w:pPr>
        <w:ind w:left="380"/>
        <w:spacing w:after="0" w:line="216" w:lineRule="auto"/>
        <w:rPr>
          <w:sz w:val="20"/>
          <w:szCs w:val="20"/>
          <w:color w:val="auto"/>
        </w:rPr>
      </w:pPr>
      <w:r>
        <w:rPr>
          <w:rFonts w:ascii="Arial" w:cs="Arial" w:eastAsia="Arial" w:hAnsi="Arial"/>
          <w:sz w:val="13"/>
          <w:szCs w:val="13"/>
          <w:color w:val="auto"/>
        </w:rPr>
        <w:t>Revolving Loan ($30 commitment)</w:t>
      </w:r>
    </w:p>
    <w:p>
      <w:pPr>
        <w:ind w:left="380"/>
        <w:spacing w:after="0" w:line="216" w:lineRule="auto"/>
        <w:rPr>
          <w:sz w:val="20"/>
          <w:szCs w:val="20"/>
          <w:color w:val="auto"/>
        </w:rPr>
      </w:pPr>
      <w:r>
        <w:rPr>
          <w:rFonts w:ascii="Arial" w:cs="Arial" w:eastAsia="Arial" w:hAnsi="Arial"/>
          <w:sz w:val="13"/>
          <w:szCs w:val="13"/>
          <w:color w:val="auto"/>
        </w:rPr>
        <w:t>Common Equity (7,478 shares) (j)</w:t>
      </w:r>
    </w:p>
    <w:p>
      <w:pPr>
        <w:ind w:left="380"/>
        <w:spacing w:after="0" w:line="223" w:lineRule="auto"/>
        <w:rPr>
          <w:sz w:val="20"/>
          <w:szCs w:val="20"/>
          <w:color w:val="auto"/>
        </w:rPr>
      </w:pPr>
      <w:r>
        <w:rPr>
          <w:rFonts w:ascii="Arial" w:cs="Arial" w:eastAsia="Arial" w:hAnsi="Arial"/>
          <w:sz w:val="13"/>
          <w:szCs w:val="13"/>
          <w:color w:val="auto"/>
        </w:rPr>
        <w:t>Preferred Equity (2,550 shares)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Variable Index</w:t>
            </w:r>
          </w:p>
        </w:tc>
        <w:tc>
          <w:tcPr>
            <w:tcW w:w="900" w:type="dxa"/>
            <w:vAlign w:val="bottom"/>
            <w:gridSpan w:val="2"/>
          </w:tcPr>
          <w:p>
            <w:pPr>
              <w:ind w:left="180"/>
              <w:spacing w:after="0"/>
              <w:rPr>
                <w:sz w:val="20"/>
                <w:szCs w:val="20"/>
                <w:color w:val="auto"/>
              </w:rPr>
            </w:pPr>
            <w:r>
              <w:rPr>
                <w:rFonts w:ascii="Arial" w:cs="Arial" w:eastAsia="Arial" w:hAnsi="Arial"/>
                <w:sz w:val="13"/>
                <w:szCs w:val="13"/>
                <w:b w:val="1"/>
                <w:bCs w:val="1"/>
                <w:color w:val="auto"/>
              </w:rPr>
              <w:t>Rate (e)</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Investment</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3"/>
                <w:szCs w:val="13"/>
                <w:b w:val="1"/>
                <w:bCs w:val="1"/>
                <w:color w:val="auto"/>
                <w:w w:val="94"/>
              </w:rPr>
              <w:t>Principal</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Fair</w:t>
            </w:r>
          </w:p>
        </w:tc>
        <w:tc>
          <w:tcPr>
            <w:tcW w:w="560" w:type="dxa"/>
            <w:vAlign w:val="bottom"/>
          </w:tcPr>
          <w:p>
            <w:pPr>
              <w:spacing w:after="0"/>
              <w:rPr>
                <w:sz w:val="20"/>
                <w:szCs w:val="20"/>
                <w:color w:val="auto"/>
              </w:rPr>
            </w:pPr>
            <w:r>
              <w:rPr>
                <w:rFonts w:ascii="Arial" w:cs="Arial" w:eastAsia="Arial" w:hAnsi="Arial"/>
                <w:sz w:val="13"/>
                <w:szCs w:val="13"/>
                <w:b w:val="1"/>
                <w:bCs w:val="1"/>
                <w:color w:val="auto"/>
                <w:w w:val="84"/>
              </w:rPr>
              <w:t>Percent of</w:t>
            </w:r>
          </w:p>
        </w:tc>
        <w:tc>
          <w:tcPr>
            <w:tcW w:w="0" w:type="dxa"/>
            <w:vAlign w:val="bottom"/>
          </w:tcPr>
          <w:p>
            <w:pPr>
              <w:spacing w:after="0"/>
              <w:rPr>
                <w:sz w:val="1"/>
                <w:szCs w:val="1"/>
                <w:color w:val="auto"/>
              </w:rPr>
            </w:pPr>
          </w:p>
        </w:tc>
      </w:tr>
      <w:tr>
        <w:trPr>
          <w:trHeight w:val="166"/>
        </w:trPr>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Spread / Floor (d)</w:t>
            </w:r>
          </w:p>
        </w:tc>
        <w:tc>
          <w:tcPr>
            <w:tcW w:w="60" w:type="dxa"/>
            <w:vAlign w:val="bottom"/>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Cash/PIK</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Date (f)</w:t>
            </w:r>
          </w:p>
        </w:tc>
        <w:tc>
          <w:tcPr>
            <w:tcW w:w="100" w:type="dxa"/>
            <w:vAlign w:val="bottom"/>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Maturity</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Amount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Value (g)</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0"/>
              </w:rPr>
              <w:t>Net Assets</w:t>
            </w:r>
          </w:p>
        </w:tc>
        <w:tc>
          <w:tcPr>
            <w:tcW w:w="0" w:type="dxa"/>
            <w:vAlign w:val="bottom"/>
          </w:tcPr>
          <w:p>
            <w:pPr>
              <w:spacing w:after="0"/>
              <w:rPr>
                <w:sz w:val="1"/>
                <w:szCs w:val="1"/>
                <w:color w:val="auto"/>
              </w:rPr>
            </w:pPr>
          </w:p>
        </w:tc>
      </w:tr>
      <w:tr>
        <w:trPr>
          <w:trHeight w:val="258"/>
        </w:trPr>
        <w:tc>
          <w:tcPr>
            <w:tcW w:w="1940" w:type="dxa"/>
            <w:vAlign w:val="bottom"/>
            <w:gridSpan w:val="2"/>
          </w:tcPr>
          <w:p>
            <w:pPr>
              <w:jc w:val="center"/>
              <w:ind w:right="60"/>
              <w:spacing w:after="0"/>
              <w:rPr>
                <w:sz w:val="20"/>
                <w:szCs w:val="20"/>
                <w:color w:val="auto"/>
              </w:rPr>
            </w:pPr>
            <w:r>
              <w:rPr>
                <w:rFonts w:ascii="Arial" w:cs="Arial" w:eastAsia="Arial" w:hAnsi="Arial"/>
                <w:sz w:val="13"/>
                <w:szCs w:val="13"/>
                <w:color w:val="auto"/>
                <w:w w:val="88"/>
              </w:rPr>
              <w:t>Aerospace &amp; Defense Manufacturing</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6.00%/9.00%</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11/5/2014</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w w:val="92"/>
              </w:rPr>
              <w:t>12/31/2021</w:t>
            </w: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w w:val="94"/>
              </w:rPr>
              <w:t>$   4,728</w:t>
            </w:r>
          </w:p>
        </w:tc>
        <w:tc>
          <w:tcPr>
            <w:tcW w:w="54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$ 4,728</w:t>
            </w:r>
          </w:p>
        </w:tc>
        <w:tc>
          <w:tcPr>
            <w:tcW w:w="640" w:type="dxa"/>
            <w:vAlign w:val="bottom"/>
            <w:gridSpan w:val="3"/>
            <w:vMerge w:val="restart"/>
          </w:tcPr>
          <w:p>
            <w:pPr>
              <w:jc w:val="center"/>
              <w:ind w:right="60"/>
              <w:spacing w:after="0"/>
              <w:rPr>
                <w:sz w:val="20"/>
                <w:szCs w:val="20"/>
                <w:color w:val="auto"/>
              </w:rPr>
            </w:pPr>
            <w:r>
              <w:rPr>
                <w:rFonts w:ascii="Arial" w:cs="Arial" w:eastAsia="Arial" w:hAnsi="Arial"/>
                <w:sz w:val="13"/>
                <w:szCs w:val="13"/>
                <w:color w:val="auto"/>
              </w:rPr>
              <w:t>$  3,791</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1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6.00%/9.00%</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4/12/2018</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12/31/2021</w:t>
            </w: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279</w:t>
            </w:r>
          </w:p>
        </w:tc>
        <w:tc>
          <w:tcPr>
            <w:tcW w:w="5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279</w:t>
            </w:r>
          </w:p>
        </w:tc>
        <w:tc>
          <w:tcPr>
            <w:tcW w:w="640" w:type="dxa"/>
            <w:vAlign w:val="bottom"/>
            <w:gridSpan w:val="3"/>
          </w:tcPr>
          <w:p>
            <w:pPr>
              <w:ind w:left="340"/>
              <w:spacing w:after="0" w:line="135" w:lineRule="exact"/>
              <w:rPr>
                <w:sz w:val="20"/>
                <w:szCs w:val="20"/>
                <w:color w:val="auto"/>
              </w:rPr>
            </w:pPr>
            <w:r>
              <w:rPr>
                <w:rFonts w:ascii="Arial" w:cs="Arial" w:eastAsia="Arial" w:hAnsi="Arial"/>
                <w:sz w:val="13"/>
                <w:szCs w:val="13"/>
                <w:color w:val="auto"/>
              </w:rPr>
              <w:t>279</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11/10/2017</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748</w:t>
            </w:r>
          </w:p>
        </w:tc>
        <w:tc>
          <w:tcPr>
            <w:tcW w:w="40" w:type="dxa"/>
            <w:vAlign w:val="bottom"/>
          </w:tcPr>
          <w:p>
            <w:pPr>
              <w:spacing w:after="0"/>
              <w:rPr>
                <w:sz w:val="11"/>
                <w:szCs w:val="11"/>
                <w:color w:val="auto"/>
              </w:rPr>
            </w:pPr>
          </w:p>
        </w:tc>
        <w:tc>
          <w:tcPr>
            <w:tcW w:w="600" w:type="dxa"/>
            <w:vAlign w:val="bottom"/>
            <w:gridSpan w:val="2"/>
          </w:tcPr>
          <w:p>
            <w:pPr>
              <w:ind w:left="30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12/26/2019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3"/>
                <w:szCs w:val="13"/>
                <w:color w:val="auto"/>
              </w:rPr>
              <w:t>2,550</w:t>
            </w:r>
          </w:p>
        </w:tc>
        <w:tc>
          <w:tcPr>
            <w:tcW w:w="40" w:type="dxa"/>
            <w:vAlign w:val="bottom"/>
          </w:tcPr>
          <w:p>
            <w:pPr>
              <w:spacing w:after="0"/>
              <w:rPr>
                <w:sz w:val="12"/>
                <w:szCs w:val="12"/>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-512445</wp:posOffset>
            </wp:positionV>
            <wp:extent cx="6978650"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-1911350</wp:posOffset>
            </wp:positionH>
            <wp:positionV relativeFrom="paragraph">
              <wp:posOffset>-341630</wp:posOffset>
            </wp:positionV>
            <wp:extent cx="6978650"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-1911350</wp:posOffset>
            </wp:positionH>
            <wp:positionV relativeFrom="paragraph">
              <wp:posOffset>-170180</wp:posOffset>
            </wp:positionV>
            <wp:extent cx="6978650" cy="85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78650" cy="857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640" w:space="500"/>
            <w:col w:w="7980"/>
          </w:cols>
          <w:pgMar w:left="320" w:top="458" w:right="459" w:bottom="1440" w:gutter="0" w:footer="0" w:header="0"/>
          <w:type w:val="continuous"/>
        </w:sectPr>
      </w:pPr>
    </w:p>
    <w:tbl>
      <w:tblPr>
        <w:tblLayout w:type="fixed"/>
        <w:tblInd w:w="120" w:type="dxa"/>
        <w:tblCellMar>
          <w:top w:w="0" w:type="dxa"/>
          <w:left w:w="0" w:type="dxa"/>
          <w:bottom w:w="0" w:type="dxa"/>
          <w:right w:w="0" w:type="dxa"/>
        </w:tblCellMar>
      </w:tblPr>
      <w:tr>
        <w:trPr>
          <w:trHeight w:val="142"/>
        </w:trPr>
        <w:tc>
          <w:tcPr>
            <w:tcW w:w="12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8,305</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4,070</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w:t>
            </w: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US GreenFiber, LLC</w:t>
            </w:r>
          </w:p>
        </w:tc>
        <w:tc>
          <w:tcPr>
            <w:tcW w:w="4140" w:type="dxa"/>
            <w:vAlign w:val="bottom"/>
          </w:tcPr>
          <w:p>
            <w:pPr>
              <w:ind w:left="60"/>
              <w:spacing w:after="0" w:line="135" w:lineRule="exact"/>
              <w:rPr>
                <w:sz w:val="20"/>
                <w:szCs w:val="20"/>
                <w:color w:val="auto"/>
              </w:rPr>
            </w:pPr>
            <w:r>
              <w:rPr>
                <w:rFonts w:ascii="Arial" w:cs="Arial" w:eastAsia="Arial" w:hAnsi="Arial"/>
                <w:sz w:val="13"/>
                <w:szCs w:val="13"/>
                <w:color w:val="auto"/>
              </w:rPr>
              <w:t>Building Products Manufacturing</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9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 (j)</w:t>
            </w:r>
          </w:p>
        </w:tc>
        <w:tc>
          <w:tcPr>
            <w:tcW w:w="41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8.00%/5.00%</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7/3/2014</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8/30/2024</w:t>
            </w:r>
          </w:p>
        </w:tc>
        <w:tc>
          <w:tcPr>
            <w:tcW w:w="5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15,182</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5"/>
              </w:rPr>
              <w:t>15,176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5"/>
              </w:rPr>
              <w:t>13,855</w:t>
            </w:r>
          </w:p>
        </w:tc>
        <w:tc>
          <w:tcPr>
            <w:tcW w:w="540" w:type="dxa"/>
            <w:vAlign w:val="bottom"/>
            <w:shd w:val="clear" w:color="auto" w:fill="CCEEFF"/>
          </w:tcPr>
          <w:p>
            <w:pPr>
              <w:spacing w:after="0"/>
              <w:rPr>
                <w:sz w:val="11"/>
                <w:szCs w:val="11"/>
                <w:color w:val="auto"/>
              </w:rPr>
            </w:pPr>
          </w:p>
        </w:tc>
      </w:tr>
      <w:tr>
        <w:trPr>
          <w:trHeight w:val="135"/>
        </w:trPr>
        <w:tc>
          <w:tcPr>
            <w:tcW w:w="29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(j)</w:t>
            </w:r>
          </w:p>
        </w:tc>
        <w:tc>
          <w:tcPr>
            <w:tcW w:w="41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8.50%/6.50%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11/9/2018</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8/30/2024</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4,943</w:t>
            </w:r>
          </w:p>
        </w:tc>
        <w:tc>
          <w:tcPr>
            <w:tcW w:w="6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4,943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5,054</w:t>
            </w:r>
          </w:p>
        </w:tc>
        <w:tc>
          <w:tcPr>
            <w:tcW w:w="540" w:type="dxa"/>
            <w:vAlign w:val="bottom"/>
          </w:tcPr>
          <w:p>
            <w:pPr>
              <w:spacing w:after="0"/>
              <w:rPr>
                <w:sz w:val="11"/>
                <w:szCs w:val="11"/>
                <w:color w:val="auto"/>
              </w:rPr>
            </w:pPr>
          </w:p>
        </w:tc>
      </w:tr>
      <w:tr>
        <w:trPr>
          <w:trHeight w:val="135"/>
        </w:trPr>
        <w:tc>
          <w:tcPr>
            <w:tcW w:w="29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 (j)</w:t>
            </w:r>
          </w:p>
        </w:tc>
        <w:tc>
          <w:tcPr>
            <w:tcW w:w="41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8.50%/6.50%</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8/10/2020</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8/30/2024</w:t>
            </w:r>
          </w:p>
        </w:tc>
        <w:tc>
          <w:tcPr>
            <w:tcW w:w="5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1,010</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1,010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1,010</w:t>
            </w:r>
          </w:p>
        </w:tc>
        <w:tc>
          <w:tcPr>
            <w:tcW w:w="540" w:type="dxa"/>
            <w:vAlign w:val="bottom"/>
            <w:shd w:val="clear" w:color="auto" w:fill="CCEEFF"/>
          </w:tcPr>
          <w:p>
            <w:pPr>
              <w:spacing w:after="0"/>
              <w:rPr>
                <w:sz w:val="11"/>
                <w:szCs w:val="11"/>
                <w:color w:val="auto"/>
              </w:rPr>
            </w:pPr>
          </w:p>
        </w:tc>
      </w:tr>
      <w:tr>
        <w:trPr>
          <w:trHeight w:val="135"/>
        </w:trPr>
        <w:tc>
          <w:tcPr>
            <w:tcW w:w="29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Common Equity (2,522 units) (h)(j)</w:t>
            </w:r>
          </w:p>
        </w:tc>
        <w:tc>
          <w:tcPr>
            <w:tcW w:w="414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7/3/2014</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586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spacing w:after="0"/>
              <w:rPr>
                <w:sz w:val="11"/>
                <w:szCs w:val="11"/>
                <w:color w:val="auto"/>
              </w:rPr>
            </w:pPr>
          </w:p>
        </w:tc>
      </w:tr>
      <w:tr>
        <w:trPr>
          <w:trHeight w:val="135"/>
        </w:trPr>
        <w:tc>
          <w:tcPr>
            <w:tcW w:w="29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(425,508 units) (j)</w:t>
            </w:r>
          </w:p>
        </w:tc>
        <w:tc>
          <w:tcPr>
            <w:tcW w:w="4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8/30/2019</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1"/>
                <w:szCs w:val="11"/>
                <w:color w:val="auto"/>
              </w:rPr>
            </w:pPr>
          </w:p>
        </w:tc>
      </w:tr>
      <w:tr>
        <w:trPr>
          <w:trHeight w:val="142"/>
        </w:trPr>
        <w:tc>
          <w:tcPr>
            <w:tcW w:w="29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Common Equity (1,022,813 units) (h)</w:t>
            </w:r>
          </w:p>
        </w:tc>
        <w:tc>
          <w:tcPr>
            <w:tcW w:w="4140" w:type="dxa"/>
            <w:vAlign w:val="bottom"/>
          </w:tcPr>
          <w:p>
            <w:pPr>
              <w:spacing w:after="0"/>
              <w:rPr>
                <w:sz w:val="12"/>
                <w:szCs w:val="12"/>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7/1/2020</w:t>
            </w: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1,023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12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4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5"/>
              </w:rPr>
              <w:t>22,739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5"/>
              </w:rPr>
              <w:t>19,919</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r>
      <w:tr>
        <w:trPr>
          <w:trHeight w:val="142"/>
        </w:trPr>
        <w:tc>
          <w:tcPr>
            <w:tcW w:w="29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Control Investments</w:t>
            </w:r>
          </w:p>
        </w:tc>
        <w:tc>
          <w:tcPr>
            <w:tcW w:w="4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31,044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23,989</w:t>
            </w:r>
          </w:p>
        </w:tc>
        <w:tc>
          <w:tcPr>
            <w:tcW w:w="2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6%</w:t>
            </w:r>
          </w:p>
        </w:tc>
      </w:tr>
      <w:tr>
        <w:trPr>
          <w:trHeight w:val="20"/>
        </w:trPr>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15"/>
        </w:trPr>
        <w:tc>
          <w:tcPr>
            <w:tcW w:w="128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w w:val="88"/>
              </w:rPr>
              <w:t>Affiliate Investments (l)</w:t>
            </w:r>
          </w:p>
        </w:tc>
        <w:tc>
          <w:tcPr>
            <w:tcW w:w="1680" w:type="dxa"/>
            <w:vAlign w:val="bottom"/>
            <w:tcBorders>
              <w:bottom w:val="single" w:sz="8" w:color="CCEEFF"/>
            </w:tcBorders>
            <w:shd w:val="clear" w:color="auto" w:fill="CCEEFF"/>
          </w:tcPr>
          <w:p>
            <w:pPr>
              <w:spacing w:after="0"/>
              <w:rPr>
                <w:sz w:val="10"/>
                <w:szCs w:val="10"/>
                <w:color w:val="auto"/>
              </w:rPr>
            </w:pPr>
          </w:p>
        </w:tc>
        <w:tc>
          <w:tcPr>
            <w:tcW w:w="414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r>
      <w:tr>
        <w:trPr>
          <w:trHeight w:val="128"/>
        </w:trPr>
        <w:tc>
          <w:tcPr>
            <w:tcW w:w="2960" w:type="dxa"/>
            <w:vAlign w:val="bottom"/>
            <w:gridSpan w:val="2"/>
          </w:tcPr>
          <w:p>
            <w:pPr>
              <w:spacing w:after="0" w:line="128" w:lineRule="exact"/>
              <w:rPr>
                <w:sz w:val="20"/>
                <w:szCs w:val="20"/>
                <w:color w:val="auto"/>
              </w:rPr>
            </w:pPr>
            <w:r>
              <w:rPr>
                <w:rFonts w:ascii="Arial" w:cs="Arial" w:eastAsia="Arial" w:hAnsi="Arial"/>
                <w:sz w:val="13"/>
                <w:szCs w:val="13"/>
                <w:i w:val="1"/>
                <w:iCs w:val="1"/>
                <w:color w:val="auto"/>
              </w:rPr>
              <w:t>FAR Research Inc. (n)</w:t>
            </w:r>
          </w:p>
        </w:tc>
        <w:tc>
          <w:tcPr>
            <w:tcW w:w="4140" w:type="dxa"/>
            <w:vAlign w:val="bottom"/>
          </w:tcPr>
          <w:p>
            <w:pPr>
              <w:ind w:left="60"/>
              <w:spacing w:after="0" w:line="128" w:lineRule="exact"/>
              <w:rPr>
                <w:sz w:val="20"/>
                <w:szCs w:val="20"/>
                <w:color w:val="auto"/>
              </w:rPr>
            </w:pPr>
            <w:r>
              <w:rPr>
                <w:rFonts w:ascii="Arial" w:cs="Arial" w:eastAsia="Arial" w:hAnsi="Arial"/>
                <w:sz w:val="13"/>
                <w:szCs w:val="13"/>
                <w:color w:val="auto"/>
              </w:rPr>
              <w:t>Specialty Chemicals</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9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(1,396 units)</w:t>
            </w:r>
          </w:p>
        </w:tc>
        <w:tc>
          <w:tcPr>
            <w:tcW w:w="4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3/31/2014</w:t>
            </w:r>
          </w:p>
        </w:tc>
        <w:tc>
          <w:tcPr>
            <w:tcW w:w="7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28</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r>
      <w:tr>
        <w:trPr>
          <w:trHeight w:val="242"/>
        </w:trPr>
        <w:tc>
          <w:tcPr>
            <w:tcW w:w="2960" w:type="dxa"/>
            <w:vAlign w:val="bottom"/>
            <w:gridSpan w:val="2"/>
          </w:tcPr>
          <w:p>
            <w:pPr>
              <w:spacing w:after="0"/>
              <w:rPr>
                <w:sz w:val="20"/>
                <w:szCs w:val="20"/>
                <w:color w:val="auto"/>
              </w:rPr>
            </w:pPr>
            <w:r>
              <w:rPr>
                <w:rFonts w:ascii="Arial" w:cs="Arial" w:eastAsia="Arial" w:hAnsi="Arial"/>
                <w:sz w:val="13"/>
                <w:szCs w:val="13"/>
                <w:i w:val="1"/>
                <w:iCs w:val="1"/>
                <w:color w:val="auto"/>
              </w:rPr>
              <w:t>Fiber Materials, Inc. (n)</w:t>
            </w:r>
          </w:p>
        </w:tc>
        <w:tc>
          <w:tcPr>
            <w:tcW w:w="4140" w:type="dxa"/>
            <w:vAlign w:val="bottom"/>
          </w:tcPr>
          <w:p>
            <w:pPr>
              <w:ind w:left="60"/>
              <w:spacing w:after="0"/>
              <w:rPr>
                <w:sz w:val="20"/>
                <w:szCs w:val="20"/>
                <w:color w:val="auto"/>
              </w:rPr>
            </w:pPr>
            <w:r>
              <w:rPr>
                <w:rFonts w:ascii="Arial" w:cs="Arial" w:eastAsia="Arial" w:hAnsi="Arial"/>
                <w:sz w:val="13"/>
                <w:szCs w:val="13"/>
                <w:color w:val="auto"/>
              </w:rPr>
              <w:t>Aerospace &amp; Defense Manufacturing</w:t>
            </w: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135"/>
        </w:trPr>
        <w:tc>
          <w:tcPr>
            <w:tcW w:w="29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(10 units)</w:t>
            </w:r>
          </w:p>
        </w:tc>
        <w:tc>
          <w:tcPr>
            <w:tcW w:w="4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11/30/2016</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42</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r>
      <w:tr>
        <w:trPr>
          <w:trHeight w:val="242"/>
        </w:trPr>
        <w:tc>
          <w:tcPr>
            <w:tcW w:w="2960" w:type="dxa"/>
            <w:vAlign w:val="bottom"/>
            <w:gridSpan w:val="2"/>
          </w:tcPr>
          <w:p>
            <w:pPr>
              <w:spacing w:after="0"/>
              <w:rPr>
                <w:sz w:val="20"/>
                <w:szCs w:val="20"/>
                <w:color w:val="auto"/>
              </w:rPr>
            </w:pPr>
            <w:r>
              <w:rPr>
                <w:rFonts w:ascii="Arial" w:cs="Arial" w:eastAsia="Arial" w:hAnsi="Arial"/>
                <w:sz w:val="13"/>
                <w:szCs w:val="13"/>
                <w:i w:val="1"/>
                <w:iCs w:val="1"/>
                <w:color w:val="auto"/>
              </w:rPr>
              <w:t>Medsurant Holdings, LLC</w:t>
            </w:r>
          </w:p>
        </w:tc>
        <w:tc>
          <w:tcPr>
            <w:tcW w:w="4140" w:type="dxa"/>
            <w:vAlign w:val="bottom"/>
          </w:tcPr>
          <w:p>
            <w:pPr>
              <w:ind w:left="60"/>
              <w:spacing w:after="0"/>
              <w:rPr>
                <w:sz w:val="20"/>
                <w:szCs w:val="20"/>
                <w:color w:val="auto"/>
              </w:rPr>
            </w:pPr>
            <w:r>
              <w:rPr>
                <w:rFonts w:ascii="Arial" w:cs="Arial" w:eastAsia="Arial" w:hAnsi="Arial"/>
                <w:sz w:val="13"/>
                <w:szCs w:val="13"/>
                <w:color w:val="auto"/>
              </w:rPr>
              <w:t>Healthcare Services</w:t>
            </w: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135"/>
        </w:trPr>
        <w:tc>
          <w:tcPr>
            <w:tcW w:w="29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 (j)</w:t>
            </w:r>
          </w:p>
        </w:tc>
        <w:tc>
          <w:tcPr>
            <w:tcW w:w="41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13.00%/0.00%</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12/18/2015</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3/10/2022</w:t>
            </w:r>
          </w:p>
        </w:tc>
        <w:tc>
          <w:tcPr>
            <w:tcW w:w="5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8,031</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8,028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8,090</w:t>
            </w:r>
          </w:p>
        </w:tc>
        <w:tc>
          <w:tcPr>
            <w:tcW w:w="540" w:type="dxa"/>
            <w:vAlign w:val="bottom"/>
            <w:shd w:val="clear" w:color="auto" w:fill="CCEEFF"/>
          </w:tcPr>
          <w:p>
            <w:pPr>
              <w:spacing w:after="0"/>
              <w:rPr>
                <w:sz w:val="11"/>
                <w:szCs w:val="11"/>
                <w:color w:val="auto"/>
              </w:rPr>
            </w:pPr>
          </w:p>
        </w:tc>
      </w:tr>
      <w:tr>
        <w:trPr>
          <w:trHeight w:val="135"/>
        </w:trPr>
        <w:tc>
          <w:tcPr>
            <w:tcW w:w="29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Preferred Equity (63,331 units) (h)(j)</w:t>
            </w:r>
          </w:p>
        </w:tc>
        <w:tc>
          <w:tcPr>
            <w:tcW w:w="414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4/12/2011</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673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655</w:t>
            </w:r>
          </w:p>
        </w:tc>
        <w:tc>
          <w:tcPr>
            <w:tcW w:w="540" w:type="dxa"/>
            <w:vAlign w:val="bottom"/>
          </w:tcPr>
          <w:p>
            <w:pPr>
              <w:spacing w:after="0"/>
              <w:rPr>
                <w:sz w:val="11"/>
                <w:szCs w:val="11"/>
                <w:color w:val="auto"/>
              </w:rPr>
            </w:pPr>
          </w:p>
        </w:tc>
      </w:tr>
      <w:tr>
        <w:trPr>
          <w:trHeight w:val="135"/>
        </w:trPr>
        <w:tc>
          <w:tcPr>
            <w:tcW w:w="29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Warrant (252,588 units) (h)(j)(m)</w:t>
            </w:r>
          </w:p>
        </w:tc>
        <w:tc>
          <w:tcPr>
            <w:tcW w:w="4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4/12/2011</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2,258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2,295</w:t>
            </w:r>
          </w:p>
        </w:tc>
        <w:tc>
          <w:tcPr>
            <w:tcW w:w="540" w:type="dxa"/>
            <w:vAlign w:val="bottom"/>
            <w:shd w:val="clear" w:color="auto" w:fill="CCEEFF"/>
          </w:tcPr>
          <w:p>
            <w:pPr>
              <w:spacing w:after="0"/>
              <w:rPr>
                <w:sz w:val="11"/>
                <w:szCs w:val="11"/>
                <w:color w:val="auto"/>
              </w:rPr>
            </w:pPr>
          </w:p>
        </w:tc>
      </w:tr>
      <w:tr>
        <w:trPr>
          <w:trHeight w:val="142"/>
        </w:trPr>
        <w:tc>
          <w:tcPr>
            <w:tcW w:w="1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10,959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11,040</w:t>
            </w:r>
          </w:p>
        </w:tc>
        <w:tc>
          <w:tcPr>
            <w:tcW w:w="2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3%</w:t>
            </w: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Mirage Trailers LLC</w:t>
            </w:r>
          </w:p>
        </w:tc>
        <w:tc>
          <w:tcPr>
            <w:tcW w:w="41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Utility Equipment Manufacturing</w:t>
            </w: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29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4140" w:type="dxa"/>
            <w:vAlign w:val="bottom"/>
          </w:tcPr>
          <w:p>
            <w:pPr>
              <w:ind w:left="2000"/>
              <w:spacing w:after="0" w:line="135" w:lineRule="exact"/>
              <w:rPr>
                <w:sz w:val="20"/>
                <w:szCs w:val="20"/>
                <w:color w:val="auto"/>
              </w:rPr>
            </w:pPr>
            <w:r>
              <w:rPr>
                <w:rFonts w:ascii="Arial" w:cs="Arial" w:eastAsia="Arial" w:hAnsi="Arial"/>
                <w:sz w:val="13"/>
                <w:szCs w:val="13"/>
                <w:color w:val="auto"/>
                <w:w w:val="95"/>
              </w:rPr>
              <w:t>(L + 10.00%) / (1.00%)  11.00%/5.00%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11/25/2015</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w w:val="95"/>
              </w:rPr>
              <w:t>11/25/2021</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6,327</w:t>
            </w:r>
          </w:p>
        </w:tc>
        <w:tc>
          <w:tcPr>
            <w:tcW w:w="6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6,395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6,327</w:t>
            </w:r>
          </w:p>
        </w:tc>
        <w:tc>
          <w:tcPr>
            <w:tcW w:w="540" w:type="dxa"/>
            <w:vAlign w:val="bottom"/>
          </w:tcPr>
          <w:p>
            <w:pPr>
              <w:spacing w:after="0"/>
              <w:rPr>
                <w:sz w:val="11"/>
                <w:szCs w:val="11"/>
                <w:color w:val="auto"/>
              </w:rPr>
            </w:pPr>
          </w:p>
        </w:tc>
      </w:tr>
      <w:tr>
        <w:trPr>
          <w:trHeight w:val="135"/>
        </w:trPr>
        <w:tc>
          <w:tcPr>
            <w:tcW w:w="29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(2,500,000 shares) (o)</w:t>
            </w:r>
          </w:p>
        </w:tc>
        <w:tc>
          <w:tcPr>
            <w:tcW w:w="4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11/25/2015</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2,187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1"/>
                <w:szCs w:val="11"/>
                <w:color w:val="auto"/>
              </w:rPr>
            </w:pPr>
          </w:p>
        </w:tc>
      </w:tr>
      <w:tr>
        <w:trPr>
          <w:trHeight w:val="142"/>
        </w:trPr>
        <w:tc>
          <w:tcPr>
            <w:tcW w:w="1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8,582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6,327</w:t>
            </w:r>
          </w:p>
        </w:tc>
        <w:tc>
          <w:tcPr>
            <w:tcW w:w="2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2%</w:t>
            </w: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Pfanstiehl, Inc.</w:t>
            </w:r>
          </w:p>
        </w:tc>
        <w:tc>
          <w:tcPr>
            <w:tcW w:w="41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Healthcare Products</w:t>
            </w: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29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Subordinated Debt</w:t>
            </w:r>
          </w:p>
        </w:tc>
        <w:tc>
          <w:tcPr>
            <w:tcW w:w="41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10.50%/0.00%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3/29/2013</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9/29/2024</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6,208</w:t>
            </w:r>
          </w:p>
        </w:tc>
        <w:tc>
          <w:tcPr>
            <w:tcW w:w="6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6,204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6,208</w:t>
            </w:r>
          </w:p>
        </w:tc>
        <w:tc>
          <w:tcPr>
            <w:tcW w:w="540" w:type="dxa"/>
            <w:vAlign w:val="bottom"/>
          </w:tcPr>
          <w:p>
            <w:pPr>
              <w:spacing w:after="0"/>
              <w:rPr>
                <w:sz w:val="11"/>
                <w:szCs w:val="11"/>
                <w:color w:val="auto"/>
              </w:rPr>
            </w:pPr>
          </w:p>
        </w:tc>
      </w:tr>
      <w:tr>
        <w:trPr>
          <w:trHeight w:val="135"/>
        </w:trPr>
        <w:tc>
          <w:tcPr>
            <w:tcW w:w="29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(4,250 units) (j)</w:t>
            </w:r>
          </w:p>
        </w:tc>
        <w:tc>
          <w:tcPr>
            <w:tcW w:w="4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3/29/2013</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425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5"/>
              </w:rPr>
              <w:t>27,104</w:t>
            </w:r>
          </w:p>
        </w:tc>
        <w:tc>
          <w:tcPr>
            <w:tcW w:w="540" w:type="dxa"/>
            <w:vAlign w:val="bottom"/>
            <w:shd w:val="clear" w:color="auto" w:fill="CCEEFF"/>
          </w:tcPr>
          <w:p>
            <w:pPr>
              <w:spacing w:after="0"/>
              <w:rPr>
                <w:sz w:val="11"/>
                <w:szCs w:val="11"/>
                <w:color w:val="auto"/>
              </w:rPr>
            </w:pPr>
          </w:p>
        </w:tc>
      </w:tr>
      <w:tr>
        <w:trPr>
          <w:trHeight w:val="142"/>
        </w:trPr>
        <w:tc>
          <w:tcPr>
            <w:tcW w:w="1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6,629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33,312</w:t>
            </w:r>
          </w:p>
        </w:tc>
        <w:tc>
          <w:tcPr>
            <w:tcW w:w="2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9%</w:t>
            </w: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Pinnergy, Ltd.</w:t>
            </w:r>
          </w:p>
        </w:tc>
        <w:tc>
          <w:tcPr>
            <w:tcW w:w="41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Oil &amp; Gas Services</w:t>
            </w: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29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Common Equity - Class A-2 (42,500 units) (j)</w:t>
            </w:r>
          </w:p>
        </w:tc>
        <w:tc>
          <w:tcPr>
            <w:tcW w:w="414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10/13/2016</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3,000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5"/>
              </w:rPr>
              <w:t>13,743</w:t>
            </w:r>
          </w:p>
        </w:tc>
        <w:tc>
          <w:tcPr>
            <w:tcW w:w="540" w:type="dxa"/>
            <w:vAlign w:val="bottom"/>
          </w:tcPr>
          <w:p>
            <w:pPr>
              <w:spacing w:after="0"/>
              <w:rPr>
                <w:sz w:val="11"/>
                <w:szCs w:val="11"/>
                <w:color w:val="auto"/>
              </w:rPr>
            </w:pPr>
          </w:p>
        </w:tc>
      </w:tr>
      <w:tr>
        <w:trPr>
          <w:trHeight w:val="135"/>
        </w:trPr>
        <w:tc>
          <w:tcPr>
            <w:tcW w:w="29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 Class B (1,000 units) (j)</w:t>
            </w:r>
          </w:p>
        </w:tc>
        <w:tc>
          <w:tcPr>
            <w:tcW w:w="4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10/13/2016</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3,000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3,259</w:t>
            </w:r>
          </w:p>
        </w:tc>
        <w:tc>
          <w:tcPr>
            <w:tcW w:w="540" w:type="dxa"/>
            <w:vAlign w:val="bottom"/>
            <w:shd w:val="clear" w:color="auto" w:fill="CCEEFF"/>
          </w:tcPr>
          <w:p>
            <w:pPr>
              <w:spacing w:after="0"/>
              <w:rPr>
                <w:sz w:val="11"/>
                <w:szCs w:val="11"/>
                <w:color w:val="auto"/>
              </w:rPr>
            </w:pPr>
          </w:p>
        </w:tc>
      </w:tr>
      <w:tr>
        <w:trPr>
          <w:trHeight w:val="142"/>
        </w:trPr>
        <w:tc>
          <w:tcPr>
            <w:tcW w:w="1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17,002</w:t>
            </w:r>
          </w:p>
        </w:tc>
        <w:tc>
          <w:tcPr>
            <w:tcW w:w="2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3%</w:t>
            </w: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0"/>
              </w:rPr>
              <w:t>Steward Holding LLC (dba Steward Advanced Materials)</w:t>
            </w:r>
          </w:p>
        </w:tc>
        <w:tc>
          <w:tcPr>
            <w:tcW w:w="41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Aerospace &amp; Defense Manufacturing</w:t>
            </w: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29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41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12.00%/1.50%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11/12/2015</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5/12/2021</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7,754</w:t>
            </w:r>
          </w:p>
        </w:tc>
        <w:tc>
          <w:tcPr>
            <w:tcW w:w="6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7,750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7,754</w:t>
            </w:r>
          </w:p>
        </w:tc>
        <w:tc>
          <w:tcPr>
            <w:tcW w:w="540" w:type="dxa"/>
            <w:vAlign w:val="bottom"/>
          </w:tcPr>
          <w:p>
            <w:pPr>
              <w:spacing w:after="0"/>
              <w:rPr>
                <w:sz w:val="11"/>
                <w:szCs w:val="11"/>
                <w:color w:val="auto"/>
              </w:rPr>
            </w:pPr>
          </w:p>
        </w:tc>
      </w:tr>
      <w:tr>
        <w:trPr>
          <w:trHeight w:val="135"/>
        </w:trPr>
        <w:tc>
          <w:tcPr>
            <w:tcW w:w="29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(1,000,000 units)</w:t>
            </w:r>
          </w:p>
        </w:tc>
        <w:tc>
          <w:tcPr>
            <w:tcW w:w="4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11/12/2015</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2,347</w:t>
            </w:r>
          </w:p>
        </w:tc>
        <w:tc>
          <w:tcPr>
            <w:tcW w:w="540" w:type="dxa"/>
            <w:vAlign w:val="bottom"/>
            <w:shd w:val="clear" w:color="auto" w:fill="CCEEFF"/>
          </w:tcPr>
          <w:p>
            <w:pPr>
              <w:spacing w:after="0"/>
              <w:rPr>
                <w:sz w:val="11"/>
                <w:szCs w:val="11"/>
                <w:color w:val="auto"/>
              </w:rPr>
            </w:pPr>
          </w:p>
        </w:tc>
      </w:tr>
      <w:tr>
        <w:trPr>
          <w:trHeight w:val="149"/>
        </w:trPr>
        <w:tc>
          <w:tcPr>
            <w:tcW w:w="1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8,750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10,101</w:t>
            </w:r>
          </w:p>
        </w:tc>
        <w:tc>
          <w:tcPr>
            <w:tcW w:w="2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3%</w:t>
            </w: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Affiliate Investments</w:t>
            </w:r>
          </w:p>
        </w:tc>
        <w:tc>
          <w:tcPr>
            <w:tcW w:w="4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4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5"/>
              </w:rPr>
              <w:t>40,920</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5"/>
              </w:rPr>
              <w:t>77,852</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r>
      <w:tr>
        <w:trPr>
          <w:trHeight w:val="20"/>
        </w:trPr>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8" w:right="4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Consolidated Schedule of Investments (unaudited)</w:t>
      </w:r>
    </w:p>
    <w:p>
      <w:pPr>
        <w:spacing w:after="0" w:line="4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080"/>
          </w:cols>
          <w:pgMar w:left="320" w:top="458" w:right="499" w:bottom="1440" w:gutter="0" w:footer="0" w:header="0"/>
        </w:sectPr>
      </w:pP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920" w:type="dxa"/>
            <w:vAlign w:val="bottom"/>
            <w:gridSpan w:val="4"/>
          </w:tcPr>
          <w:p>
            <w:pPr>
              <w:spacing w:after="0"/>
              <w:rPr>
                <w:sz w:val="20"/>
                <w:szCs w:val="20"/>
                <w:color w:val="auto"/>
              </w:rPr>
            </w:pPr>
            <w:r>
              <w:rPr>
                <w:rFonts w:ascii="Arial" w:cs="Arial" w:eastAsia="Arial" w:hAnsi="Arial"/>
                <w:sz w:val="13"/>
                <w:szCs w:val="13"/>
                <w:b w:val="1"/>
                <w:bCs w:val="1"/>
                <w:color w:val="auto"/>
              </w:rPr>
              <w:t>Portfolio Company (a)(b)</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0"/>
              </w:rPr>
              <w:t>Investment Type (c)</w:t>
            </w:r>
          </w:p>
        </w:tc>
        <w:tc>
          <w:tcPr>
            <w:tcW w:w="200" w:type="dxa"/>
            <w:vAlign w:val="bottom"/>
            <w:tcBorders>
              <w:bottom w:val="single" w:sz="8" w:color="auto"/>
            </w:tcBorders>
          </w:tcPr>
          <w:p>
            <w:pPr>
              <w:spacing w:after="0"/>
              <w:rPr>
                <w:sz w:val="15"/>
                <w:szCs w:val="15"/>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Investments</w:t>
            </w:r>
          </w:p>
        </w:tc>
        <w:tc>
          <w:tcPr>
            <w:tcW w:w="1920" w:type="dxa"/>
            <w:vAlign w:val="bottom"/>
            <w:tcBorders>
              <w:bottom w:val="single" w:sz="8" w:color="auto"/>
            </w:tcBorders>
          </w:tcPr>
          <w:p>
            <w:pPr>
              <w:ind w:left="720"/>
              <w:spacing w:after="0"/>
              <w:rPr>
                <w:sz w:val="20"/>
                <w:szCs w:val="20"/>
                <w:color w:val="auto"/>
              </w:rPr>
            </w:pPr>
            <w:r>
              <w:rPr>
                <w:rFonts w:ascii="Arial" w:cs="Arial" w:eastAsia="Arial" w:hAnsi="Arial"/>
                <w:sz w:val="13"/>
                <w:szCs w:val="13"/>
                <w:b w:val="1"/>
                <w:bCs w:val="1"/>
                <w:color w:val="auto"/>
              </w:rPr>
              <w:t>Industry</w:t>
            </w:r>
          </w:p>
        </w:tc>
        <w:tc>
          <w:tcPr>
            <w:tcW w:w="0" w:type="dxa"/>
            <w:vAlign w:val="bottom"/>
          </w:tcPr>
          <w:p>
            <w:pPr>
              <w:spacing w:after="0"/>
              <w:rPr>
                <w:sz w:val="1"/>
                <w:szCs w:val="1"/>
                <w:color w:val="auto"/>
              </w:rPr>
            </w:pPr>
          </w:p>
        </w:tc>
      </w:tr>
      <w:tr>
        <w:trPr>
          <w:trHeight w:val="95"/>
        </w:trPr>
        <w:tc>
          <w:tcPr>
            <w:tcW w:w="132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rPr>
              <w:t>Non-control/Non-affiliate</w:t>
            </w:r>
          </w:p>
        </w:tc>
        <w:tc>
          <w:tcPr>
            <w:tcW w:w="1600" w:type="dxa"/>
            <w:vAlign w:val="bottom"/>
            <w:gridSpan w:val="2"/>
            <w:vMerge w:val="continue"/>
          </w:tcPr>
          <w:p>
            <w:pPr>
              <w:spacing w:after="0"/>
              <w:rPr>
                <w:sz w:val="8"/>
                <w:szCs w:val="8"/>
                <w:color w:val="auto"/>
              </w:rPr>
            </w:pPr>
          </w:p>
        </w:tc>
        <w:tc>
          <w:tcPr>
            <w:tcW w:w="1920" w:type="dxa"/>
            <w:vAlign w:val="bottom"/>
            <w:vMerge w:val="restart"/>
          </w:tcPr>
          <w:p>
            <w:pPr>
              <w:ind w:left="40"/>
              <w:spacing w:after="0"/>
              <w:rPr>
                <w:sz w:val="20"/>
                <w:szCs w:val="20"/>
                <w:color w:val="auto"/>
              </w:rPr>
            </w:pPr>
            <w:r>
              <w:rPr>
                <w:rFonts w:ascii="Arial" w:cs="Arial" w:eastAsia="Arial" w:hAnsi="Arial"/>
                <w:sz w:val="13"/>
                <w:szCs w:val="13"/>
                <w:color w:val="auto"/>
                <w:w w:val="93"/>
              </w:rPr>
              <w:t>Vending Equipment Manufacturing</w:t>
            </w:r>
          </w:p>
        </w:tc>
        <w:tc>
          <w:tcPr>
            <w:tcW w:w="0" w:type="dxa"/>
            <w:vAlign w:val="bottom"/>
          </w:tcPr>
          <w:p>
            <w:pPr>
              <w:spacing w:after="0"/>
              <w:rPr>
                <w:sz w:val="1"/>
                <w:szCs w:val="1"/>
                <w:color w:val="auto"/>
              </w:rPr>
            </w:pPr>
          </w:p>
        </w:tc>
      </w:tr>
      <w:tr>
        <w:trPr>
          <w:trHeight w:val="114"/>
        </w:trPr>
        <w:tc>
          <w:tcPr>
            <w:tcW w:w="2040" w:type="dxa"/>
            <w:vAlign w:val="bottom"/>
            <w:tcBorders>
              <w:top w:val="single" w:sz="8" w:color="auto"/>
            </w:tcBorders>
            <w:gridSpan w:val="3"/>
          </w:tcPr>
          <w:p>
            <w:pPr>
              <w:spacing w:after="0" w:line="114" w:lineRule="exact"/>
              <w:rPr>
                <w:sz w:val="20"/>
                <w:szCs w:val="20"/>
                <w:color w:val="auto"/>
              </w:rPr>
            </w:pPr>
            <w:r>
              <w:rPr>
                <w:rFonts w:ascii="Arial" w:cs="Arial" w:eastAsia="Arial" w:hAnsi="Arial"/>
                <w:sz w:val="13"/>
                <w:szCs w:val="13"/>
                <w:i w:val="1"/>
                <w:iCs w:val="1"/>
                <w:color w:val="auto"/>
              </w:rPr>
              <w:t>Accent Food Services, LLC</w:t>
            </w:r>
          </w:p>
        </w:tc>
        <w:tc>
          <w:tcPr>
            <w:tcW w:w="8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20" w:type="dxa"/>
            <w:vAlign w:val="bottom"/>
            <w:gridSpan w:val="4"/>
          </w:tcPr>
          <w:p>
            <w:pPr>
              <w:ind w:left="260"/>
              <w:spacing w:after="0" w:line="135" w:lineRule="exact"/>
              <w:rPr>
                <w:sz w:val="20"/>
                <w:szCs w:val="20"/>
                <w:color w:val="auto"/>
              </w:rPr>
            </w:pPr>
            <w:r>
              <w:rPr>
                <w:rFonts w:ascii="Arial" w:cs="Arial" w:eastAsia="Arial" w:hAnsi="Arial"/>
                <w:sz w:val="13"/>
                <w:szCs w:val="13"/>
                <w:color w:val="auto"/>
              </w:rPr>
              <w:t>Second Lien Debt (k)(p)</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20" w:type="dxa"/>
            <w:vAlign w:val="bottom"/>
          </w:tcPr>
          <w:p>
            <w:pPr>
              <w:ind w:left="260"/>
              <w:spacing w:after="0"/>
              <w:rPr>
                <w:sz w:val="20"/>
                <w:szCs w:val="20"/>
                <w:color w:val="auto"/>
              </w:rPr>
            </w:pPr>
            <w:r>
              <w:rPr>
                <w:rFonts w:ascii="Arial" w:cs="Arial" w:eastAsia="Arial" w:hAnsi="Arial"/>
                <w:sz w:val="13"/>
                <w:szCs w:val="13"/>
                <w:color w:val="auto"/>
                <w:w w:val="90"/>
              </w:rPr>
              <w:t>Common Equity</w:t>
            </w:r>
          </w:p>
        </w:tc>
        <w:tc>
          <w:tcPr>
            <w:tcW w:w="1800" w:type="dxa"/>
            <w:vAlign w:val="bottom"/>
            <w:gridSpan w:val="3"/>
          </w:tcPr>
          <w:p>
            <w:pPr>
              <w:spacing w:after="0"/>
              <w:rPr>
                <w:sz w:val="20"/>
                <w:szCs w:val="20"/>
                <w:color w:val="auto"/>
              </w:rPr>
            </w:pPr>
            <w:r>
              <w:rPr>
                <w:rFonts w:ascii="Arial" w:cs="Arial" w:eastAsia="Arial" w:hAnsi="Arial"/>
                <w:sz w:val="13"/>
                <w:szCs w:val="13"/>
                <w:color w:val="auto"/>
              </w:rPr>
              <w:t>(7,885 units) (h)(j)</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920" w:type="dxa"/>
            <w:vAlign w:val="bottom"/>
            <w:gridSpan w:val="4"/>
          </w:tcPr>
          <w:p>
            <w:pPr>
              <w:spacing w:after="0"/>
              <w:rPr>
                <w:sz w:val="20"/>
                <w:szCs w:val="20"/>
                <w:color w:val="auto"/>
              </w:rPr>
            </w:pPr>
            <w:r>
              <w:rPr>
                <w:rFonts w:ascii="Arial" w:cs="Arial" w:eastAsia="Arial" w:hAnsi="Arial"/>
                <w:sz w:val="13"/>
                <w:szCs w:val="13"/>
                <w:i w:val="1"/>
                <w:iCs w:val="1"/>
                <w:color w:val="auto"/>
              </w:rPr>
              <w:t>Allied 100 Group, Inc.</w:t>
            </w:r>
          </w:p>
        </w:tc>
        <w:tc>
          <w:tcPr>
            <w:tcW w:w="1920" w:type="dxa"/>
            <w:vAlign w:val="bottom"/>
          </w:tcPr>
          <w:p>
            <w:pPr>
              <w:ind w:left="40"/>
              <w:spacing w:after="0"/>
              <w:rPr>
                <w:sz w:val="20"/>
                <w:szCs w:val="20"/>
                <w:color w:val="auto"/>
              </w:rPr>
            </w:pPr>
            <w:r>
              <w:rPr>
                <w:rFonts w:ascii="Arial" w:cs="Arial" w:eastAsia="Arial" w:hAnsi="Arial"/>
                <w:sz w:val="13"/>
                <w:szCs w:val="13"/>
                <w:color w:val="auto"/>
              </w:rPr>
              <w:t>Healthcare Products</w:t>
            </w:r>
          </w:p>
        </w:tc>
        <w:tc>
          <w:tcPr>
            <w:tcW w:w="0" w:type="dxa"/>
            <w:vAlign w:val="bottom"/>
          </w:tcPr>
          <w:p>
            <w:pPr>
              <w:spacing w:after="0"/>
              <w:rPr>
                <w:sz w:val="1"/>
                <w:szCs w:val="1"/>
                <w:color w:val="auto"/>
              </w:rPr>
            </w:pPr>
          </w:p>
        </w:tc>
      </w:tr>
      <w:tr>
        <w:trPr>
          <w:trHeight w:val="135"/>
        </w:trPr>
        <w:tc>
          <w:tcPr>
            <w:tcW w:w="2920" w:type="dxa"/>
            <w:vAlign w:val="bottom"/>
            <w:gridSpan w:val="4"/>
          </w:tcPr>
          <w:p>
            <w:pPr>
              <w:ind w:left="260"/>
              <w:spacing w:after="0" w:line="135" w:lineRule="exact"/>
              <w:rPr>
                <w:sz w:val="20"/>
                <w:szCs w:val="20"/>
                <w:color w:val="auto"/>
              </w:rPr>
            </w:pPr>
            <w:r>
              <w:rPr>
                <w:rFonts w:ascii="Arial" w:cs="Arial" w:eastAsia="Arial" w:hAnsi="Arial"/>
                <w:sz w:val="13"/>
                <w:szCs w:val="13"/>
                <w:color w:val="auto"/>
              </w:rPr>
              <w:t>Subordinated Debt (k)</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20" w:type="dxa"/>
            <w:vAlign w:val="bottom"/>
          </w:tcPr>
          <w:p>
            <w:pPr>
              <w:ind w:left="260"/>
              <w:spacing w:after="0"/>
              <w:rPr>
                <w:sz w:val="20"/>
                <w:szCs w:val="20"/>
                <w:color w:val="auto"/>
              </w:rPr>
            </w:pPr>
            <w:r>
              <w:rPr>
                <w:rFonts w:ascii="Arial" w:cs="Arial" w:eastAsia="Arial" w:hAnsi="Arial"/>
                <w:sz w:val="13"/>
                <w:szCs w:val="13"/>
                <w:color w:val="auto"/>
                <w:w w:val="90"/>
              </w:rPr>
              <w:t>Common Equity</w:t>
            </w:r>
          </w:p>
        </w:tc>
        <w:tc>
          <w:tcPr>
            <w:tcW w:w="1800" w:type="dxa"/>
            <w:vAlign w:val="bottom"/>
            <w:gridSpan w:val="3"/>
          </w:tcPr>
          <w:p>
            <w:pPr>
              <w:spacing w:after="0"/>
              <w:rPr>
                <w:sz w:val="20"/>
                <w:szCs w:val="20"/>
                <w:color w:val="auto"/>
              </w:rPr>
            </w:pPr>
            <w:r>
              <w:rPr>
                <w:rFonts w:ascii="Arial" w:cs="Arial" w:eastAsia="Arial" w:hAnsi="Arial"/>
                <w:sz w:val="13"/>
                <w:szCs w:val="13"/>
                <w:color w:val="auto"/>
              </w:rPr>
              <w:t>(625,000 units) (j)</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920" w:type="dxa"/>
            <w:vAlign w:val="bottom"/>
            <w:gridSpan w:val="4"/>
          </w:tcPr>
          <w:p>
            <w:pPr>
              <w:spacing w:after="0"/>
              <w:rPr>
                <w:sz w:val="20"/>
                <w:szCs w:val="20"/>
                <w:color w:val="auto"/>
              </w:rPr>
            </w:pPr>
            <w:r>
              <w:rPr>
                <w:rFonts w:ascii="Arial" w:cs="Arial" w:eastAsia="Arial" w:hAnsi="Arial"/>
                <w:sz w:val="13"/>
                <w:szCs w:val="13"/>
                <w:i w:val="1"/>
                <w:iCs w:val="1"/>
                <w:color w:val="auto"/>
              </w:rPr>
              <w:t>Allredi, LLC (fka Marco Group International OpCo,</w:t>
            </w: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40"/>
              <w:spacing w:after="0" w:line="135" w:lineRule="exact"/>
              <w:rPr>
                <w:sz w:val="20"/>
                <w:szCs w:val="20"/>
                <w:color w:val="auto"/>
              </w:rPr>
            </w:pPr>
            <w:r>
              <w:rPr>
                <w:rFonts w:ascii="Arial" w:cs="Arial" w:eastAsia="Arial" w:hAnsi="Arial"/>
                <w:sz w:val="13"/>
                <w:szCs w:val="13"/>
                <w:i w:val="1"/>
                <w:iCs w:val="1"/>
                <w:color w:val="auto"/>
              </w:rPr>
              <w:t>LLC)</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20" w:type="dxa"/>
            <w:vAlign w:val="bottom"/>
          </w:tcPr>
          <w:p>
            <w:pPr>
              <w:ind w:left="40"/>
              <w:spacing w:after="0" w:line="135" w:lineRule="exact"/>
              <w:rPr>
                <w:sz w:val="20"/>
                <w:szCs w:val="20"/>
                <w:color w:val="auto"/>
              </w:rPr>
            </w:pPr>
            <w:r>
              <w:rPr>
                <w:rFonts w:ascii="Arial" w:cs="Arial" w:eastAsia="Arial" w:hAnsi="Arial"/>
                <w:sz w:val="13"/>
                <w:szCs w:val="13"/>
                <w:color w:val="auto"/>
              </w:rPr>
              <w:t>Industrial Cleaning &amp; Coatings</w:t>
            </w:r>
          </w:p>
        </w:tc>
        <w:tc>
          <w:tcPr>
            <w:tcW w:w="0" w:type="dxa"/>
            <w:vAlign w:val="bottom"/>
          </w:tcPr>
          <w:p>
            <w:pPr>
              <w:spacing w:after="0"/>
              <w:rPr>
                <w:sz w:val="1"/>
                <w:szCs w:val="1"/>
                <w:color w:val="auto"/>
              </w:rPr>
            </w:pPr>
          </w:p>
        </w:tc>
      </w:tr>
      <w:tr>
        <w:trPr>
          <w:trHeight w:val="135"/>
        </w:trPr>
        <w:tc>
          <w:tcPr>
            <w:tcW w:w="2920" w:type="dxa"/>
            <w:vAlign w:val="bottom"/>
            <w:gridSpan w:val="4"/>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20" w:type="dxa"/>
            <w:vAlign w:val="bottom"/>
          </w:tcPr>
          <w:p>
            <w:pPr>
              <w:ind w:left="260"/>
              <w:spacing w:after="0"/>
              <w:rPr>
                <w:sz w:val="20"/>
                <w:szCs w:val="20"/>
                <w:color w:val="auto"/>
              </w:rPr>
            </w:pPr>
            <w:r>
              <w:rPr>
                <w:rFonts w:ascii="Arial" w:cs="Arial" w:eastAsia="Arial" w:hAnsi="Arial"/>
                <w:sz w:val="13"/>
                <w:szCs w:val="13"/>
                <w:color w:val="auto"/>
                <w:w w:val="90"/>
              </w:rPr>
              <w:t>Common Equity</w:t>
            </w:r>
          </w:p>
        </w:tc>
        <w:tc>
          <w:tcPr>
            <w:tcW w:w="1800" w:type="dxa"/>
            <w:vAlign w:val="bottom"/>
            <w:gridSpan w:val="3"/>
          </w:tcPr>
          <w:p>
            <w:pPr>
              <w:spacing w:after="0"/>
              <w:rPr>
                <w:sz w:val="20"/>
                <w:szCs w:val="20"/>
                <w:color w:val="auto"/>
              </w:rPr>
            </w:pPr>
            <w:r>
              <w:rPr>
                <w:rFonts w:ascii="Arial" w:cs="Arial" w:eastAsia="Arial" w:hAnsi="Arial"/>
                <w:sz w:val="13"/>
                <w:szCs w:val="13"/>
                <w:color w:val="auto"/>
              </w:rPr>
              <w:t>(570,636 units) (h)(j)</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920" w:type="dxa"/>
            <w:vAlign w:val="bottom"/>
            <w:gridSpan w:val="4"/>
          </w:tcPr>
          <w:p>
            <w:pPr>
              <w:spacing w:after="0"/>
              <w:rPr>
                <w:sz w:val="20"/>
                <w:szCs w:val="20"/>
                <w:color w:val="auto"/>
              </w:rPr>
            </w:pPr>
            <w:r>
              <w:rPr>
                <w:rFonts w:ascii="Arial" w:cs="Arial" w:eastAsia="Arial" w:hAnsi="Arial"/>
                <w:sz w:val="13"/>
                <w:szCs w:val="13"/>
                <w:i w:val="1"/>
                <w:iCs w:val="1"/>
                <w:color w:val="auto"/>
              </w:rPr>
              <w:t>Alzheimer’s Research and Treatment Center, LLC</w:t>
            </w:r>
          </w:p>
        </w:tc>
        <w:tc>
          <w:tcPr>
            <w:tcW w:w="1920" w:type="dxa"/>
            <w:vAlign w:val="bottom"/>
          </w:tcPr>
          <w:p>
            <w:pPr>
              <w:ind w:left="40"/>
              <w:spacing w:after="0"/>
              <w:rPr>
                <w:sz w:val="20"/>
                <w:szCs w:val="20"/>
                <w:color w:val="auto"/>
              </w:rPr>
            </w:pPr>
            <w:r>
              <w:rPr>
                <w:rFonts w:ascii="Arial" w:cs="Arial" w:eastAsia="Arial" w:hAnsi="Arial"/>
                <w:sz w:val="13"/>
                <w:szCs w:val="13"/>
                <w:color w:val="auto"/>
              </w:rPr>
              <w:t>Healthcare Services</w:t>
            </w:r>
          </w:p>
        </w:tc>
        <w:tc>
          <w:tcPr>
            <w:tcW w:w="0" w:type="dxa"/>
            <w:vAlign w:val="bottom"/>
          </w:tcPr>
          <w:p>
            <w:pPr>
              <w:spacing w:after="0"/>
              <w:rPr>
                <w:sz w:val="1"/>
                <w:szCs w:val="1"/>
                <w:color w:val="auto"/>
              </w:rPr>
            </w:pPr>
          </w:p>
        </w:tc>
      </w:tr>
      <w:tr>
        <w:trPr>
          <w:trHeight w:val="135"/>
        </w:trPr>
        <w:tc>
          <w:tcPr>
            <w:tcW w:w="2920" w:type="dxa"/>
            <w:vAlign w:val="bottom"/>
            <w:gridSpan w:val="4"/>
          </w:tcPr>
          <w:p>
            <w:pPr>
              <w:ind w:left="260"/>
              <w:spacing w:after="0" w:line="135" w:lineRule="exact"/>
              <w:rPr>
                <w:sz w:val="20"/>
                <w:szCs w:val="20"/>
                <w:color w:val="auto"/>
              </w:rPr>
            </w:pPr>
            <w:r>
              <w:rPr>
                <w:rFonts w:ascii="Arial" w:cs="Arial" w:eastAsia="Arial" w:hAnsi="Arial"/>
                <w:sz w:val="13"/>
                <w:szCs w:val="13"/>
                <w:color w:val="auto"/>
              </w:rPr>
              <w:t>First Lien Debt (j)(w)</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20" w:type="dxa"/>
            <w:vAlign w:val="bottom"/>
          </w:tcPr>
          <w:p>
            <w:pPr>
              <w:ind w:left="260"/>
              <w:spacing w:after="0"/>
              <w:rPr>
                <w:sz w:val="20"/>
                <w:szCs w:val="20"/>
                <w:color w:val="auto"/>
              </w:rPr>
            </w:pPr>
            <w:r>
              <w:rPr>
                <w:rFonts w:ascii="Arial" w:cs="Arial" w:eastAsia="Arial" w:hAnsi="Arial"/>
                <w:sz w:val="13"/>
                <w:szCs w:val="13"/>
                <w:color w:val="auto"/>
                <w:w w:val="90"/>
              </w:rPr>
              <w:t>Common Equity</w:t>
            </w:r>
          </w:p>
        </w:tc>
        <w:tc>
          <w:tcPr>
            <w:tcW w:w="1800" w:type="dxa"/>
            <w:vAlign w:val="bottom"/>
            <w:gridSpan w:val="3"/>
          </w:tcPr>
          <w:p>
            <w:pPr>
              <w:spacing w:after="0"/>
              <w:rPr>
                <w:sz w:val="20"/>
                <w:szCs w:val="20"/>
                <w:color w:val="auto"/>
              </w:rPr>
            </w:pPr>
            <w:r>
              <w:rPr>
                <w:rFonts w:ascii="Arial" w:cs="Arial" w:eastAsia="Arial" w:hAnsi="Arial"/>
                <w:sz w:val="13"/>
                <w:szCs w:val="13"/>
                <w:color w:val="auto"/>
              </w:rPr>
              <w:t>(500 units) (h)(j)</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920" w:type="dxa"/>
            <w:vAlign w:val="bottom"/>
            <w:gridSpan w:val="4"/>
          </w:tcPr>
          <w:p>
            <w:pPr>
              <w:spacing w:after="0"/>
              <w:rPr>
                <w:sz w:val="20"/>
                <w:szCs w:val="20"/>
                <w:color w:val="auto"/>
              </w:rPr>
            </w:pPr>
            <w:r>
              <w:rPr>
                <w:rFonts w:ascii="Arial" w:cs="Arial" w:eastAsia="Arial" w:hAnsi="Arial"/>
                <w:sz w:val="13"/>
                <w:szCs w:val="13"/>
                <w:i w:val="1"/>
                <w:iCs w:val="1"/>
                <w:color w:val="auto"/>
                <w:w w:val="96"/>
              </w:rPr>
              <w:t>American AllWaste LLC (dba WasteWater Transport</w:t>
            </w: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line="135" w:lineRule="exact"/>
              <w:rPr>
                <w:sz w:val="20"/>
                <w:szCs w:val="20"/>
                <w:color w:val="auto"/>
              </w:rPr>
            </w:pPr>
            <w:r>
              <w:rPr>
                <w:rFonts w:ascii="Arial" w:cs="Arial" w:eastAsia="Arial" w:hAnsi="Arial"/>
                <w:sz w:val="13"/>
                <w:szCs w:val="13"/>
                <w:i w:val="1"/>
                <w:iCs w:val="1"/>
                <w:color w:val="auto"/>
              </w:rPr>
              <w:t>Services)</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20" w:type="dxa"/>
            <w:vAlign w:val="bottom"/>
          </w:tcPr>
          <w:p>
            <w:pPr>
              <w:ind w:left="40"/>
              <w:spacing w:after="0" w:line="135" w:lineRule="exact"/>
              <w:rPr>
                <w:sz w:val="20"/>
                <w:szCs w:val="20"/>
                <w:color w:val="auto"/>
              </w:rPr>
            </w:pPr>
            <w:r>
              <w:rPr>
                <w:rFonts w:ascii="Arial" w:cs="Arial" w:eastAsia="Arial" w:hAnsi="Arial"/>
                <w:sz w:val="13"/>
                <w:szCs w:val="13"/>
                <w:color w:val="auto"/>
              </w:rPr>
              <w:t>Environmental Industries</w:t>
            </w:r>
          </w:p>
        </w:tc>
        <w:tc>
          <w:tcPr>
            <w:tcW w:w="0" w:type="dxa"/>
            <w:vAlign w:val="bottom"/>
          </w:tcPr>
          <w:p>
            <w:pPr>
              <w:spacing w:after="0"/>
              <w:rPr>
                <w:sz w:val="1"/>
                <w:szCs w:val="1"/>
                <w:color w:val="auto"/>
              </w:rPr>
            </w:pPr>
          </w:p>
        </w:tc>
      </w:tr>
      <w:tr>
        <w:trPr>
          <w:trHeight w:val="135"/>
        </w:trPr>
        <w:tc>
          <w:tcPr>
            <w:tcW w:w="2920" w:type="dxa"/>
            <w:vAlign w:val="bottom"/>
            <w:gridSpan w:val="4"/>
          </w:tcPr>
          <w:p>
            <w:pPr>
              <w:ind w:left="260"/>
              <w:spacing w:after="0" w:line="135" w:lineRule="exact"/>
              <w:rPr>
                <w:sz w:val="20"/>
                <w:szCs w:val="20"/>
                <w:color w:val="auto"/>
              </w:rPr>
            </w:pPr>
            <w:r>
              <w:rPr>
                <w:rFonts w:ascii="Arial" w:cs="Arial" w:eastAsia="Arial" w:hAnsi="Arial"/>
                <w:sz w:val="13"/>
                <w:szCs w:val="13"/>
                <w:color w:val="auto"/>
              </w:rPr>
              <w:t>Second Lien Debt (j)</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60"/>
              <w:spacing w:after="0" w:line="135" w:lineRule="exact"/>
              <w:rPr>
                <w:sz w:val="20"/>
                <w:szCs w:val="20"/>
                <w:color w:val="auto"/>
              </w:rPr>
            </w:pPr>
            <w:r>
              <w:rPr>
                <w:rFonts w:ascii="Arial" w:cs="Arial" w:eastAsia="Arial" w:hAnsi="Arial"/>
                <w:sz w:val="13"/>
                <w:szCs w:val="13"/>
                <w:color w:val="auto"/>
                <w:w w:val="89"/>
              </w:rPr>
              <w:t>Preferred Equity</w:t>
            </w:r>
          </w:p>
        </w:tc>
        <w:tc>
          <w:tcPr>
            <w:tcW w:w="1800" w:type="dxa"/>
            <w:vAlign w:val="bottom"/>
            <w:gridSpan w:val="3"/>
          </w:tcPr>
          <w:p>
            <w:pPr>
              <w:spacing w:after="0" w:line="135" w:lineRule="exact"/>
              <w:rPr>
                <w:sz w:val="20"/>
                <w:szCs w:val="20"/>
                <w:color w:val="auto"/>
              </w:rPr>
            </w:pPr>
            <w:r>
              <w:rPr>
                <w:rFonts w:ascii="Arial" w:cs="Arial" w:eastAsia="Arial" w:hAnsi="Arial"/>
                <w:sz w:val="13"/>
                <w:szCs w:val="13"/>
                <w:color w:val="auto"/>
              </w:rPr>
              <w:t>(500 units) (h)(j)</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20" w:type="dxa"/>
            <w:vAlign w:val="bottom"/>
          </w:tcPr>
          <w:p>
            <w:pPr>
              <w:ind w:left="260"/>
              <w:spacing w:after="0"/>
              <w:rPr>
                <w:sz w:val="20"/>
                <w:szCs w:val="20"/>
                <w:color w:val="auto"/>
              </w:rPr>
            </w:pPr>
            <w:r>
              <w:rPr>
                <w:rFonts w:ascii="Arial" w:cs="Arial" w:eastAsia="Arial" w:hAnsi="Arial"/>
                <w:sz w:val="13"/>
                <w:szCs w:val="13"/>
                <w:color w:val="auto"/>
                <w:w w:val="89"/>
              </w:rPr>
              <w:t>Preferred Equity</w:t>
            </w:r>
          </w:p>
        </w:tc>
        <w:tc>
          <w:tcPr>
            <w:tcW w:w="1800" w:type="dxa"/>
            <w:vAlign w:val="bottom"/>
            <w:gridSpan w:val="3"/>
          </w:tcPr>
          <w:p>
            <w:pPr>
              <w:spacing w:after="0"/>
              <w:rPr>
                <w:sz w:val="20"/>
                <w:szCs w:val="20"/>
                <w:color w:val="auto"/>
              </w:rPr>
            </w:pPr>
            <w:r>
              <w:rPr>
                <w:rFonts w:ascii="Arial" w:cs="Arial" w:eastAsia="Arial" w:hAnsi="Arial"/>
                <w:sz w:val="13"/>
                <w:szCs w:val="13"/>
                <w:color w:val="auto"/>
              </w:rPr>
              <w:t>(207 units) (h)(j)</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920" w:type="dxa"/>
            <w:vAlign w:val="bottom"/>
            <w:gridSpan w:val="4"/>
          </w:tcPr>
          <w:p>
            <w:pPr>
              <w:spacing w:after="0"/>
              <w:rPr>
                <w:sz w:val="20"/>
                <w:szCs w:val="20"/>
                <w:color w:val="auto"/>
              </w:rPr>
            </w:pPr>
            <w:r>
              <w:rPr>
                <w:rFonts w:ascii="Arial" w:cs="Arial" w:eastAsia="Arial" w:hAnsi="Arial"/>
                <w:sz w:val="13"/>
                <w:szCs w:val="13"/>
                <w:i w:val="1"/>
                <w:iCs w:val="1"/>
                <w:color w:val="auto"/>
              </w:rPr>
              <w:t>Argo Turboserve Corporation</w:t>
            </w:r>
          </w:p>
        </w:tc>
        <w:tc>
          <w:tcPr>
            <w:tcW w:w="1920" w:type="dxa"/>
            <w:vAlign w:val="bottom"/>
          </w:tcPr>
          <w:p>
            <w:pPr>
              <w:ind w:left="40"/>
              <w:spacing w:after="0"/>
              <w:rPr>
                <w:sz w:val="20"/>
                <w:szCs w:val="20"/>
                <w:color w:val="auto"/>
              </w:rPr>
            </w:pPr>
            <w:r>
              <w:rPr>
                <w:rFonts w:ascii="Arial" w:cs="Arial" w:eastAsia="Arial" w:hAnsi="Arial"/>
                <w:sz w:val="13"/>
                <w:szCs w:val="13"/>
                <w:color w:val="auto"/>
              </w:rPr>
              <w:t>Business Services</w:t>
            </w:r>
          </w:p>
        </w:tc>
        <w:tc>
          <w:tcPr>
            <w:tcW w:w="0" w:type="dxa"/>
            <w:vAlign w:val="bottom"/>
          </w:tcPr>
          <w:p>
            <w:pPr>
              <w:spacing w:after="0"/>
              <w:rPr>
                <w:sz w:val="1"/>
                <w:szCs w:val="1"/>
                <w:color w:val="auto"/>
              </w:rPr>
            </w:pPr>
          </w:p>
        </w:tc>
      </w:tr>
      <w:tr>
        <w:trPr>
          <w:trHeight w:val="158"/>
        </w:trPr>
        <w:tc>
          <w:tcPr>
            <w:tcW w:w="2920" w:type="dxa"/>
            <w:vAlign w:val="bottom"/>
            <w:gridSpan w:val="4"/>
          </w:tcPr>
          <w:p>
            <w:pPr>
              <w:ind w:left="260"/>
              <w:spacing w:after="0"/>
              <w:rPr>
                <w:sz w:val="20"/>
                <w:szCs w:val="20"/>
                <w:color w:val="auto"/>
              </w:rPr>
            </w:pPr>
            <w:r>
              <w:rPr>
                <w:rFonts w:ascii="Arial" w:cs="Arial" w:eastAsia="Arial" w:hAnsi="Arial"/>
                <w:sz w:val="13"/>
                <w:szCs w:val="13"/>
                <w:color w:val="auto"/>
              </w:rPr>
              <w:t>Second Lien Debt (j)</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920" w:type="dxa"/>
            <w:vAlign w:val="bottom"/>
            <w:gridSpan w:val="4"/>
          </w:tcPr>
          <w:p>
            <w:pPr>
              <w:spacing w:after="0"/>
              <w:rPr>
                <w:sz w:val="20"/>
                <w:szCs w:val="20"/>
                <w:color w:val="auto"/>
              </w:rPr>
            </w:pPr>
            <w:r>
              <w:rPr>
                <w:rFonts w:ascii="Arial" w:cs="Arial" w:eastAsia="Arial" w:hAnsi="Arial"/>
                <w:sz w:val="13"/>
                <w:szCs w:val="13"/>
                <w:i w:val="1"/>
                <w:iCs w:val="1"/>
                <w:color w:val="auto"/>
              </w:rPr>
              <w:t>AVC Investors, LLC (dba Auveco)</w:t>
            </w:r>
          </w:p>
        </w:tc>
        <w:tc>
          <w:tcPr>
            <w:tcW w:w="1920" w:type="dxa"/>
            <w:vAlign w:val="bottom"/>
          </w:tcPr>
          <w:p>
            <w:pPr>
              <w:ind w:left="40"/>
              <w:spacing w:after="0"/>
              <w:rPr>
                <w:sz w:val="20"/>
                <w:szCs w:val="20"/>
                <w:color w:val="auto"/>
              </w:rPr>
            </w:pPr>
            <w:r>
              <w:rPr>
                <w:rFonts w:ascii="Arial" w:cs="Arial" w:eastAsia="Arial" w:hAnsi="Arial"/>
                <w:sz w:val="13"/>
                <w:szCs w:val="13"/>
                <w:color w:val="auto"/>
              </w:rPr>
              <w:t>Specialty Distribution</w:t>
            </w:r>
          </w:p>
        </w:tc>
        <w:tc>
          <w:tcPr>
            <w:tcW w:w="0" w:type="dxa"/>
            <w:vAlign w:val="bottom"/>
          </w:tcPr>
          <w:p>
            <w:pPr>
              <w:spacing w:after="0"/>
              <w:rPr>
                <w:sz w:val="1"/>
                <w:szCs w:val="1"/>
                <w:color w:val="auto"/>
              </w:rPr>
            </w:pPr>
          </w:p>
        </w:tc>
      </w:tr>
      <w:tr>
        <w:trPr>
          <w:trHeight w:val="135"/>
        </w:trPr>
        <w:tc>
          <w:tcPr>
            <w:tcW w:w="2920" w:type="dxa"/>
            <w:vAlign w:val="bottom"/>
            <w:gridSpan w:val="4"/>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20" w:type="dxa"/>
            <w:vAlign w:val="bottom"/>
          </w:tcPr>
          <w:p>
            <w:pPr>
              <w:ind w:left="260"/>
              <w:spacing w:after="0"/>
              <w:rPr>
                <w:sz w:val="20"/>
                <w:szCs w:val="20"/>
                <w:color w:val="auto"/>
              </w:rPr>
            </w:pPr>
            <w:r>
              <w:rPr>
                <w:rFonts w:ascii="Arial" w:cs="Arial" w:eastAsia="Arial" w:hAnsi="Arial"/>
                <w:sz w:val="13"/>
                <w:szCs w:val="13"/>
                <w:color w:val="auto"/>
                <w:w w:val="90"/>
              </w:rPr>
              <w:t>Common Equity</w:t>
            </w:r>
          </w:p>
        </w:tc>
        <w:tc>
          <w:tcPr>
            <w:tcW w:w="1800" w:type="dxa"/>
            <w:vAlign w:val="bottom"/>
            <w:gridSpan w:val="3"/>
          </w:tcPr>
          <w:p>
            <w:pPr>
              <w:spacing w:after="0"/>
              <w:rPr>
                <w:sz w:val="20"/>
                <w:szCs w:val="20"/>
                <w:color w:val="auto"/>
              </w:rPr>
            </w:pPr>
            <w:r>
              <w:rPr>
                <w:rFonts w:ascii="Arial" w:cs="Arial" w:eastAsia="Arial" w:hAnsi="Arial"/>
                <w:sz w:val="13"/>
                <w:szCs w:val="13"/>
                <w:color w:val="auto"/>
              </w:rPr>
              <w:t>(5,000 units) (j)</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920" w:type="dxa"/>
            <w:vAlign w:val="bottom"/>
            <w:gridSpan w:val="4"/>
          </w:tcPr>
          <w:p>
            <w:pPr>
              <w:spacing w:after="0"/>
              <w:rPr>
                <w:sz w:val="20"/>
                <w:szCs w:val="20"/>
                <w:color w:val="auto"/>
              </w:rPr>
            </w:pPr>
            <w:r>
              <w:rPr>
                <w:rFonts w:ascii="Arial" w:cs="Arial" w:eastAsia="Arial" w:hAnsi="Arial"/>
                <w:sz w:val="13"/>
                <w:szCs w:val="13"/>
                <w:i w:val="1"/>
                <w:iCs w:val="1"/>
                <w:color w:val="auto"/>
              </w:rPr>
              <w:t>B&amp;B Roadway and Security Solutions, LLC</w:t>
            </w:r>
          </w:p>
        </w:tc>
        <w:tc>
          <w:tcPr>
            <w:tcW w:w="1920" w:type="dxa"/>
            <w:vAlign w:val="bottom"/>
          </w:tcPr>
          <w:p>
            <w:pPr>
              <w:ind w:left="40"/>
              <w:spacing w:after="0"/>
              <w:rPr>
                <w:sz w:val="20"/>
                <w:szCs w:val="20"/>
                <w:color w:val="auto"/>
              </w:rPr>
            </w:pPr>
            <w:r>
              <w:rPr>
                <w:rFonts w:ascii="Arial" w:cs="Arial" w:eastAsia="Arial" w:hAnsi="Arial"/>
                <w:sz w:val="13"/>
                <w:szCs w:val="13"/>
                <w:color w:val="auto"/>
              </w:rPr>
              <w:t>Component Manufacturing</w:t>
            </w:r>
          </w:p>
        </w:tc>
        <w:tc>
          <w:tcPr>
            <w:tcW w:w="0" w:type="dxa"/>
            <w:vAlign w:val="bottom"/>
          </w:tcPr>
          <w:p>
            <w:pPr>
              <w:spacing w:after="0"/>
              <w:rPr>
                <w:sz w:val="1"/>
                <w:szCs w:val="1"/>
                <w:color w:val="auto"/>
              </w:rPr>
            </w:pPr>
          </w:p>
        </w:tc>
      </w:tr>
      <w:tr>
        <w:trPr>
          <w:trHeight w:val="135"/>
        </w:trPr>
        <w:tc>
          <w:tcPr>
            <w:tcW w:w="2920" w:type="dxa"/>
            <w:vAlign w:val="bottom"/>
            <w:gridSpan w:val="4"/>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20" w:type="dxa"/>
            <w:vAlign w:val="bottom"/>
          </w:tcPr>
          <w:p>
            <w:pPr>
              <w:ind w:left="260"/>
              <w:spacing w:after="0"/>
              <w:rPr>
                <w:sz w:val="20"/>
                <w:szCs w:val="20"/>
                <w:color w:val="auto"/>
              </w:rPr>
            </w:pPr>
            <w:r>
              <w:rPr>
                <w:rFonts w:ascii="Arial" w:cs="Arial" w:eastAsia="Arial" w:hAnsi="Arial"/>
                <w:sz w:val="13"/>
                <w:szCs w:val="13"/>
                <w:color w:val="auto"/>
                <w:w w:val="90"/>
              </w:rPr>
              <w:t>Common Equity</w:t>
            </w:r>
          </w:p>
        </w:tc>
        <w:tc>
          <w:tcPr>
            <w:tcW w:w="1800" w:type="dxa"/>
            <w:vAlign w:val="bottom"/>
            <w:gridSpan w:val="3"/>
          </w:tcPr>
          <w:p>
            <w:pPr>
              <w:spacing w:after="0"/>
              <w:rPr>
                <w:sz w:val="20"/>
                <w:szCs w:val="20"/>
                <w:color w:val="auto"/>
              </w:rPr>
            </w:pPr>
            <w:r>
              <w:rPr>
                <w:rFonts w:ascii="Arial" w:cs="Arial" w:eastAsia="Arial" w:hAnsi="Arial"/>
                <w:sz w:val="13"/>
                <w:szCs w:val="13"/>
                <w:color w:val="auto"/>
              </w:rPr>
              <w:t>(50,000 units) (h)(j)</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920" w:type="dxa"/>
            <w:vAlign w:val="bottom"/>
            <w:gridSpan w:val="4"/>
          </w:tcPr>
          <w:p>
            <w:pPr>
              <w:spacing w:after="0"/>
              <w:rPr>
                <w:sz w:val="20"/>
                <w:szCs w:val="20"/>
                <w:color w:val="auto"/>
              </w:rPr>
            </w:pPr>
            <w:r>
              <w:rPr>
                <w:rFonts w:ascii="Arial" w:cs="Arial" w:eastAsia="Arial" w:hAnsi="Arial"/>
                <w:sz w:val="13"/>
                <w:szCs w:val="13"/>
                <w:i w:val="1"/>
                <w:iCs w:val="1"/>
                <w:color w:val="auto"/>
              </w:rPr>
              <w:t>Bandon Fitness (Texas), Inc.</w:t>
            </w:r>
          </w:p>
        </w:tc>
        <w:tc>
          <w:tcPr>
            <w:tcW w:w="1920" w:type="dxa"/>
            <w:vAlign w:val="bottom"/>
          </w:tcPr>
          <w:p>
            <w:pPr>
              <w:ind w:left="40"/>
              <w:spacing w:after="0"/>
              <w:rPr>
                <w:sz w:val="20"/>
                <w:szCs w:val="20"/>
                <w:color w:val="auto"/>
              </w:rPr>
            </w:pPr>
            <w:r>
              <w:rPr>
                <w:rFonts w:ascii="Arial" w:cs="Arial" w:eastAsia="Arial" w:hAnsi="Arial"/>
                <w:sz w:val="13"/>
                <w:szCs w:val="13"/>
                <w:color w:val="auto"/>
              </w:rPr>
              <w:t>Retail</w:t>
            </w:r>
          </w:p>
        </w:tc>
        <w:tc>
          <w:tcPr>
            <w:tcW w:w="0" w:type="dxa"/>
            <w:vAlign w:val="bottom"/>
          </w:tcPr>
          <w:p>
            <w:pPr>
              <w:spacing w:after="0"/>
              <w:rPr>
                <w:sz w:val="1"/>
                <w:szCs w:val="1"/>
                <w:color w:val="auto"/>
              </w:rPr>
            </w:pPr>
          </w:p>
        </w:tc>
      </w:tr>
      <w:tr>
        <w:trPr>
          <w:trHeight w:val="135"/>
        </w:trPr>
        <w:tc>
          <w:tcPr>
            <w:tcW w:w="2920" w:type="dxa"/>
            <w:vAlign w:val="bottom"/>
            <w:gridSpan w:val="4"/>
          </w:tcPr>
          <w:p>
            <w:pPr>
              <w:ind w:left="260"/>
              <w:spacing w:after="0" w:line="135" w:lineRule="exact"/>
              <w:rPr>
                <w:sz w:val="20"/>
                <w:szCs w:val="20"/>
                <w:color w:val="auto"/>
              </w:rPr>
            </w:pPr>
            <w:r>
              <w:rPr>
                <w:rFonts w:ascii="Arial" w:cs="Arial" w:eastAsia="Arial" w:hAnsi="Arial"/>
                <w:sz w:val="13"/>
                <w:szCs w:val="13"/>
                <w:color w:val="auto"/>
              </w:rPr>
              <w:t>First Lien Debt (j)(z)</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20" w:type="dxa"/>
            <w:vAlign w:val="bottom"/>
          </w:tcPr>
          <w:p>
            <w:pPr>
              <w:ind w:left="260"/>
              <w:spacing w:after="0"/>
              <w:rPr>
                <w:sz w:val="20"/>
                <w:szCs w:val="20"/>
                <w:color w:val="auto"/>
              </w:rPr>
            </w:pPr>
            <w:r>
              <w:rPr>
                <w:rFonts w:ascii="Arial" w:cs="Arial" w:eastAsia="Arial" w:hAnsi="Arial"/>
                <w:sz w:val="13"/>
                <w:szCs w:val="13"/>
                <w:color w:val="auto"/>
                <w:w w:val="90"/>
              </w:rPr>
              <w:t>Common Equity</w:t>
            </w:r>
          </w:p>
        </w:tc>
        <w:tc>
          <w:tcPr>
            <w:tcW w:w="1800" w:type="dxa"/>
            <w:vAlign w:val="bottom"/>
            <w:gridSpan w:val="3"/>
          </w:tcPr>
          <w:p>
            <w:pPr>
              <w:spacing w:after="0"/>
              <w:rPr>
                <w:sz w:val="20"/>
                <w:szCs w:val="20"/>
                <w:color w:val="auto"/>
              </w:rPr>
            </w:pPr>
            <w:r>
              <w:rPr>
                <w:rFonts w:ascii="Arial" w:cs="Arial" w:eastAsia="Arial" w:hAnsi="Arial"/>
                <w:sz w:val="13"/>
                <w:szCs w:val="13"/>
                <w:color w:val="auto"/>
              </w:rPr>
              <w:t>(545,810 units) (j)</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920" w:type="dxa"/>
            <w:vAlign w:val="bottom"/>
            <w:gridSpan w:val="4"/>
          </w:tcPr>
          <w:p>
            <w:pPr>
              <w:spacing w:after="0"/>
              <w:rPr>
                <w:sz w:val="20"/>
                <w:szCs w:val="20"/>
                <w:color w:val="auto"/>
              </w:rPr>
            </w:pPr>
            <w:r>
              <w:rPr>
                <w:rFonts w:ascii="Arial" w:cs="Arial" w:eastAsia="Arial" w:hAnsi="Arial"/>
                <w:sz w:val="13"/>
                <w:szCs w:val="13"/>
                <w:i w:val="1"/>
                <w:iCs w:val="1"/>
                <w:color w:val="auto"/>
              </w:rPr>
              <w:t>BCC Group Holdings, Inc.</w:t>
            </w:r>
          </w:p>
        </w:tc>
        <w:tc>
          <w:tcPr>
            <w:tcW w:w="1920" w:type="dxa"/>
            <w:vAlign w:val="bottom"/>
          </w:tcPr>
          <w:p>
            <w:pPr>
              <w:ind w:left="40"/>
              <w:spacing w:after="0"/>
              <w:rPr>
                <w:sz w:val="20"/>
                <w:szCs w:val="20"/>
                <w:color w:val="auto"/>
              </w:rPr>
            </w:pPr>
            <w:r>
              <w:rPr>
                <w:rFonts w:ascii="Arial" w:cs="Arial" w:eastAsia="Arial" w:hAnsi="Arial"/>
                <w:sz w:val="13"/>
                <w:szCs w:val="13"/>
                <w:color w:val="auto"/>
                <w:w w:val="98"/>
              </w:rPr>
              <w:t>Information Technology Services</w:t>
            </w:r>
          </w:p>
        </w:tc>
        <w:tc>
          <w:tcPr>
            <w:tcW w:w="0" w:type="dxa"/>
            <w:vAlign w:val="bottom"/>
          </w:tcPr>
          <w:p>
            <w:pPr>
              <w:spacing w:after="0"/>
              <w:rPr>
                <w:sz w:val="1"/>
                <w:szCs w:val="1"/>
                <w:color w:val="auto"/>
              </w:rPr>
            </w:pPr>
          </w:p>
        </w:tc>
      </w:tr>
      <w:tr>
        <w:trPr>
          <w:trHeight w:val="135"/>
        </w:trPr>
        <w:tc>
          <w:tcPr>
            <w:tcW w:w="2920" w:type="dxa"/>
            <w:vAlign w:val="bottom"/>
            <w:gridSpan w:val="4"/>
          </w:tcPr>
          <w:p>
            <w:pPr>
              <w:ind w:left="260"/>
              <w:spacing w:after="0" w:line="135" w:lineRule="exact"/>
              <w:rPr>
                <w:sz w:val="20"/>
                <w:szCs w:val="20"/>
                <w:color w:val="auto"/>
              </w:rPr>
            </w:pPr>
            <w:r>
              <w:rPr>
                <w:rFonts w:ascii="Arial" w:cs="Arial" w:eastAsia="Arial" w:hAnsi="Arial"/>
                <w:sz w:val="13"/>
                <w:szCs w:val="13"/>
                <w:color w:val="auto"/>
              </w:rPr>
              <w:t>Subordinated Debt</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60"/>
              <w:spacing w:after="0" w:line="135" w:lineRule="exact"/>
              <w:rPr>
                <w:sz w:val="20"/>
                <w:szCs w:val="20"/>
                <w:color w:val="auto"/>
              </w:rPr>
            </w:pPr>
            <w:r>
              <w:rPr>
                <w:rFonts w:ascii="Arial" w:cs="Arial" w:eastAsia="Arial" w:hAnsi="Arial"/>
                <w:sz w:val="13"/>
                <w:szCs w:val="13"/>
                <w:color w:val="auto"/>
                <w:w w:val="90"/>
              </w:rPr>
              <w:t>Common Equity</w:t>
            </w:r>
          </w:p>
        </w:tc>
        <w:tc>
          <w:tcPr>
            <w:tcW w:w="1800" w:type="dxa"/>
            <w:vAlign w:val="bottom"/>
            <w:gridSpan w:val="3"/>
          </w:tcPr>
          <w:p>
            <w:pPr>
              <w:spacing w:after="0" w:line="135" w:lineRule="exact"/>
              <w:rPr>
                <w:sz w:val="20"/>
                <w:szCs w:val="20"/>
                <w:color w:val="auto"/>
              </w:rPr>
            </w:pPr>
            <w:r>
              <w:rPr>
                <w:rFonts w:ascii="Arial" w:cs="Arial" w:eastAsia="Arial" w:hAnsi="Arial"/>
                <w:sz w:val="13"/>
                <w:szCs w:val="13"/>
                <w:color w:val="auto"/>
              </w:rPr>
              <w:t>(451 shares)</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20" w:type="dxa"/>
            <w:vAlign w:val="bottom"/>
          </w:tcPr>
          <w:p>
            <w:pPr>
              <w:ind w:left="260"/>
              <w:spacing w:after="0"/>
              <w:rPr>
                <w:sz w:val="20"/>
                <w:szCs w:val="20"/>
                <w:color w:val="auto"/>
              </w:rPr>
            </w:pPr>
            <w:r>
              <w:rPr>
                <w:rFonts w:ascii="Arial" w:cs="Arial" w:eastAsia="Arial" w:hAnsi="Arial"/>
                <w:sz w:val="13"/>
                <w:szCs w:val="13"/>
                <w:color w:val="auto"/>
                <w:w w:val="89"/>
              </w:rPr>
              <w:t>Preferred Equity</w:t>
            </w:r>
          </w:p>
        </w:tc>
        <w:tc>
          <w:tcPr>
            <w:tcW w:w="1800" w:type="dxa"/>
            <w:vAlign w:val="bottom"/>
            <w:gridSpan w:val="3"/>
          </w:tcPr>
          <w:p>
            <w:pPr>
              <w:spacing w:after="0"/>
              <w:rPr>
                <w:sz w:val="20"/>
                <w:szCs w:val="20"/>
                <w:color w:val="auto"/>
              </w:rPr>
            </w:pPr>
            <w:r>
              <w:rPr>
                <w:rFonts w:ascii="Arial" w:cs="Arial" w:eastAsia="Arial" w:hAnsi="Arial"/>
                <w:sz w:val="13"/>
                <w:szCs w:val="13"/>
                <w:color w:val="auto"/>
              </w:rPr>
              <w:t>(14 shares)</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920" w:type="dxa"/>
            <w:vAlign w:val="bottom"/>
            <w:gridSpan w:val="4"/>
          </w:tcPr>
          <w:p>
            <w:pPr>
              <w:spacing w:after="0"/>
              <w:rPr>
                <w:sz w:val="20"/>
                <w:szCs w:val="20"/>
                <w:color w:val="auto"/>
              </w:rPr>
            </w:pPr>
            <w:r>
              <w:rPr>
                <w:rFonts w:ascii="Arial" w:cs="Arial" w:eastAsia="Arial" w:hAnsi="Arial"/>
                <w:sz w:val="13"/>
                <w:szCs w:val="13"/>
                <w:i w:val="1"/>
                <w:iCs w:val="1"/>
                <w:color w:val="auto"/>
              </w:rPr>
              <w:t>BCM One Group Holdings, Inc.</w:t>
            </w:r>
          </w:p>
        </w:tc>
        <w:tc>
          <w:tcPr>
            <w:tcW w:w="1920" w:type="dxa"/>
            <w:vAlign w:val="bottom"/>
          </w:tcPr>
          <w:p>
            <w:pPr>
              <w:ind w:left="40"/>
              <w:spacing w:after="0"/>
              <w:rPr>
                <w:sz w:val="20"/>
                <w:szCs w:val="20"/>
                <w:color w:val="auto"/>
              </w:rPr>
            </w:pPr>
            <w:r>
              <w:rPr>
                <w:rFonts w:ascii="Arial" w:cs="Arial" w:eastAsia="Arial" w:hAnsi="Arial"/>
                <w:sz w:val="13"/>
                <w:szCs w:val="13"/>
                <w:color w:val="auto"/>
                <w:w w:val="98"/>
              </w:rPr>
              <w:t>Information Technology Services</w:t>
            </w:r>
          </w:p>
        </w:tc>
        <w:tc>
          <w:tcPr>
            <w:tcW w:w="0" w:type="dxa"/>
            <w:vAlign w:val="bottom"/>
          </w:tcPr>
          <w:p>
            <w:pPr>
              <w:spacing w:after="0"/>
              <w:rPr>
                <w:sz w:val="1"/>
                <w:szCs w:val="1"/>
                <w:color w:val="auto"/>
              </w:rPr>
            </w:pPr>
          </w:p>
        </w:tc>
      </w:tr>
      <w:tr>
        <w:trPr>
          <w:trHeight w:val="135"/>
        </w:trPr>
        <w:tc>
          <w:tcPr>
            <w:tcW w:w="2920" w:type="dxa"/>
            <w:vAlign w:val="bottom"/>
            <w:gridSpan w:val="4"/>
          </w:tcPr>
          <w:p>
            <w:pPr>
              <w:ind w:left="260"/>
              <w:spacing w:after="0" w:line="135" w:lineRule="exact"/>
              <w:rPr>
                <w:sz w:val="20"/>
                <w:szCs w:val="20"/>
                <w:color w:val="auto"/>
              </w:rPr>
            </w:pPr>
            <w:r>
              <w:rPr>
                <w:rFonts w:ascii="Arial" w:cs="Arial" w:eastAsia="Arial" w:hAnsi="Arial"/>
                <w:sz w:val="13"/>
                <w:szCs w:val="13"/>
                <w:color w:val="auto"/>
              </w:rPr>
              <w:t>Subordinated Debt (k)</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60"/>
              <w:spacing w:after="0" w:line="135" w:lineRule="exact"/>
              <w:rPr>
                <w:sz w:val="20"/>
                <w:szCs w:val="20"/>
                <w:color w:val="auto"/>
              </w:rPr>
            </w:pPr>
            <w:r>
              <w:rPr>
                <w:rFonts w:ascii="Arial" w:cs="Arial" w:eastAsia="Arial" w:hAnsi="Arial"/>
                <w:sz w:val="13"/>
                <w:szCs w:val="13"/>
                <w:color w:val="auto"/>
                <w:w w:val="90"/>
              </w:rPr>
              <w:t>Common Equity</w:t>
            </w:r>
          </w:p>
        </w:tc>
        <w:tc>
          <w:tcPr>
            <w:tcW w:w="1800" w:type="dxa"/>
            <w:vAlign w:val="bottom"/>
            <w:gridSpan w:val="3"/>
          </w:tcPr>
          <w:p>
            <w:pPr>
              <w:spacing w:after="0" w:line="135" w:lineRule="exact"/>
              <w:rPr>
                <w:sz w:val="20"/>
                <w:szCs w:val="20"/>
                <w:color w:val="auto"/>
              </w:rPr>
            </w:pPr>
            <w:r>
              <w:rPr>
                <w:rFonts w:ascii="Arial" w:cs="Arial" w:eastAsia="Arial" w:hAnsi="Arial"/>
                <w:sz w:val="13"/>
                <w:szCs w:val="13"/>
                <w:color w:val="auto"/>
              </w:rPr>
              <w:t>(1,143 shares)</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20" w:type="dxa"/>
            <w:vAlign w:val="bottom"/>
          </w:tcPr>
          <w:p>
            <w:pPr>
              <w:ind w:left="260"/>
              <w:spacing w:after="0"/>
              <w:rPr>
                <w:sz w:val="20"/>
                <w:szCs w:val="20"/>
                <w:color w:val="auto"/>
              </w:rPr>
            </w:pPr>
            <w:r>
              <w:rPr>
                <w:rFonts w:ascii="Arial" w:cs="Arial" w:eastAsia="Arial" w:hAnsi="Arial"/>
                <w:sz w:val="13"/>
                <w:szCs w:val="13"/>
                <w:color w:val="auto"/>
                <w:w w:val="89"/>
              </w:rPr>
              <w:t>Preferred Equity</w:t>
            </w:r>
          </w:p>
        </w:tc>
        <w:tc>
          <w:tcPr>
            <w:tcW w:w="1800" w:type="dxa"/>
            <w:vAlign w:val="bottom"/>
            <w:gridSpan w:val="3"/>
          </w:tcPr>
          <w:p>
            <w:pPr>
              <w:spacing w:after="0"/>
              <w:rPr>
                <w:sz w:val="20"/>
                <w:szCs w:val="20"/>
                <w:color w:val="auto"/>
              </w:rPr>
            </w:pPr>
            <w:r>
              <w:rPr>
                <w:rFonts w:ascii="Arial" w:cs="Arial" w:eastAsia="Arial" w:hAnsi="Arial"/>
                <w:sz w:val="13"/>
                <w:szCs w:val="13"/>
                <w:color w:val="auto"/>
              </w:rPr>
              <w:t>(66 shares)</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920" w:type="dxa"/>
            <w:vAlign w:val="bottom"/>
            <w:gridSpan w:val="4"/>
          </w:tcPr>
          <w:p>
            <w:pPr>
              <w:spacing w:after="0"/>
              <w:rPr>
                <w:sz w:val="20"/>
                <w:szCs w:val="20"/>
                <w:color w:val="auto"/>
              </w:rPr>
            </w:pPr>
            <w:r>
              <w:rPr>
                <w:rFonts w:ascii="Arial" w:cs="Arial" w:eastAsia="Arial" w:hAnsi="Arial"/>
                <w:sz w:val="13"/>
                <w:szCs w:val="13"/>
                <w:i w:val="1"/>
                <w:iCs w:val="1"/>
                <w:color w:val="auto"/>
              </w:rPr>
              <w:t>Bedford Precision Parts LLC</w:t>
            </w:r>
          </w:p>
        </w:tc>
        <w:tc>
          <w:tcPr>
            <w:tcW w:w="1920" w:type="dxa"/>
            <w:vAlign w:val="bottom"/>
          </w:tcPr>
          <w:p>
            <w:pPr>
              <w:ind w:left="40"/>
              <w:spacing w:after="0"/>
              <w:rPr>
                <w:sz w:val="20"/>
                <w:szCs w:val="20"/>
                <w:color w:val="auto"/>
              </w:rPr>
            </w:pPr>
            <w:r>
              <w:rPr>
                <w:rFonts w:ascii="Arial" w:cs="Arial" w:eastAsia="Arial" w:hAnsi="Arial"/>
                <w:sz w:val="13"/>
                <w:szCs w:val="13"/>
                <w:color w:val="auto"/>
              </w:rPr>
              <w:t>Specialty Distribution</w:t>
            </w:r>
          </w:p>
        </w:tc>
        <w:tc>
          <w:tcPr>
            <w:tcW w:w="0" w:type="dxa"/>
            <w:vAlign w:val="bottom"/>
          </w:tcPr>
          <w:p>
            <w:pPr>
              <w:spacing w:after="0"/>
              <w:rPr>
                <w:sz w:val="1"/>
                <w:szCs w:val="1"/>
                <w:color w:val="auto"/>
              </w:rPr>
            </w:pPr>
          </w:p>
        </w:tc>
      </w:tr>
      <w:tr>
        <w:trPr>
          <w:trHeight w:val="135"/>
        </w:trPr>
        <w:tc>
          <w:tcPr>
            <w:tcW w:w="2920" w:type="dxa"/>
            <w:vAlign w:val="bottom"/>
            <w:gridSpan w:val="4"/>
          </w:tcPr>
          <w:p>
            <w:pPr>
              <w:ind w:left="260"/>
              <w:spacing w:after="0" w:line="135" w:lineRule="exact"/>
              <w:rPr>
                <w:sz w:val="20"/>
                <w:szCs w:val="20"/>
                <w:color w:val="auto"/>
              </w:rPr>
            </w:pPr>
            <w:r>
              <w:rPr>
                <w:rFonts w:ascii="Arial" w:cs="Arial" w:eastAsia="Arial" w:hAnsi="Arial"/>
                <w:sz w:val="13"/>
                <w:szCs w:val="13"/>
                <w:color w:val="auto"/>
              </w:rPr>
              <w:t>First Lien Debt (j)(s)</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20" w:type="dxa"/>
            <w:vAlign w:val="bottom"/>
          </w:tcPr>
          <w:p>
            <w:pPr>
              <w:ind w:left="260"/>
              <w:spacing w:after="0"/>
              <w:rPr>
                <w:sz w:val="20"/>
                <w:szCs w:val="20"/>
                <w:color w:val="auto"/>
              </w:rPr>
            </w:pPr>
            <w:r>
              <w:rPr>
                <w:rFonts w:ascii="Arial" w:cs="Arial" w:eastAsia="Arial" w:hAnsi="Arial"/>
                <w:sz w:val="13"/>
                <w:szCs w:val="13"/>
                <w:color w:val="auto"/>
                <w:w w:val="90"/>
              </w:rPr>
              <w:t>Common Equity</w:t>
            </w:r>
          </w:p>
        </w:tc>
        <w:tc>
          <w:tcPr>
            <w:tcW w:w="1800" w:type="dxa"/>
            <w:vAlign w:val="bottom"/>
            <w:gridSpan w:val="3"/>
          </w:tcPr>
          <w:p>
            <w:pPr>
              <w:spacing w:after="0"/>
              <w:rPr>
                <w:sz w:val="20"/>
                <w:szCs w:val="20"/>
                <w:color w:val="auto"/>
              </w:rPr>
            </w:pPr>
            <w:r>
              <w:rPr>
                <w:rFonts w:ascii="Arial" w:cs="Arial" w:eastAsia="Arial" w:hAnsi="Arial"/>
                <w:sz w:val="13"/>
                <w:szCs w:val="13"/>
                <w:color w:val="auto"/>
              </w:rPr>
              <w:t>(500,000 units) (h)(j)</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920" w:type="dxa"/>
            <w:vAlign w:val="bottom"/>
            <w:gridSpan w:val="4"/>
          </w:tcPr>
          <w:p>
            <w:pPr>
              <w:spacing w:after="0"/>
              <w:rPr>
                <w:sz w:val="20"/>
                <w:szCs w:val="20"/>
                <w:color w:val="auto"/>
              </w:rPr>
            </w:pPr>
            <w:r>
              <w:rPr>
                <w:rFonts w:ascii="Arial" w:cs="Arial" w:eastAsia="Arial" w:hAnsi="Arial"/>
                <w:sz w:val="13"/>
                <w:szCs w:val="13"/>
                <w:i w:val="1"/>
                <w:iCs w:val="1"/>
                <w:color w:val="auto"/>
                <w:w w:val="93"/>
              </w:rPr>
              <w:t>Cardboard Box LLC (dba Anthony’s Coal Fired Pizza)</w:t>
            </w:r>
          </w:p>
        </w:tc>
        <w:tc>
          <w:tcPr>
            <w:tcW w:w="1920" w:type="dxa"/>
            <w:vAlign w:val="bottom"/>
          </w:tcPr>
          <w:p>
            <w:pPr>
              <w:ind w:left="40"/>
              <w:spacing w:after="0"/>
              <w:rPr>
                <w:sz w:val="20"/>
                <w:szCs w:val="20"/>
                <w:color w:val="auto"/>
              </w:rPr>
            </w:pPr>
            <w:r>
              <w:rPr>
                <w:rFonts w:ascii="Arial" w:cs="Arial" w:eastAsia="Arial" w:hAnsi="Arial"/>
                <w:sz w:val="13"/>
                <w:szCs w:val="13"/>
                <w:color w:val="auto"/>
              </w:rPr>
              <w:t>Restaurants</w:t>
            </w:r>
          </w:p>
        </w:tc>
        <w:tc>
          <w:tcPr>
            <w:tcW w:w="0" w:type="dxa"/>
            <w:vAlign w:val="bottom"/>
          </w:tcPr>
          <w:p>
            <w:pPr>
              <w:spacing w:after="0"/>
              <w:rPr>
                <w:sz w:val="1"/>
                <w:szCs w:val="1"/>
                <w:color w:val="auto"/>
              </w:rPr>
            </w:pPr>
          </w:p>
        </w:tc>
      </w:tr>
      <w:tr>
        <w:trPr>
          <w:trHeight w:val="135"/>
        </w:trPr>
        <w:tc>
          <w:tcPr>
            <w:tcW w:w="1120" w:type="dxa"/>
            <w:vAlign w:val="bottom"/>
          </w:tcPr>
          <w:p>
            <w:pPr>
              <w:ind w:left="260"/>
              <w:spacing w:after="0" w:line="135" w:lineRule="exact"/>
              <w:rPr>
                <w:sz w:val="20"/>
                <w:szCs w:val="20"/>
                <w:color w:val="auto"/>
              </w:rPr>
            </w:pPr>
            <w:r>
              <w:rPr>
                <w:rFonts w:ascii="Arial" w:cs="Arial" w:eastAsia="Arial" w:hAnsi="Arial"/>
                <w:sz w:val="13"/>
                <w:szCs w:val="13"/>
                <w:color w:val="auto"/>
                <w:w w:val="90"/>
              </w:rPr>
              <w:t>Common Equity</w:t>
            </w:r>
          </w:p>
        </w:tc>
        <w:tc>
          <w:tcPr>
            <w:tcW w:w="1800" w:type="dxa"/>
            <w:vAlign w:val="bottom"/>
            <w:gridSpan w:val="3"/>
          </w:tcPr>
          <w:p>
            <w:pPr>
              <w:spacing w:after="0" w:line="135" w:lineRule="exact"/>
              <w:rPr>
                <w:sz w:val="20"/>
                <w:szCs w:val="20"/>
                <w:color w:val="auto"/>
              </w:rPr>
            </w:pPr>
            <w:r>
              <w:rPr>
                <w:rFonts w:ascii="Arial" w:cs="Arial" w:eastAsia="Arial" w:hAnsi="Arial"/>
                <w:sz w:val="13"/>
                <w:szCs w:val="13"/>
                <w:color w:val="auto"/>
              </w:rPr>
              <w:t>(521,021 units) (j)</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20" w:type="dxa"/>
            <w:vAlign w:val="bottom"/>
          </w:tcPr>
          <w:p>
            <w:pPr>
              <w:ind w:left="260"/>
              <w:spacing w:after="0"/>
              <w:rPr>
                <w:sz w:val="20"/>
                <w:szCs w:val="20"/>
                <w:color w:val="auto"/>
              </w:rPr>
            </w:pPr>
            <w:r>
              <w:rPr>
                <w:rFonts w:ascii="Arial" w:cs="Arial" w:eastAsia="Arial" w:hAnsi="Arial"/>
                <w:sz w:val="13"/>
                <w:szCs w:val="13"/>
                <w:color w:val="auto"/>
                <w:w w:val="89"/>
              </w:rPr>
              <w:t>Preferred Equity</w:t>
            </w:r>
          </w:p>
        </w:tc>
        <w:tc>
          <w:tcPr>
            <w:tcW w:w="1800" w:type="dxa"/>
            <w:vAlign w:val="bottom"/>
            <w:gridSpan w:val="3"/>
          </w:tcPr>
          <w:p>
            <w:pPr>
              <w:spacing w:after="0"/>
              <w:rPr>
                <w:sz w:val="20"/>
                <w:szCs w:val="20"/>
                <w:color w:val="auto"/>
              </w:rPr>
            </w:pPr>
            <w:r>
              <w:rPr>
                <w:rFonts w:ascii="Arial" w:cs="Arial" w:eastAsia="Arial" w:hAnsi="Arial"/>
                <w:sz w:val="13"/>
                <w:szCs w:val="13"/>
                <w:color w:val="auto"/>
              </w:rPr>
              <w:t>(1,043,133 units) (j)</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920" w:type="dxa"/>
            <w:vAlign w:val="bottom"/>
            <w:gridSpan w:val="4"/>
          </w:tcPr>
          <w:p>
            <w:pPr>
              <w:spacing w:after="0"/>
              <w:rPr>
                <w:sz w:val="20"/>
                <w:szCs w:val="20"/>
                <w:color w:val="auto"/>
              </w:rPr>
            </w:pPr>
            <w:r>
              <w:rPr>
                <w:rFonts w:ascii="Arial" w:cs="Arial" w:eastAsia="Arial" w:hAnsi="Arial"/>
                <w:sz w:val="13"/>
                <w:szCs w:val="13"/>
                <w:i w:val="1"/>
                <w:iCs w:val="1"/>
                <w:color w:val="auto"/>
              </w:rPr>
              <w:t>Combined Systems, Inc.</w:t>
            </w:r>
          </w:p>
        </w:tc>
        <w:tc>
          <w:tcPr>
            <w:tcW w:w="1920" w:type="dxa"/>
            <w:vAlign w:val="bottom"/>
          </w:tcPr>
          <w:p>
            <w:pPr>
              <w:ind w:left="40"/>
              <w:spacing w:after="0"/>
              <w:rPr>
                <w:sz w:val="20"/>
                <w:szCs w:val="20"/>
                <w:color w:val="auto"/>
              </w:rPr>
            </w:pPr>
            <w:r>
              <w:rPr>
                <w:rFonts w:ascii="Arial" w:cs="Arial" w:eastAsia="Arial" w:hAnsi="Arial"/>
                <w:sz w:val="13"/>
                <w:szCs w:val="13"/>
                <w:color w:val="auto"/>
                <w:w w:val="87"/>
              </w:rPr>
              <w:t>Aerospace &amp; Defense Manufacturing</w:t>
            </w:r>
          </w:p>
        </w:tc>
        <w:tc>
          <w:tcPr>
            <w:tcW w:w="0" w:type="dxa"/>
            <w:vAlign w:val="bottom"/>
          </w:tcPr>
          <w:p>
            <w:pPr>
              <w:spacing w:after="0"/>
              <w:rPr>
                <w:sz w:val="1"/>
                <w:szCs w:val="1"/>
                <w:color w:val="auto"/>
              </w:rPr>
            </w:pPr>
          </w:p>
        </w:tc>
      </w:tr>
      <w:tr>
        <w:trPr>
          <w:trHeight w:val="135"/>
        </w:trPr>
        <w:tc>
          <w:tcPr>
            <w:tcW w:w="1120" w:type="dxa"/>
            <w:vAlign w:val="bottom"/>
          </w:tcPr>
          <w:p>
            <w:pPr>
              <w:ind w:left="260"/>
              <w:spacing w:after="0" w:line="135" w:lineRule="exact"/>
              <w:rPr>
                <w:sz w:val="20"/>
                <w:szCs w:val="20"/>
                <w:color w:val="auto"/>
              </w:rPr>
            </w:pPr>
            <w:r>
              <w:rPr>
                <w:rFonts w:ascii="Arial" w:cs="Arial" w:eastAsia="Arial" w:hAnsi="Arial"/>
                <w:sz w:val="13"/>
                <w:szCs w:val="13"/>
                <w:color w:val="auto"/>
                <w:w w:val="99"/>
              </w:rPr>
              <w:t>First Lien Debt</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920" w:type="dxa"/>
            <w:vAlign w:val="bottom"/>
            <w:gridSpan w:val="4"/>
          </w:tcPr>
          <w:p>
            <w:pPr>
              <w:ind w:left="260"/>
              <w:spacing w:after="0"/>
              <w:rPr>
                <w:sz w:val="20"/>
                <w:szCs w:val="20"/>
                <w:color w:val="auto"/>
              </w:rPr>
            </w:pPr>
            <w:r>
              <w:rPr>
                <w:rFonts w:ascii="Arial" w:cs="Arial" w:eastAsia="Arial" w:hAnsi="Arial"/>
                <w:sz w:val="13"/>
                <w:szCs w:val="13"/>
                <w:color w:val="auto"/>
              </w:rPr>
              <w:t>Revolving Loan ($200 commitment) (j)(ac)</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120" w:type="dxa"/>
            <w:vAlign w:val="bottom"/>
          </w:tcPr>
          <w:p>
            <w:pPr>
              <w:spacing w:after="0"/>
              <w:rPr>
                <w:sz w:val="20"/>
                <w:szCs w:val="20"/>
                <w:color w:val="auto"/>
              </w:rPr>
            </w:pPr>
            <w:r>
              <w:rPr>
                <w:rFonts w:ascii="Arial" w:cs="Arial" w:eastAsia="Arial" w:hAnsi="Arial"/>
                <w:sz w:val="13"/>
                <w:szCs w:val="13"/>
                <w:i w:val="1"/>
                <w:iCs w:val="1"/>
                <w:color w:val="auto"/>
              </w:rPr>
              <w:t>ControlScan, Inc.</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920" w:type="dxa"/>
            <w:vAlign w:val="bottom"/>
          </w:tcPr>
          <w:p>
            <w:pPr>
              <w:ind w:left="40"/>
              <w:spacing w:after="0"/>
              <w:rPr>
                <w:sz w:val="20"/>
                <w:szCs w:val="20"/>
                <w:color w:val="auto"/>
              </w:rPr>
            </w:pPr>
            <w:r>
              <w:rPr>
                <w:rFonts w:ascii="Arial" w:cs="Arial" w:eastAsia="Arial" w:hAnsi="Arial"/>
                <w:sz w:val="13"/>
                <w:szCs w:val="13"/>
                <w:color w:val="auto"/>
                <w:w w:val="98"/>
              </w:rPr>
              <w:t>Information Technology Services</w:t>
            </w:r>
          </w:p>
        </w:tc>
        <w:tc>
          <w:tcPr>
            <w:tcW w:w="0" w:type="dxa"/>
            <w:vAlign w:val="bottom"/>
          </w:tcPr>
          <w:p>
            <w:pPr>
              <w:spacing w:after="0"/>
              <w:rPr>
                <w:sz w:val="1"/>
                <w:szCs w:val="1"/>
                <w:color w:val="auto"/>
              </w:rPr>
            </w:pPr>
          </w:p>
        </w:tc>
      </w:tr>
      <w:tr>
        <w:trPr>
          <w:trHeight w:val="135"/>
        </w:trPr>
        <w:tc>
          <w:tcPr>
            <w:tcW w:w="2920" w:type="dxa"/>
            <w:vAlign w:val="bottom"/>
            <w:gridSpan w:val="4"/>
          </w:tcPr>
          <w:p>
            <w:pPr>
              <w:ind w:left="260"/>
              <w:spacing w:after="0" w:line="135" w:lineRule="exact"/>
              <w:rPr>
                <w:sz w:val="20"/>
                <w:szCs w:val="20"/>
                <w:color w:val="auto"/>
              </w:rPr>
            </w:pPr>
            <w:r>
              <w:rPr>
                <w:rFonts w:ascii="Arial" w:cs="Arial" w:eastAsia="Arial" w:hAnsi="Arial"/>
                <w:sz w:val="13"/>
                <w:szCs w:val="13"/>
                <w:color w:val="auto"/>
              </w:rPr>
              <w:t>Subordinated Debt (j)</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60"/>
              <w:spacing w:after="0" w:line="135" w:lineRule="exact"/>
              <w:rPr>
                <w:sz w:val="20"/>
                <w:szCs w:val="20"/>
                <w:color w:val="auto"/>
              </w:rPr>
            </w:pPr>
            <w:r>
              <w:rPr>
                <w:rFonts w:ascii="Arial" w:cs="Arial" w:eastAsia="Arial" w:hAnsi="Arial"/>
                <w:sz w:val="13"/>
                <w:szCs w:val="13"/>
                <w:color w:val="auto"/>
                <w:w w:val="90"/>
              </w:rPr>
              <w:t>Common Equity</w:t>
            </w:r>
          </w:p>
        </w:tc>
        <w:tc>
          <w:tcPr>
            <w:tcW w:w="1800" w:type="dxa"/>
            <w:vAlign w:val="bottom"/>
            <w:gridSpan w:val="3"/>
          </w:tcPr>
          <w:p>
            <w:pPr>
              <w:spacing w:after="0" w:line="135" w:lineRule="exact"/>
              <w:rPr>
                <w:sz w:val="20"/>
                <w:szCs w:val="20"/>
                <w:color w:val="auto"/>
              </w:rPr>
            </w:pPr>
            <w:r>
              <w:rPr>
                <w:rFonts w:ascii="Arial" w:cs="Arial" w:eastAsia="Arial" w:hAnsi="Arial"/>
                <w:sz w:val="13"/>
                <w:szCs w:val="13"/>
                <w:color w:val="auto"/>
              </w:rPr>
              <w:t>(1,852 shares) (j)</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20" w:type="dxa"/>
            <w:vAlign w:val="bottom"/>
          </w:tcPr>
          <w:p>
            <w:pPr>
              <w:ind w:left="260"/>
              <w:spacing w:after="0"/>
              <w:rPr>
                <w:sz w:val="20"/>
                <w:szCs w:val="20"/>
                <w:color w:val="auto"/>
              </w:rPr>
            </w:pPr>
            <w:r>
              <w:rPr>
                <w:rFonts w:ascii="Arial" w:cs="Arial" w:eastAsia="Arial" w:hAnsi="Arial"/>
                <w:sz w:val="13"/>
                <w:szCs w:val="13"/>
                <w:color w:val="auto"/>
                <w:w w:val="89"/>
              </w:rPr>
              <w:t>Preferred Equity</w:t>
            </w:r>
          </w:p>
        </w:tc>
        <w:tc>
          <w:tcPr>
            <w:tcW w:w="1800" w:type="dxa"/>
            <w:vAlign w:val="bottom"/>
            <w:gridSpan w:val="3"/>
          </w:tcPr>
          <w:p>
            <w:pPr>
              <w:spacing w:after="0"/>
              <w:rPr>
                <w:sz w:val="20"/>
                <w:szCs w:val="20"/>
                <w:color w:val="auto"/>
              </w:rPr>
            </w:pPr>
            <w:r>
              <w:rPr>
                <w:rFonts w:ascii="Arial" w:cs="Arial" w:eastAsia="Arial" w:hAnsi="Arial"/>
                <w:sz w:val="13"/>
                <w:szCs w:val="13"/>
                <w:color w:val="auto"/>
              </w:rPr>
              <w:t>(50 shares) (j)</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920" w:type="dxa"/>
            <w:vAlign w:val="bottom"/>
            <w:gridSpan w:val="4"/>
          </w:tcPr>
          <w:p>
            <w:pPr>
              <w:spacing w:after="0"/>
              <w:rPr>
                <w:sz w:val="20"/>
                <w:szCs w:val="20"/>
                <w:color w:val="auto"/>
              </w:rPr>
            </w:pPr>
            <w:r>
              <w:rPr>
                <w:rFonts w:ascii="Arial" w:cs="Arial" w:eastAsia="Arial" w:hAnsi="Arial"/>
                <w:sz w:val="13"/>
                <w:szCs w:val="13"/>
                <w:i w:val="1"/>
                <w:iCs w:val="1"/>
                <w:color w:val="auto"/>
              </w:rPr>
              <w:t>CRS Solutions Holdings, LLC (dba CRS Texas)</w:t>
            </w:r>
          </w:p>
        </w:tc>
        <w:tc>
          <w:tcPr>
            <w:tcW w:w="1920" w:type="dxa"/>
            <w:vAlign w:val="bottom"/>
          </w:tcPr>
          <w:p>
            <w:pPr>
              <w:ind w:left="40"/>
              <w:spacing w:after="0"/>
              <w:rPr>
                <w:sz w:val="20"/>
                <w:szCs w:val="20"/>
                <w:color w:val="auto"/>
              </w:rPr>
            </w:pPr>
            <w:r>
              <w:rPr>
                <w:rFonts w:ascii="Arial" w:cs="Arial" w:eastAsia="Arial" w:hAnsi="Arial"/>
                <w:sz w:val="13"/>
                <w:szCs w:val="13"/>
                <w:color w:val="auto"/>
              </w:rPr>
              <w:t>Business Services</w:t>
            </w:r>
          </w:p>
        </w:tc>
        <w:tc>
          <w:tcPr>
            <w:tcW w:w="0" w:type="dxa"/>
            <w:vAlign w:val="bottom"/>
          </w:tcPr>
          <w:p>
            <w:pPr>
              <w:spacing w:after="0"/>
              <w:rPr>
                <w:sz w:val="1"/>
                <w:szCs w:val="1"/>
                <w:color w:val="auto"/>
              </w:rPr>
            </w:pPr>
          </w:p>
        </w:tc>
      </w:tr>
      <w:tr>
        <w:trPr>
          <w:trHeight w:val="135"/>
        </w:trPr>
        <w:tc>
          <w:tcPr>
            <w:tcW w:w="2920" w:type="dxa"/>
            <w:vAlign w:val="bottom"/>
            <w:gridSpan w:val="4"/>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20" w:type="dxa"/>
            <w:vAlign w:val="bottom"/>
          </w:tcPr>
          <w:p>
            <w:pPr>
              <w:ind w:left="260"/>
              <w:spacing w:after="0"/>
              <w:rPr>
                <w:sz w:val="20"/>
                <w:szCs w:val="20"/>
                <w:color w:val="auto"/>
              </w:rPr>
            </w:pPr>
            <w:r>
              <w:rPr>
                <w:rFonts w:ascii="Arial" w:cs="Arial" w:eastAsia="Arial" w:hAnsi="Arial"/>
                <w:sz w:val="13"/>
                <w:szCs w:val="13"/>
                <w:color w:val="auto"/>
                <w:w w:val="90"/>
              </w:rPr>
              <w:t>Common Equity</w:t>
            </w:r>
          </w:p>
        </w:tc>
        <w:tc>
          <w:tcPr>
            <w:tcW w:w="1800" w:type="dxa"/>
            <w:vAlign w:val="bottom"/>
            <w:gridSpan w:val="3"/>
          </w:tcPr>
          <w:p>
            <w:pPr>
              <w:spacing w:after="0"/>
              <w:rPr>
                <w:sz w:val="20"/>
                <w:szCs w:val="20"/>
                <w:color w:val="auto"/>
              </w:rPr>
            </w:pPr>
            <w:r>
              <w:rPr>
                <w:rFonts w:ascii="Arial" w:cs="Arial" w:eastAsia="Arial" w:hAnsi="Arial"/>
                <w:sz w:val="13"/>
                <w:szCs w:val="13"/>
                <w:color w:val="auto"/>
              </w:rPr>
              <w:t>(375,000 units) (h)(j)</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920" w:type="dxa"/>
            <w:vAlign w:val="bottom"/>
            <w:gridSpan w:val="4"/>
          </w:tcPr>
          <w:p>
            <w:pPr>
              <w:spacing w:after="0"/>
              <w:rPr>
                <w:sz w:val="20"/>
                <w:szCs w:val="20"/>
                <w:color w:val="auto"/>
              </w:rPr>
            </w:pPr>
            <w:r>
              <w:rPr>
                <w:rFonts w:ascii="Arial" w:cs="Arial" w:eastAsia="Arial" w:hAnsi="Arial"/>
                <w:sz w:val="13"/>
                <w:szCs w:val="13"/>
                <w:i w:val="1"/>
                <w:iCs w:val="1"/>
                <w:color w:val="auto"/>
              </w:rPr>
              <w:t>Diversified Search LLC</w:t>
            </w:r>
          </w:p>
        </w:tc>
        <w:tc>
          <w:tcPr>
            <w:tcW w:w="1920" w:type="dxa"/>
            <w:vAlign w:val="bottom"/>
          </w:tcPr>
          <w:p>
            <w:pPr>
              <w:ind w:left="40"/>
              <w:spacing w:after="0"/>
              <w:rPr>
                <w:sz w:val="20"/>
                <w:szCs w:val="20"/>
                <w:color w:val="auto"/>
              </w:rPr>
            </w:pPr>
            <w:r>
              <w:rPr>
                <w:rFonts w:ascii="Arial" w:cs="Arial" w:eastAsia="Arial" w:hAnsi="Arial"/>
                <w:sz w:val="13"/>
                <w:szCs w:val="13"/>
                <w:color w:val="auto"/>
              </w:rPr>
              <w:t>Business Services</w:t>
            </w:r>
          </w:p>
        </w:tc>
        <w:tc>
          <w:tcPr>
            <w:tcW w:w="0" w:type="dxa"/>
            <w:vAlign w:val="bottom"/>
          </w:tcPr>
          <w:p>
            <w:pPr>
              <w:spacing w:after="0"/>
              <w:rPr>
                <w:sz w:val="1"/>
                <w:szCs w:val="1"/>
                <w:color w:val="auto"/>
              </w:rPr>
            </w:pPr>
          </w:p>
        </w:tc>
      </w:tr>
      <w:tr>
        <w:trPr>
          <w:trHeight w:val="135"/>
        </w:trPr>
        <w:tc>
          <w:tcPr>
            <w:tcW w:w="2920" w:type="dxa"/>
            <w:vAlign w:val="bottom"/>
            <w:gridSpan w:val="4"/>
          </w:tcPr>
          <w:p>
            <w:pPr>
              <w:ind w:left="260"/>
              <w:spacing w:after="0" w:line="135" w:lineRule="exact"/>
              <w:rPr>
                <w:sz w:val="20"/>
                <w:szCs w:val="20"/>
                <w:color w:val="auto"/>
              </w:rPr>
            </w:pPr>
            <w:r>
              <w:rPr>
                <w:rFonts w:ascii="Arial" w:cs="Arial" w:eastAsia="Arial" w:hAnsi="Arial"/>
                <w:sz w:val="13"/>
                <w:szCs w:val="13"/>
                <w:color w:val="auto"/>
              </w:rPr>
              <w:t>First Lien Debt (k)(r)</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20" w:type="dxa"/>
            <w:vAlign w:val="bottom"/>
          </w:tcPr>
          <w:p>
            <w:pPr>
              <w:ind w:left="260"/>
              <w:spacing w:after="0"/>
              <w:rPr>
                <w:sz w:val="20"/>
                <w:szCs w:val="20"/>
                <w:color w:val="auto"/>
              </w:rPr>
            </w:pPr>
            <w:r>
              <w:rPr>
                <w:rFonts w:ascii="Arial" w:cs="Arial" w:eastAsia="Arial" w:hAnsi="Arial"/>
                <w:sz w:val="13"/>
                <w:szCs w:val="13"/>
                <w:color w:val="auto"/>
                <w:w w:val="90"/>
              </w:rPr>
              <w:t>Common Equity</w:t>
            </w:r>
          </w:p>
        </w:tc>
        <w:tc>
          <w:tcPr>
            <w:tcW w:w="1800" w:type="dxa"/>
            <w:vAlign w:val="bottom"/>
            <w:gridSpan w:val="3"/>
          </w:tcPr>
          <w:p>
            <w:pPr>
              <w:spacing w:after="0"/>
              <w:rPr>
                <w:sz w:val="20"/>
                <w:szCs w:val="20"/>
                <w:color w:val="auto"/>
              </w:rPr>
            </w:pPr>
            <w:r>
              <w:rPr>
                <w:rFonts w:ascii="Arial" w:cs="Arial" w:eastAsia="Arial" w:hAnsi="Arial"/>
                <w:sz w:val="13"/>
                <w:szCs w:val="13"/>
                <w:color w:val="auto"/>
              </w:rPr>
              <w:t>(573 units) (h)(j)</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120" w:type="dxa"/>
            <w:vAlign w:val="bottom"/>
          </w:tcPr>
          <w:p>
            <w:pPr>
              <w:spacing w:after="0"/>
              <w:rPr>
                <w:sz w:val="20"/>
                <w:szCs w:val="20"/>
                <w:color w:val="auto"/>
              </w:rPr>
            </w:pPr>
            <w:r>
              <w:rPr>
                <w:rFonts w:ascii="Arial" w:cs="Arial" w:eastAsia="Arial" w:hAnsi="Arial"/>
                <w:sz w:val="13"/>
                <w:szCs w:val="13"/>
                <w:i w:val="1"/>
                <w:iCs w:val="1"/>
                <w:color w:val="auto"/>
                <w:w w:val="98"/>
              </w:rPr>
              <w:t>EBL, LLC (EbLens)</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920" w:type="dxa"/>
            <w:vAlign w:val="bottom"/>
          </w:tcPr>
          <w:p>
            <w:pPr>
              <w:ind w:left="40"/>
              <w:spacing w:after="0"/>
              <w:rPr>
                <w:sz w:val="20"/>
                <w:szCs w:val="20"/>
                <w:color w:val="auto"/>
              </w:rPr>
            </w:pPr>
            <w:r>
              <w:rPr>
                <w:rFonts w:ascii="Arial" w:cs="Arial" w:eastAsia="Arial" w:hAnsi="Arial"/>
                <w:sz w:val="13"/>
                <w:szCs w:val="13"/>
                <w:color w:val="auto"/>
              </w:rPr>
              <w:t>Retail</w:t>
            </w:r>
          </w:p>
        </w:tc>
        <w:tc>
          <w:tcPr>
            <w:tcW w:w="0" w:type="dxa"/>
            <w:vAlign w:val="bottom"/>
          </w:tcPr>
          <w:p>
            <w:pPr>
              <w:spacing w:after="0"/>
              <w:rPr>
                <w:sz w:val="1"/>
                <w:szCs w:val="1"/>
                <w:color w:val="auto"/>
              </w:rPr>
            </w:pPr>
          </w:p>
        </w:tc>
      </w:tr>
      <w:tr>
        <w:trPr>
          <w:trHeight w:val="135"/>
        </w:trPr>
        <w:tc>
          <w:tcPr>
            <w:tcW w:w="2920" w:type="dxa"/>
            <w:vAlign w:val="bottom"/>
            <w:gridSpan w:val="4"/>
          </w:tcPr>
          <w:p>
            <w:pPr>
              <w:ind w:left="260"/>
              <w:spacing w:after="0" w:line="135" w:lineRule="exact"/>
              <w:rPr>
                <w:sz w:val="20"/>
                <w:szCs w:val="20"/>
                <w:color w:val="auto"/>
              </w:rPr>
            </w:pPr>
            <w:r>
              <w:rPr>
                <w:rFonts w:ascii="Arial" w:cs="Arial" w:eastAsia="Arial" w:hAnsi="Arial"/>
                <w:sz w:val="13"/>
                <w:szCs w:val="13"/>
                <w:color w:val="auto"/>
              </w:rPr>
              <w:t>Second Lien Debt (j)</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20" w:type="dxa"/>
            <w:vAlign w:val="bottom"/>
          </w:tcPr>
          <w:p>
            <w:pPr>
              <w:ind w:left="260"/>
              <w:spacing w:after="0"/>
              <w:rPr>
                <w:sz w:val="20"/>
                <w:szCs w:val="20"/>
                <w:color w:val="auto"/>
              </w:rPr>
            </w:pPr>
            <w:r>
              <w:rPr>
                <w:rFonts w:ascii="Arial" w:cs="Arial" w:eastAsia="Arial" w:hAnsi="Arial"/>
                <w:sz w:val="13"/>
                <w:szCs w:val="13"/>
                <w:color w:val="auto"/>
                <w:w w:val="90"/>
              </w:rPr>
              <w:t>Common Equity</w:t>
            </w:r>
          </w:p>
        </w:tc>
        <w:tc>
          <w:tcPr>
            <w:tcW w:w="1800" w:type="dxa"/>
            <w:vAlign w:val="bottom"/>
            <w:gridSpan w:val="3"/>
          </w:tcPr>
          <w:p>
            <w:pPr>
              <w:spacing w:after="0"/>
              <w:rPr>
                <w:sz w:val="20"/>
                <w:szCs w:val="20"/>
                <w:color w:val="auto"/>
              </w:rPr>
            </w:pPr>
            <w:r>
              <w:rPr>
                <w:rFonts w:ascii="Arial" w:cs="Arial" w:eastAsia="Arial" w:hAnsi="Arial"/>
                <w:sz w:val="13"/>
                <w:szCs w:val="13"/>
                <w:color w:val="auto"/>
              </w:rPr>
              <w:t>(75,000 units) (j)</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120" w:type="dxa"/>
            <w:vAlign w:val="bottom"/>
          </w:tcPr>
          <w:p>
            <w:pPr>
              <w:spacing w:after="0"/>
              <w:rPr>
                <w:sz w:val="20"/>
                <w:szCs w:val="20"/>
                <w:color w:val="auto"/>
              </w:rPr>
            </w:pPr>
            <w:r>
              <w:rPr>
                <w:rFonts w:ascii="Arial" w:cs="Arial" w:eastAsia="Arial" w:hAnsi="Arial"/>
                <w:sz w:val="13"/>
                <w:szCs w:val="13"/>
                <w:i w:val="1"/>
                <w:iCs w:val="1"/>
                <w:color w:val="auto"/>
                <w:w w:val="91"/>
              </w:rPr>
              <w:t>ECM Industries, LLC</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920" w:type="dxa"/>
            <w:vAlign w:val="bottom"/>
          </w:tcPr>
          <w:p>
            <w:pPr>
              <w:ind w:left="40"/>
              <w:spacing w:after="0"/>
              <w:rPr>
                <w:sz w:val="20"/>
                <w:szCs w:val="20"/>
                <w:color w:val="auto"/>
              </w:rPr>
            </w:pPr>
            <w:r>
              <w:rPr>
                <w:rFonts w:ascii="Arial" w:cs="Arial" w:eastAsia="Arial" w:hAnsi="Arial"/>
                <w:sz w:val="13"/>
                <w:szCs w:val="13"/>
                <w:color w:val="auto"/>
              </w:rPr>
              <w:t>Component Manufacturing</w:t>
            </w:r>
          </w:p>
        </w:tc>
        <w:tc>
          <w:tcPr>
            <w:tcW w:w="0" w:type="dxa"/>
            <w:vAlign w:val="bottom"/>
          </w:tcPr>
          <w:p>
            <w:pPr>
              <w:spacing w:after="0"/>
              <w:rPr>
                <w:sz w:val="1"/>
                <w:szCs w:val="1"/>
                <w:color w:val="auto"/>
              </w:rPr>
            </w:pPr>
          </w:p>
        </w:tc>
      </w:tr>
      <w:tr>
        <w:trPr>
          <w:trHeight w:val="135"/>
        </w:trPr>
        <w:tc>
          <w:tcPr>
            <w:tcW w:w="2920" w:type="dxa"/>
            <w:vAlign w:val="bottom"/>
            <w:gridSpan w:val="4"/>
          </w:tcPr>
          <w:p>
            <w:pPr>
              <w:ind w:left="260"/>
              <w:spacing w:after="0" w:line="135" w:lineRule="exact"/>
              <w:rPr>
                <w:sz w:val="20"/>
                <w:szCs w:val="20"/>
                <w:color w:val="auto"/>
              </w:rPr>
            </w:pPr>
            <w:r>
              <w:rPr>
                <w:rFonts w:ascii="Arial" w:cs="Arial" w:eastAsia="Arial" w:hAnsi="Arial"/>
                <w:sz w:val="13"/>
                <w:szCs w:val="13"/>
                <w:color w:val="auto"/>
              </w:rPr>
              <w:t>Subordinated Debt (j)</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20" w:type="dxa"/>
            <w:vAlign w:val="bottom"/>
          </w:tcPr>
          <w:p>
            <w:pPr>
              <w:ind w:left="260"/>
              <w:spacing w:after="0"/>
              <w:rPr>
                <w:sz w:val="20"/>
                <w:szCs w:val="20"/>
                <w:color w:val="auto"/>
              </w:rPr>
            </w:pPr>
            <w:r>
              <w:rPr>
                <w:rFonts w:ascii="Arial" w:cs="Arial" w:eastAsia="Arial" w:hAnsi="Arial"/>
                <w:sz w:val="13"/>
                <w:szCs w:val="13"/>
                <w:color w:val="auto"/>
                <w:w w:val="90"/>
              </w:rPr>
              <w:t>Common Equity</w:t>
            </w:r>
          </w:p>
        </w:tc>
        <w:tc>
          <w:tcPr>
            <w:tcW w:w="1800" w:type="dxa"/>
            <w:vAlign w:val="bottom"/>
            <w:gridSpan w:val="3"/>
          </w:tcPr>
          <w:p>
            <w:pPr>
              <w:spacing w:after="0"/>
              <w:rPr>
                <w:sz w:val="20"/>
                <w:szCs w:val="20"/>
                <w:color w:val="auto"/>
              </w:rPr>
            </w:pPr>
            <w:r>
              <w:rPr>
                <w:rFonts w:ascii="Arial" w:cs="Arial" w:eastAsia="Arial" w:hAnsi="Arial"/>
                <w:sz w:val="13"/>
                <w:szCs w:val="13"/>
                <w:color w:val="auto"/>
              </w:rPr>
              <w:t>(1,000,000 units) (h)(j)</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3"/>
                <w:szCs w:val="13"/>
                <w:i w:val="1"/>
                <w:iCs w:val="1"/>
                <w:color w:val="auto"/>
                <w:w w:val="95"/>
              </w:rPr>
              <w:t>French Transit, LLC</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20" w:type="dxa"/>
            <w:vAlign w:val="bottom"/>
          </w:tcPr>
          <w:p>
            <w:pPr>
              <w:ind w:left="40"/>
              <w:spacing w:after="0"/>
              <w:rPr>
                <w:sz w:val="20"/>
                <w:szCs w:val="20"/>
                <w:color w:val="auto"/>
              </w:rPr>
            </w:pPr>
            <w:r>
              <w:rPr>
                <w:rFonts w:ascii="Arial" w:cs="Arial" w:eastAsia="Arial" w:hAnsi="Arial"/>
                <w:sz w:val="13"/>
                <w:szCs w:val="13"/>
                <w:color w:val="auto"/>
              </w:rPr>
              <w:t>Consumer Products</w:t>
            </w:r>
          </w:p>
        </w:tc>
        <w:tc>
          <w:tcPr>
            <w:tcW w:w="0" w:type="dxa"/>
            <w:vAlign w:val="bottom"/>
          </w:tcPr>
          <w:p>
            <w:pPr>
              <w:spacing w:after="0"/>
              <w:rPr>
                <w:sz w:val="1"/>
                <w:szCs w:val="1"/>
                <w:color w:val="auto"/>
              </w:rPr>
            </w:pPr>
          </w:p>
        </w:tc>
      </w:tr>
    </w:tbl>
    <w:p>
      <w:pPr>
        <w:ind w:left="380"/>
        <w:spacing w:after="0" w:line="237" w:lineRule="auto"/>
        <w:rPr>
          <w:sz w:val="20"/>
          <w:szCs w:val="20"/>
          <w:color w:val="auto"/>
        </w:rPr>
      </w:pPr>
      <w:r>
        <w:rPr>
          <w:rFonts w:ascii="Arial" w:cs="Arial" w:eastAsia="Arial" w:hAnsi="Arial"/>
          <w:sz w:val="13"/>
          <w:szCs w:val="13"/>
          <w:color w:val="auto"/>
        </w:rPr>
        <w:t>First Lien Debt (j)</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60" w:type="dxa"/>
            <w:vAlign w:val="bottom"/>
            <w:gridSpan w:val="2"/>
          </w:tcPr>
          <w:p>
            <w:pPr>
              <w:ind w:left="200"/>
              <w:spacing w:after="0"/>
              <w:rPr>
                <w:sz w:val="20"/>
                <w:szCs w:val="20"/>
                <w:color w:val="auto"/>
              </w:rPr>
            </w:pPr>
            <w:r>
              <w:rPr>
                <w:rFonts w:ascii="Arial" w:cs="Arial" w:eastAsia="Arial" w:hAnsi="Arial"/>
                <w:sz w:val="13"/>
                <w:szCs w:val="13"/>
                <w:b w:val="1"/>
                <w:bCs w:val="1"/>
                <w:color w:val="auto"/>
              </w:rPr>
              <w:t>Variable Index</w:t>
            </w:r>
          </w:p>
        </w:tc>
        <w:tc>
          <w:tcPr>
            <w:tcW w:w="900" w:type="dxa"/>
            <w:vAlign w:val="bottom"/>
            <w:gridSpan w:val="2"/>
          </w:tcPr>
          <w:p>
            <w:pPr>
              <w:ind w:left="180"/>
              <w:spacing w:after="0"/>
              <w:rPr>
                <w:sz w:val="20"/>
                <w:szCs w:val="20"/>
                <w:color w:val="auto"/>
              </w:rPr>
            </w:pPr>
            <w:r>
              <w:rPr>
                <w:rFonts w:ascii="Arial" w:cs="Arial" w:eastAsia="Arial" w:hAnsi="Arial"/>
                <w:sz w:val="13"/>
                <w:szCs w:val="13"/>
                <w:b w:val="1"/>
                <w:bCs w:val="1"/>
                <w:color w:val="auto"/>
              </w:rPr>
              <w:t>Rate (e)</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Investment</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3"/>
                <w:szCs w:val="13"/>
                <w:b w:val="1"/>
                <w:bCs w:val="1"/>
                <w:color w:val="auto"/>
                <w:w w:val="94"/>
              </w:rPr>
              <w:t>Principal</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1"/>
              </w:rPr>
              <w:t>Percent of</w:t>
            </w:r>
          </w:p>
        </w:tc>
      </w:tr>
      <w:tr>
        <w:trPr>
          <w:trHeight w:val="166"/>
        </w:trPr>
        <w:tc>
          <w:tcPr>
            <w:tcW w:w="12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6"/>
              </w:rPr>
              <w:t>Spread / Floor (d)</w:t>
            </w:r>
          </w:p>
        </w:tc>
        <w:tc>
          <w:tcPr>
            <w:tcW w:w="60" w:type="dxa"/>
            <w:vAlign w:val="bottom"/>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Cash/PIK</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Date (f)</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Maturity</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Amount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Cost</w:t>
            </w: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3"/>
              </w:rPr>
              <w:t>Value (g)</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77"/>
              </w:rPr>
              <w:t>Net Assets</w:t>
            </w:r>
          </w:p>
        </w:tc>
        <w:tc>
          <w:tcPr>
            <w:tcW w:w="100" w:type="dxa"/>
            <w:vAlign w:val="bottom"/>
          </w:tcPr>
          <w:p>
            <w:pPr>
              <w:spacing w:after="0"/>
              <w:rPr>
                <w:sz w:val="14"/>
                <w:szCs w:val="14"/>
                <w:color w:val="auto"/>
              </w:rPr>
            </w:pPr>
          </w:p>
        </w:tc>
      </w:tr>
      <w:tr>
        <w:trPr>
          <w:trHeight w:val="370"/>
        </w:trPr>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0.00%/17.00%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11/30/2016</w:t>
            </w:r>
          </w:p>
        </w:tc>
        <w:tc>
          <w:tcPr>
            <w:tcW w:w="620" w:type="dxa"/>
            <w:vAlign w:val="bottom"/>
          </w:tcPr>
          <w:p>
            <w:pPr>
              <w:jc w:val="right"/>
              <w:spacing w:after="0"/>
              <w:rPr>
                <w:sz w:val="20"/>
                <w:szCs w:val="20"/>
                <w:color w:val="auto"/>
              </w:rPr>
            </w:pPr>
            <w:r>
              <w:rPr>
                <w:rFonts w:ascii="Arial" w:cs="Arial" w:eastAsia="Arial" w:hAnsi="Arial"/>
                <w:sz w:val="13"/>
                <w:szCs w:val="13"/>
                <w:color w:val="auto"/>
              </w:rPr>
              <w:t>5/30/2022</w:t>
            </w:r>
          </w:p>
        </w:tc>
        <w:tc>
          <w:tcPr>
            <w:tcW w:w="12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w w:val="88"/>
              </w:rPr>
              <w:t>$  35,410</w:t>
            </w:r>
          </w:p>
        </w:tc>
        <w:tc>
          <w:tcPr>
            <w:tcW w:w="540" w:type="dxa"/>
            <w:vAlign w:val="bottom"/>
            <w:gridSpan w:val="4"/>
          </w:tcPr>
          <w:p>
            <w:pPr>
              <w:jc w:val="right"/>
              <w:ind w:right="60"/>
              <w:spacing w:after="0"/>
              <w:rPr>
                <w:sz w:val="20"/>
                <w:szCs w:val="20"/>
                <w:color w:val="auto"/>
              </w:rPr>
            </w:pPr>
            <w:r>
              <w:rPr>
                <w:rFonts w:ascii="Arial" w:cs="Arial" w:eastAsia="Arial" w:hAnsi="Arial"/>
                <w:sz w:val="13"/>
                <w:szCs w:val="13"/>
                <w:color w:val="auto"/>
                <w:w w:val="97"/>
              </w:rPr>
              <w:t>$35,328</w:t>
            </w: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  5,333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11/30/2016</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800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36,128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5,333</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245"/>
        </w:trPr>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11.25%/0.00%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7/31/2019</w:t>
            </w:r>
          </w:p>
        </w:tc>
        <w:tc>
          <w:tcPr>
            <w:tcW w:w="620" w:type="dxa"/>
            <w:vAlign w:val="bottom"/>
          </w:tcPr>
          <w:p>
            <w:pPr>
              <w:jc w:val="right"/>
              <w:spacing w:after="0"/>
              <w:rPr>
                <w:sz w:val="20"/>
                <w:szCs w:val="20"/>
                <w:color w:val="auto"/>
              </w:rPr>
            </w:pPr>
            <w:r>
              <w:rPr>
                <w:rFonts w:ascii="Arial" w:cs="Arial" w:eastAsia="Arial" w:hAnsi="Arial"/>
                <w:sz w:val="13"/>
                <w:szCs w:val="13"/>
                <w:color w:val="auto"/>
              </w:rPr>
              <w:t>5/26/2023</w:t>
            </w:r>
          </w:p>
        </w:tc>
        <w:tc>
          <w:tcPr>
            <w:tcW w:w="12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21,500</w:t>
            </w:r>
          </w:p>
        </w:tc>
        <w:tc>
          <w:tcPr>
            <w:tcW w:w="540" w:type="dxa"/>
            <w:vAlign w:val="bottom"/>
            <w:gridSpan w:val="4"/>
          </w:tcPr>
          <w:p>
            <w:pPr>
              <w:jc w:val="right"/>
              <w:ind w:right="60"/>
              <w:spacing w:after="0"/>
              <w:rPr>
                <w:sz w:val="20"/>
                <w:szCs w:val="20"/>
                <w:color w:val="auto"/>
              </w:rPr>
            </w:pPr>
            <w:r>
              <w:rPr>
                <w:rFonts w:ascii="Arial" w:cs="Arial" w:eastAsia="Arial" w:hAnsi="Arial"/>
                <w:sz w:val="13"/>
                <w:szCs w:val="13"/>
                <w:color w:val="auto"/>
              </w:rPr>
              <w:t>21,425</w:t>
            </w: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21,500</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11/26/2014</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625</w:t>
            </w:r>
          </w:p>
        </w:tc>
        <w:tc>
          <w:tcPr>
            <w:tcW w:w="4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1,054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22,050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22,554</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6%</w:t>
            </w:r>
          </w:p>
        </w:tc>
      </w:tr>
      <w:tr>
        <w:trPr>
          <w:trHeight w:val="380"/>
        </w:trPr>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10.50%/0.75%</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3/2/2020</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9/2/2026</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10,044</w:t>
            </w: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9,954</w:t>
            </w:r>
          </w:p>
        </w:tc>
        <w:tc>
          <w:tcPr>
            <w:tcW w:w="40" w:type="dxa"/>
            <w:vAlign w:val="bottom"/>
          </w:tcPr>
          <w:p>
            <w:pPr>
              <w:spacing w:after="0"/>
              <w:rPr>
                <w:sz w:val="24"/>
                <w:szCs w:val="2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8,044</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7/21/2017</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637</w:t>
            </w:r>
          </w:p>
        </w:tc>
        <w:tc>
          <w:tcPr>
            <w:tcW w:w="4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449</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10,591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8,493</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245"/>
        </w:trPr>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w w:val="95"/>
              </w:rPr>
              <w:t>(L + 5.75%) / (2.00%)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7.75%/0.00%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10/23/2018</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10/23/2023</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6,500</w:t>
            </w: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6,469</w:t>
            </w:r>
          </w:p>
        </w:tc>
        <w:tc>
          <w:tcPr>
            <w:tcW w:w="40" w:type="dxa"/>
            <w:vAlign w:val="bottom"/>
          </w:tcPr>
          <w:p>
            <w:pPr>
              <w:spacing w:after="0"/>
              <w:rPr>
                <w:sz w:val="21"/>
                <w:szCs w:val="21"/>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6,500</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10/23/2018</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500</w:t>
            </w:r>
          </w:p>
        </w:tc>
        <w:tc>
          <w:tcPr>
            <w:tcW w:w="4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853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6,969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7,353</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380"/>
        </w:trPr>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w w:val="89"/>
              </w:rPr>
              <w:t>(L + 11.00%) / (2.00%)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13.00%/0.00%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5/31/2018</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11/30/2023</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17,503</w:t>
            </w:r>
          </w:p>
        </w:tc>
        <w:tc>
          <w:tcPr>
            <w:tcW w:w="540" w:type="dxa"/>
            <w:vAlign w:val="bottom"/>
            <w:gridSpan w:val="4"/>
          </w:tcPr>
          <w:p>
            <w:pPr>
              <w:jc w:val="right"/>
              <w:ind w:right="60"/>
              <w:spacing w:after="0"/>
              <w:rPr>
                <w:sz w:val="20"/>
                <w:szCs w:val="20"/>
                <w:color w:val="auto"/>
              </w:rPr>
            </w:pPr>
            <w:r>
              <w:rPr>
                <w:rFonts w:ascii="Arial" w:cs="Arial" w:eastAsia="Arial" w:hAnsi="Arial"/>
                <w:sz w:val="13"/>
                <w:szCs w:val="13"/>
                <w:color w:val="auto"/>
              </w:rPr>
              <w:t>17,428</w:t>
            </w: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17,503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5/31/2018</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500</w:t>
            </w:r>
          </w:p>
        </w:tc>
        <w:tc>
          <w:tcPr>
            <w:tcW w:w="40" w:type="dxa"/>
            <w:vAlign w:val="bottom"/>
          </w:tcPr>
          <w:p>
            <w:pPr>
              <w:spacing w:after="0"/>
              <w:rPr>
                <w:sz w:val="11"/>
                <w:szCs w:val="11"/>
                <w:color w:val="auto"/>
              </w:rPr>
            </w:pPr>
          </w:p>
        </w:tc>
        <w:tc>
          <w:tcPr>
            <w:tcW w:w="6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316</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8/6/2019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250</w:t>
            </w:r>
          </w:p>
        </w:tc>
        <w:tc>
          <w:tcPr>
            <w:tcW w:w="4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250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18,178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18,069</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w:t>
            </w:r>
          </w:p>
        </w:tc>
      </w:tr>
      <w:tr>
        <w:trPr>
          <w:trHeight w:val="269"/>
        </w:trPr>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w w:val="89"/>
              </w:rPr>
              <w:t>(L + 10.75%) / (2.00%)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12.75%/0.00%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12/26/2018</w:t>
            </w:r>
          </w:p>
        </w:tc>
        <w:tc>
          <w:tcPr>
            <w:tcW w:w="620" w:type="dxa"/>
            <w:vAlign w:val="bottom"/>
          </w:tcPr>
          <w:p>
            <w:pPr>
              <w:jc w:val="right"/>
              <w:spacing w:after="0"/>
              <w:rPr>
                <w:sz w:val="20"/>
                <w:szCs w:val="20"/>
                <w:color w:val="auto"/>
              </w:rPr>
            </w:pPr>
            <w:r>
              <w:rPr>
                <w:rFonts w:ascii="Arial" w:cs="Arial" w:eastAsia="Arial" w:hAnsi="Arial"/>
                <w:sz w:val="13"/>
                <w:szCs w:val="13"/>
                <w:color w:val="auto"/>
              </w:rPr>
              <w:t>6/28/2023</w:t>
            </w:r>
          </w:p>
        </w:tc>
        <w:tc>
          <w:tcPr>
            <w:tcW w:w="120" w:type="dxa"/>
            <w:vAlign w:val="bottom"/>
          </w:tcPr>
          <w:p>
            <w:pPr>
              <w:spacing w:after="0"/>
              <w:rPr>
                <w:sz w:val="23"/>
                <w:szCs w:val="2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13,313</w:t>
            </w:r>
          </w:p>
        </w:tc>
        <w:tc>
          <w:tcPr>
            <w:tcW w:w="540" w:type="dxa"/>
            <w:vAlign w:val="bottom"/>
            <w:gridSpan w:val="4"/>
          </w:tcPr>
          <w:p>
            <w:pPr>
              <w:jc w:val="right"/>
              <w:ind w:right="60"/>
              <w:spacing w:after="0"/>
              <w:rPr>
                <w:sz w:val="20"/>
                <w:szCs w:val="20"/>
                <w:color w:val="auto"/>
              </w:rPr>
            </w:pPr>
            <w:r>
              <w:rPr>
                <w:rFonts w:ascii="Arial" w:cs="Arial" w:eastAsia="Arial" w:hAnsi="Arial"/>
                <w:sz w:val="13"/>
                <w:szCs w:val="13"/>
                <w:color w:val="auto"/>
              </w:rPr>
              <w:t>13,267</w:t>
            </w: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13,313</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381"/>
        </w:trPr>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11.50%/0.00%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1/3/2018</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7/3/2023</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22,500</w:t>
            </w:r>
          </w:p>
        </w:tc>
        <w:tc>
          <w:tcPr>
            <w:tcW w:w="540" w:type="dxa"/>
            <w:vAlign w:val="bottom"/>
            <w:gridSpan w:val="4"/>
          </w:tcPr>
          <w:p>
            <w:pPr>
              <w:jc w:val="right"/>
              <w:ind w:right="60"/>
              <w:spacing w:after="0"/>
              <w:rPr>
                <w:sz w:val="20"/>
                <w:szCs w:val="20"/>
                <w:color w:val="auto"/>
              </w:rPr>
            </w:pPr>
            <w:r>
              <w:rPr>
                <w:rFonts w:ascii="Arial" w:cs="Arial" w:eastAsia="Arial" w:hAnsi="Arial"/>
                <w:sz w:val="13"/>
                <w:szCs w:val="13"/>
                <w:color w:val="auto"/>
              </w:rPr>
              <w:t>22,443</w:t>
            </w: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22,500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1/3/2018</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487</w:t>
            </w:r>
          </w:p>
        </w:tc>
        <w:tc>
          <w:tcPr>
            <w:tcW w:w="4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455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22,930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22,955</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6%</w:t>
            </w:r>
          </w:p>
        </w:tc>
      </w:tr>
      <w:tr>
        <w:trPr>
          <w:trHeight w:val="245"/>
        </w:trPr>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11.25%/4.00%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2/27/2018</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1/1/2022</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10,800</w:t>
            </w:r>
          </w:p>
        </w:tc>
        <w:tc>
          <w:tcPr>
            <w:tcW w:w="540" w:type="dxa"/>
            <w:vAlign w:val="bottom"/>
            <w:gridSpan w:val="4"/>
          </w:tcPr>
          <w:p>
            <w:pPr>
              <w:jc w:val="right"/>
              <w:ind w:right="60"/>
              <w:spacing w:after="0"/>
              <w:rPr>
                <w:sz w:val="20"/>
                <w:szCs w:val="20"/>
                <w:color w:val="auto"/>
              </w:rPr>
            </w:pPr>
            <w:r>
              <w:rPr>
                <w:rFonts w:ascii="Arial" w:cs="Arial" w:eastAsia="Arial" w:hAnsi="Arial"/>
                <w:sz w:val="13"/>
                <w:szCs w:val="13"/>
                <w:color w:val="auto"/>
              </w:rPr>
              <w:t>10,774</w:t>
            </w: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10,569</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2/27/2018</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497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11,271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10,569</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245"/>
        </w:trPr>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w w:val="95"/>
              </w:rPr>
              <w:t>(L + 6.50%) / (2.25%)</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8.75%/0.25%</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8/9/2019</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8/9/2024</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14,680</w:t>
            </w:r>
          </w:p>
        </w:tc>
        <w:tc>
          <w:tcPr>
            <w:tcW w:w="540" w:type="dxa"/>
            <w:vAlign w:val="bottom"/>
            <w:gridSpan w:val="4"/>
          </w:tcPr>
          <w:p>
            <w:pPr>
              <w:jc w:val="right"/>
              <w:ind w:right="60"/>
              <w:spacing w:after="0"/>
              <w:rPr>
                <w:sz w:val="20"/>
                <w:szCs w:val="20"/>
                <w:color w:val="auto"/>
              </w:rPr>
            </w:pPr>
            <w:r>
              <w:rPr>
                <w:rFonts w:ascii="Arial" w:cs="Arial" w:eastAsia="Arial" w:hAnsi="Arial"/>
                <w:sz w:val="13"/>
                <w:szCs w:val="13"/>
                <w:color w:val="auto"/>
              </w:rPr>
              <w:t>14,264</w:t>
            </w: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14,495</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8/9/2019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931</w:t>
            </w:r>
          </w:p>
        </w:tc>
        <w:tc>
          <w:tcPr>
            <w:tcW w:w="4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542</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15,195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15,037</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w:t>
            </w:r>
          </w:p>
        </w:tc>
      </w:tr>
      <w:tr>
        <w:trPr>
          <w:trHeight w:val="245"/>
        </w:trPr>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11.00%/1.00%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1/28/2019</w:t>
            </w:r>
          </w:p>
        </w:tc>
        <w:tc>
          <w:tcPr>
            <w:tcW w:w="620" w:type="dxa"/>
            <w:vAlign w:val="bottom"/>
          </w:tcPr>
          <w:p>
            <w:pPr>
              <w:jc w:val="right"/>
              <w:spacing w:after="0"/>
              <w:rPr>
                <w:sz w:val="20"/>
                <w:szCs w:val="20"/>
                <w:color w:val="auto"/>
              </w:rPr>
            </w:pPr>
            <w:r>
              <w:rPr>
                <w:rFonts w:ascii="Arial" w:cs="Arial" w:eastAsia="Arial" w:hAnsi="Arial"/>
                <w:sz w:val="13"/>
                <w:szCs w:val="13"/>
                <w:color w:val="auto"/>
              </w:rPr>
              <w:t>4/11/2023</w:t>
            </w:r>
          </w:p>
        </w:tc>
        <w:tc>
          <w:tcPr>
            <w:tcW w:w="12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18,304</w:t>
            </w:r>
          </w:p>
        </w:tc>
        <w:tc>
          <w:tcPr>
            <w:tcW w:w="540" w:type="dxa"/>
            <w:vAlign w:val="bottom"/>
            <w:gridSpan w:val="4"/>
          </w:tcPr>
          <w:p>
            <w:pPr>
              <w:jc w:val="right"/>
              <w:ind w:right="60"/>
              <w:spacing w:after="0"/>
              <w:rPr>
                <w:sz w:val="20"/>
                <w:szCs w:val="20"/>
                <w:color w:val="auto"/>
              </w:rPr>
            </w:pPr>
            <w:r>
              <w:rPr>
                <w:rFonts w:ascii="Arial" w:cs="Arial" w:eastAsia="Arial" w:hAnsi="Arial"/>
                <w:sz w:val="13"/>
                <w:szCs w:val="13"/>
                <w:color w:val="auto"/>
              </w:rPr>
              <w:t>18,195</w:t>
            </w: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18,304</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5"/>
        </w:trPr>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1/28/2019</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232</w:t>
            </w:r>
          </w:p>
        </w:tc>
        <w:tc>
          <w:tcPr>
            <w:tcW w:w="40" w:type="dxa"/>
            <w:vAlign w:val="bottom"/>
          </w:tcPr>
          <w:p>
            <w:pPr>
              <w:spacing w:after="0"/>
              <w:rPr>
                <w:sz w:val="11"/>
                <w:szCs w:val="11"/>
                <w:color w:val="auto"/>
              </w:rPr>
            </w:pPr>
          </w:p>
        </w:tc>
        <w:tc>
          <w:tcPr>
            <w:tcW w:w="6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228</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1/28/2019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143</w:t>
            </w:r>
          </w:p>
        </w:tc>
        <w:tc>
          <w:tcPr>
            <w:tcW w:w="4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143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18,570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18,675</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w:t>
            </w:r>
          </w:p>
        </w:tc>
      </w:tr>
      <w:tr>
        <w:trPr>
          <w:trHeight w:val="245"/>
        </w:trPr>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11.00%/0.00%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1/3/2019</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7/3/2024</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29,000</w:t>
            </w:r>
          </w:p>
        </w:tc>
        <w:tc>
          <w:tcPr>
            <w:tcW w:w="540" w:type="dxa"/>
            <w:vAlign w:val="bottom"/>
            <w:gridSpan w:val="4"/>
          </w:tcPr>
          <w:p>
            <w:pPr>
              <w:jc w:val="right"/>
              <w:ind w:right="60"/>
              <w:spacing w:after="0"/>
              <w:rPr>
                <w:sz w:val="20"/>
                <w:szCs w:val="20"/>
                <w:color w:val="auto"/>
              </w:rPr>
            </w:pPr>
            <w:r>
              <w:rPr>
                <w:rFonts w:ascii="Arial" w:cs="Arial" w:eastAsia="Arial" w:hAnsi="Arial"/>
                <w:sz w:val="13"/>
                <w:szCs w:val="13"/>
                <w:color w:val="auto"/>
              </w:rPr>
              <w:t>28,889</w:t>
            </w: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29,000</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5"/>
        </w:trPr>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1/3/2019</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1"/>
                <w:szCs w:val="11"/>
                <w:color w:val="auto"/>
              </w:rPr>
            </w:pPr>
          </w:p>
        </w:tc>
        <w:tc>
          <w:tcPr>
            <w:tcW w:w="6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149</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1/3/2019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665</w:t>
            </w:r>
          </w:p>
        </w:tc>
        <w:tc>
          <w:tcPr>
            <w:tcW w:w="4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665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29,555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29,814</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8%</w:t>
            </w:r>
          </w:p>
        </w:tc>
      </w:tr>
      <w:tr>
        <w:trPr>
          <w:trHeight w:val="245"/>
        </w:trPr>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w w:val="95"/>
              </w:rPr>
              <w:t>(L + 6.25%) / (2.00%)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8.25%/0.00%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3/12/2019</w:t>
            </w:r>
          </w:p>
        </w:tc>
        <w:tc>
          <w:tcPr>
            <w:tcW w:w="620" w:type="dxa"/>
            <w:vAlign w:val="bottom"/>
          </w:tcPr>
          <w:p>
            <w:pPr>
              <w:jc w:val="right"/>
              <w:spacing w:after="0"/>
              <w:rPr>
                <w:sz w:val="20"/>
                <w:szCs w:val="20"/>
                <w:color w:val="auto"/>
              </w:rPr>
            </w:pPr>
            <w:r>
              <w:rPr>
                <w:rFonts w:ascii="Arial" w:cs="Arial" w:eastAsia="Arial" w:hAnsi="Arial"/>
                <w:sz w:val="13"/>
                <w:szCs w:val="13"/>
                <w:color w:val="auto"/>
              </w:rPr>
              <w:t>3/12/2024</w:t>
            </w:r>
          </w:p>
        </w:tc>
        <w:tc>
          <w:tcPr>
            <w:tcW w:w="12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4,555</w:t>
            </w: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4,530</w:t>
            </w:r>
          </w:p>
        </w:tc>
        <w:tc>
          <w:tcPr>
            <w:tcW w:w="40" w:type="dxa"/>
            <w:vAlign w:val="bottom"/>
          </w:tcPr>
          <w:p>
            <w:pPr>
              <w:spacing w:after="0"/>
              <w:rPr>
                <w:sz w:val="21"/>
                <w:szCs w:val="21"/>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4,422</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3/12/2019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500</w:t>
            </w:r>
          </w:p>
        </w:tc>
        <w:tc>
          <w:tcPr>
            <w:tcW w:w="4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277</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5,030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4,699</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245"/>
        </w:trPr>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12/15/2015</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521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12/6/2019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96</w:t>
            </w:r>
          </w:p>
        </w:tc>
        <w:tc>
          <w:tcPr>
            <w:tcW w:w="4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43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617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245"/>
        </w:trPr>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w w:val="89"/>
              </w:rPr>
              <w:t>(L + 10.00%) / (2.00%)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12.00%/0.00%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1/31/2020</w:t>
            </w:r>
          </w:p>
        </w:tc>
        <w:tc>
          <w:tcPr>
            <w:tcW w:w="620" w:type="dxa"/>
            <w:vAlign w:val="bottom"/>
          </w:tcPr>
          <w:p>
            <w:pPr>
              <w:jc w:val="right"/>
              <w:spacing w:after="0"/>
              <w:rPr>
                <w:sz w:val="20"/>
                <w:szCs w:val="20"/>
                <w:color w:val="auto"/>
              </w:rPr>
            </w:pPr>
            <w:r>
              <w:rPr>
                <w:rFonts w:ascii="Arial" w:cs="Arial" w:eastAsia="Arial" w:hAnsi="Arial"/>
                <w:sz w:val="13"/>
                <w:szCs w:val="13"/>
                <w:color w:val="auto"/>
              </w:rPr>
              <w:t>1/31/2025</w:t>
            </w:r>
          </w:p>
        </w:tc>
        <w:tc>
          <w:tcPr>
            <w:tcW w:w="12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7,700</w:t>
            </w: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7,650</w:t>
            </w:r>
          </w:p>
        </w:tc>
        <w:tc>
          <w:tcPr>
            <w:tcW w:w="40" w:type="dxa"/>
            <w:vAlign w:val="bottom"/>
          </w:tcPr>
          <w:p>
            <w:pPr>
              <w:spacing w:after="0"/>
              <w:rPr>
                <w:sz w:val="21"/>
                <w:szCs w:val="21"/>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7,700</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w w:val="95"/>
              </w:rPr>
              <w:t>(L + 9.00%) / (2.00%)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11.00%/0.00%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1/31/2020</w:t>
            </w:r>
          </w:p>
        </w:tc>
        <w:tc>
          <w:tcPr>
            <w:tcW w:w="620" w:type="dxa"/>
            <w:vAlign w:val="bottom"/>
          </w:tcPr>
          <w:p>
            <w:pPr>
              <w:jc w:val="right"/>
              <w:spacing w:after="0"/>
              <w:rPr>
                <w:sz w:val="20"/>
                <w:szCs w:val="20"/>
                <w:color w:val="auto"/>
              </w:rPr>
            </w:pPr>
            <w:r>
              <w:rPr>
                <w:rFonts w:ascii="Arial" w:cs="Arial" w:eastAsia="Arial" w:hAnsi="Arial"/>
                <w:sz w:val="13"/>
                <w:szCs w:val="13"/>
                <w:color w:val="auto"/>
              </w:rPr>
              <w:t>1/31/2025</w:t>
            </w:r>
          </w:p>
        </w:tc>
        <w:tc>
          <w:tcPr>
            <w:tcW w:w="12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3,800</w:t>
            </w: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3,778</w:t>
            </w:r>
          </w:p>
        </w:tc>
        <w:tc>
          <w:tcPr>
            <w:tcW w:w="4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3,800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11,428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11,500</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245"/>
        </w:trPr>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11.00%/0.00%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7/28/2017</w:t>
            </w:r>
          </w:p>
        </w:tc>
        <w:tc>
          <w:tcPr>
            <w:tcW w:w="620" w:type="dxa"/>
            <w:vAlign w:val="bottom"/>
          </w:tcPr>
          <w:p>
            <w:pPr>
              <w:jc w:val="right"/>
              <w:spacing w:after="0"/>
              <w:rPr>
                <w:sz w:val="20"/>
                <w:szCs w:val="20"/>
                <w:color w:val="auto"/>
              </w:rPr>
            </w:pPr>
            <w:r>
              <w:rPr>
                <w:rFonts w:ascii="Arial" w:cs="Arial" w:eastAsia="Arial" w:hAnsi="Arial"/>
                <w:sz w:val="13"/>
                <w:szCs w:val="13"/>
                <w:color w:val="auto"/>
              </w:rPr>
              <w:t>1/28/2023</w:t>
            </w:r>
          </w:p>
        </w:tc>
        <w:tc>
          <w:tcPr>
            <w:tcW w:w="12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6,750</w:t>
            </w: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6,736</w:t>
            </w:r>
          </w:p>
        </w:tc>
        <w:tc>
          <w:tcPr>
            <w:tcW w:w="40" w:type="dxa"/>
            <w:vAlign w:val="bottom"/>
          </w:tcPr>
          <w:p>
            <w:pPr>
              <w:spacing w:after="0"/>
              <w:rPr>
                <w:sz w:val="21"/>
                <w:szCs w:val="21"/>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6,750</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5"/>
        </w:trPr>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7/28/2017</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2</w:t>
            </w:r>
          </w:p>
        </w:tc>
        <w:tc>
          <w:tcPr>
            <w:tcW w:w="40" w:type="dxa"/>
            <w:vAlign w:val="bottom"/>
          </w:tcPr>
          <w:p>
            <w:pPr>
              <w:spacing w:after="0"/>
              <w:rPr>
                <w:sz w:val="11"/>
                <w:szCs w:val="11"/>
                <w:color w:val="auto"/>
              </w:rPr>
            </w:pPr>
          </w:p>
        </w:tc>
        <w:tc>
          <w:tcPr>
            <w:tcW w:w="6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423</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7/28/2017</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498</w:t>
            </w:r>
          </w:p>
        </w:tc>
        <w:tc>
          <w:tcPr>
            <w:tcW w:w="4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498</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7,236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7,671</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245"/>
        </w:trPr>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10.50%/1.50%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3/14/2018</w:t>
            </w:r>
          </w:p>
        </w:tc>
        <w:tc>
          <w:tcPr>
            <w:tcW w:w="620" w:type="dxa"/>
            <w:vAlign w:val="bottom"/>
          </w:tcPr>
          <w:p>
            <w:pPr>
              <w:jc w:val="right"/>
              <w:spacing w:after="0"/>
              <w:rPr>
                <w:sz w:val="20"/>
                <w:szCs w:val="20"/>
                <w:color w:val="auto"/>
              </w:rPr>
            </w:pPr>
            <w:r>
              <w:rPr>
                <w:rFonts w:ascii="Arial" w:cs="Arial" w:eastAsia="Arial" w:hAnsi="Arial"/>
                <w:sz w:val="13"/>
                <w:szCs w:val="13"/>
                <w:color w:val="auto"/>
              </w:rPr>
              <w:t>4/30/2024</w:t>
            </w:r>
          </w:p>
        </w:tc>
        <w:tc>
          <w:tcPr>
            <w:tcW w:w="12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11,262</w:t>
            </w: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11,224</w:t>
            </w:r>
          </w:p>
        </w:tc>
        <w:tc>
          <w:tcPr>
            <w:tcW w:w="40" w:type="dxa"/>
            <w:vAlign w:val="bottom"/>
          </w:tcPr>
          <w:p>
            <w:pPr>
              <w:spacing w:after="0"/>
              <w:rPr>
                <w:sz w:val="21"/>
                <w:szCs w:val="21"/>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11,262</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3/14/2018</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375</w:t>
            </w:r>
          </w:p>
        </w:tc>
        <w:tc>
          <w:tcPr>
            <w:tcW w:w="4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210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11,599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11,472</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245"/>
        </w:trPr>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w w:val="95"/>
              </w:rPr>
              <w:t>(L + 8.00%) / (1.75%)</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9.75%/0.00%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2/7/2019</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2/7/2024</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17,355</w:t>
            </w:r>
          </w:p>
        </w:tc>
        <w:tc>
          <w:tcPr>
            <w:tcW w:w="540" w:type="dxa"/>
            <w:vAlign w:val="bottom"/>
            <w:gridSpan w:val="4"/>
          </w:tcPr>
          <w:p>
            <w:pPr>
              <w:jc w:val="right"/>
              <w:ind w:right="60"/>
              <w:spacing w:after="0"/>
              <w:rPr>
                <w:sz w:val="20"/>
                <w:szCs w:val="20"/>
                <w:color w:val="auto"/>
              </w:rPr>
            </w:pPr>
            <w:r>
              <w:rPr>
                <w:rFonts w:ascii="Arial" w:cs="Arial" w:eastAsia="Arial" w:hAnsi="Arial"/>
                <w:sz w:val="13"/>
                <w:szCs w:val="13"/>
                <w:color w:val="auto"/>
              </w:rPr>
              <w:t>17,143</w:t>
            </w: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17,355</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2/7/2019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593</w:t>
            </w:r>
          </w:p>
        </w:tc>
        <w:tc>
          <w:tcPr>
            <w:tcW w:w="4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258</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17,736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17,613</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w:t>
            </w:r>
          </w:p>
        </w:tc>
      </w:tr>
      <w:tr>
        <w:trPr>
          <w:trHeight w:val="245"/>
        </w:trPr>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12.50%/1.50%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7/13/2017</w:t>
            </w:r>
          </w:p>
        </w:tc>
        <w:tc>
          <w:tcPr>
            <w:tcW w:w="620" w:type="dxa"/>
            <w:vAlign w:val="bottom"/>
          </w:tcPr>
          <w:p>
            <w:pPr>
              <w:jc w:val="right"/>
              <w:spacing w:after="0"/>
              <w:rPr>
                <w:sz w:val="20"/>
                <w:szCs w:val="20"/>
                <w:color w:val="auto"/>
              </w:rPr>
            </w:pPr>
            <w:r>
              <w:rPr>
                <w:rFonts w:ascii="Arial" w:cs="Arial" w:eastAsia="Arial" w:hAnsi="Arial"/>
                <w:sz w:val="13"/>
                <w:szCs w:val="13"/>
                <w:color w:val="auto"/>
              </w:rPr>
              <w:t>1/13/2023</w:t>
            </w:r>
          </w:p>
        </w:tc>
        <w:tc>
          <w:tcPr>
            <w:tcW w:w="12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9,253</w:t>
            </w: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9,210</w:t>
            </w:r>
          </w:p>
        </w:tc>
        <w:tc>
          <w:tcPr>
            <w:tcW w:w="40" w:type="dxa"/>
            <w:vAlign w:val="bottom"/>
          </w:tcPr>
          <w:p>
            <w:pPr>
              <w:spacing w:after="0"/>
              <w:rPr>
                <w:sz w:val="21"/>
                <w:szCs w:val="21"/>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6,366</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7/13/2017</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750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9,960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6,366</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245"/>
        </w:trPr>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11.50%/0.00%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4/30/2020</w:t>
            </w:r>
          </w:p>
        </w:tc>
        <w:tc>
          <w:tcPr>
            <w:tcW w:w="620" w:type="dxa"/>
            <w:vAlign w:val="bottom"/>
          </w:tcPr>
          <w:p>
            <w:pPr>
              <w:jc w:val="right"/>
              <w:spacing w:after="0"/>
              <w:rPr>
                <w:sz w:val="20"/>
                <w:szCs w:val="20"/>
                <w:color w:val="auto"/>
              </w:rPr>
            </w:pPr>
            <w:r>
              <w:rPr>
                <w:rFonts w:ascii="Arial" w:cs="Arial" w:eastAsia="Arial" w:hAnsi="Arial"/>
                <w:sz w:val="13"/>
                <w:szCs w:val="13"/>
                <w:color w:val="auto"/>
              </w:rPr>
              <w:t>5/23/2026</w:t>
            </w:r>
          </w:p>
        </w:tc>
        <w:tc>
          <w:tcPr>
            <w:tcW w:w="12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11,500</w:t>
            </w: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11,286</w:t>
            </w:r>
          </w:p>
        </w:tc>
        <w:tc>
          <w:tcPr>
            <w:tcW w:w="40" w:type="dxa"/>
            <w:vAlign w:val="bottom"/>
          </w:tcPr>
          <w:p>
            <w:pPr>
              <w:spacing w:after="0"/>
              <w:rPr>
                <w:sz w:val="21"/>
                <w:szCs w:val="21"/>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11,286</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4/30/2020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1,000</w:t>
            </w:r>
          </w:p>
        </w:tc>
        <w:tc>
          <w:tcPr>
            <w:tcW w:w="4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1,000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12,286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12,286</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269"/>
        </w:trPr>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w w:val="89"/>
              </w:rPr>
              <w:t>(L + 10.00%) / (2.25%)</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12.25%/0.00%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6/21/2019</w:t>
            </w:r>
          </w:p>
        </w:tc>
        <w:tc>
          <w:tcPr>
            <w:tcW w:w="620" w:type="dxa"/>
            <w:vAlign w:val="bottom"/>
          </w:tcPr>
          <w:p>
            <w:pPr>
              <w:jc w:val="right"/>
              <w:spacing w:after="0"/>
              <w:rPr>
                <w:sz w:val="20"/>
                <w:szCs w:val="20"/>
                <w:color w:val="auto"/>
              </w:rPr>
            </w:pPr>
            <w:r>
              <w:rPr>
                <w:rFonts w:ascii="Arial" w:cs="Arial" w:eastAsia="Arial" w:hAnsi="Arial"/>
                <w:sz w:val="13"/>
                <w:szCs w:val="13"/>
                <w:color w:val="auto"/>
              </w:rPr>
              <w:t>6/21/2024</w:t>
            </w:r>
          </w:p>
        </w:tc>
        <w:tc>
          <w:tcPr>
            <w:tcW w:w="120" w:type="dxa"/>
            <w:vAlign w:val="bottom"/>
          </w:tcPr>
          <w:p>
            <w:pPr>
              <w:spacing w:after="0"/>
              <w:rPr>
                <w:sz w:val="23"/>
                <w:szCs w:val="2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4,116</w:t>
            </w: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4,086</w:t>
            </w:r>
          </w:p>
        </w:tc>
        <w:tc>
          <w:tcPr>
            <w:tcW w:w="40" w:type="dxa"/>
            <w:vAlign w:val="bottom"/>
          </w:tcPr>
          <w:p>
            <w:pPr>
              <w:spacing w:after="0"/>
              <w:rPr>
                <w:sz w:val="23"/>
                <w:szCs w:val="23"/>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4,116</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-7496810</wp:posOffset>
            </wp:positionV>
            <wp:extent cx="6978650"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-7325995</wp:posOffset>
            </wp:positionV>
            <wp:extent cx="6978650"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-7138035</wp:posOffset>
            </wp:positionV>
            <wp:extent cx="6978650"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-6966585</wp:posOffset>
            </wp:positionV>
            <wp:extent cx="6978650" cy="85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-6778625</wp:posOffset>
            </wp:positionV>
            <wp:extent cx="6978650" cy="85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-6522085</wp:posOffset>
            </wp:positionV>
            <wp:extent cx="6978650"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-6334125</wp:posOffset>
            </wp:positionV>
            <wp:extent cx="6978650"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-6162675</wp:posOffset>
            </wp:positionV>
            <wp:extent cx="6978650"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-5974715</wp:posOffset>
            </wp:positionV>
            <wp:extent cx="6978650" cy="8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-5718175</wp:posOffset>
            </wp:positionV>
            <wp:extent cx="6978650"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-5546725</wp:posOffset>
            </wp:positionV>
            <wp:extent cx="6978650" cy="8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-5358765</wp:posOffset>
            </wp:positionV>
            <wp:extent cx="6978650" cy="85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-5187950</wp:posOffset>
            </wp:positionV>
            <wp:extent cx="6978650" cy="85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-5016500</wp:posOffset>
            </wp:positionV>
            <wp:extent cx="6978650" cy="85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-4828540</wp:posOffset>
            </wp:positionV>
            <wp:extent cx="6978650" cy="857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-4657725</wp:posOffset>
            </wp:positionV>
            <wp:extent cx="6978650" cy="85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-4469130</wp:posOffset>
            </wp:positionV>
            <wp:extent cx="6978650" cy="85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-4298315</wp:posOffset>
            </wp:positionV>
            <wp:extent cx="6978650" cy="857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-4110355</wp:posOffset>
            </wp:positionV>
            <wp:extent cx="6978650" cy="857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-3938905</wp:posOffset>
            </wp:positionV>
            <wp:extent cx="6978650" cy="857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-3768090</wp:posOffset>
            </wp:positionV>
            <wp:extent cx="6978650" cy="857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-3580130</wp:posOffset>
            </wp:positionV>
            <wp:extent cx="6978650" cy="857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-3408680</wp:posOffset>
            </wp:positionV>
            <wp:extent cx="6978650" cy="857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-3220720</wp:posOffset>
            </wp:positionV>
            <wp:extent cx="6978650" cy="857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-3049905</wp:posOffset>
            </wp:positionV>
            <wp:extent cx="6978650" cy="857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-2861310</wp:posOffset>
            </wp:positionV>
            <wp:extent cx="6978650" cy="857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-2690495</wp:posOffset>
            </wp:positionV>
            <wp:extent cx="6978650" cy="857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-2502535</wp:posOffset>
            </wp:positionV>
            <wp:extent cx="6978650" cy="857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-2331085</wp:posOffset>
            </wp:positionV>
            <wp:extent cx="6978650" cy="85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-2143125</wp:posOffset>
            </wp:positionV>
            <wp:extent cx="6978650" cy="85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-1972310</wp:posOffset>
            </wp:positionV>
            <wp:extent cx="6978650" cy="857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-1800860</wp:posOffset>
            </wp:positionV>
            <wp:extent cx="6978650" cy="857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-1612900</wp:posOffset>
            </wp:positionV>
            <wp:extent cx="6978650" cy="857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-1442085</wp:posOffset>
            </wp:positionV>
            <wp:extent cx="6978650" cy="857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-1253490</wp:posOffset>
            </wp:positionV>
            <wp:extent cx="6978650" cy="857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-1082675</wp:posOffset>
            </wp:positionV>
            <wp:extent cx="6978650" cy="85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-894715</wp:posOffset>
            </wp:positionV>
            <wp:extent cx="6978650" cy="857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-723265</wp:posOffset>
            </wp:positionV>
            <wp:extent cx="6978650" cy="85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-535305</wp:posOffset>
            </wp:positionV>
            <wp:extent cx="6978650" cy="857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-364490</wp:posOffset>
            </wp:positionV>
            <wp:extent cx="6978650" cy="857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-175895</wp:posOffset>
            </wp:positionV>
            <wp:extent cx="6978650" cy="857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78650" cy="85725"/>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4960" w:space="120"/>
            <w:col w:w="6000"/>
          </w:cols>
          <w:pgMar w:left="320" w:top="458" w:right="499" w:bottom="1440" w:gutter="0" w:footer="0" w:header="0"/>
          <w:type w:val="continuous"/>
        </w:sectPr>
      </w:pPr>
    </w:p>
    <w:p>
      <w:pPr>
        <w:jc w:val="center"/>
        <w:ind w:right="-15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080"/>
          </w:cols>
          <w:pgMar w:left="320" w:top="458" w:right="4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Consolidated Schedule of Investments (unaudited)</w:t>
      </w:r>
    </w:p>
    <w:p>
      <w:pPr>
        <w:spacing w:after="0" w:line="4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320"/>
          </w:cols>
          <w:pgMar w:left="320" w:top="458" w:right="259" w:bottom="1440" w:gutter="0" w:footer="0" w:header="0"/>
        </w:sectPr>
      </w:pP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640" w:type="dxa"/>
            <w:vAlign w:val="bottom"/>
            <w:gridSpan w:val="2"/>
          </w:tcPr>
          <w:p>
            <w:pPr>
              <w:spacing w:after="0"/>
              <w:rPr>
                <w:sz w:val="20"/>
                <w:szCs w:val="20"/>
                <w:color w:val="auto"/>
              </w:rPr>
            </w:pPr>
            <w:r>
              <w:rPr>
                <w:rFonts w:ascii="Arial" w:cs="Arial" w:eastAsia="Arial" w:hAnsi="Arial"/>
                <w:sz w:val="13"/>
                <w:szCs w:val="13"/>
                <w:b w:val="1"/>
                <w:bCs w:val="1"/>
                <w:color w:val="auto"/>
              </w:rPr>
              <w:t>Portfolio Company (a)(b)</w:t>
            </w:r>
          </w:p>
        </w:tc>
        <w:tc>
          <w:tcPr>
            <w:tcW w:w="1720" w:type="dxa"/>
            <w:vAlign w:val="bottom"/>
          </w:tcPr>
          <w:p>
            <w:pPr>
              <w:spacing w:after="0"/>
              <w:rPr>
                <w:sz w:val="13"/>
                <w:szCs w:val="13"/>
                <w:color w:val="auto"/>
              </w:rPr>
            </w:pPr>
          </w:p>
        </w:tc>
      </w:tr>
      <w:tr>
        <w:trPr>
          <w:trHeight w:val="173"/>
        </w:trPr>
        <w:tc>
          <w:tcPr>
            <w:tcW w:w="3640" w:type="dxa"/>
            <w:vAlign w:val="bottom"/>
            <w:gridSpan w:val="2"/>
          </w:tcPr>
          <w:p>
            <w:pPr>
              <w:spacing w:after="0"/>
              <w:rPr>
                <w:sz w:val="20"/>
                <w:szCs w:val="20"/>
                <w:color w:val="auto"/>
              </w:rPr>
            </w:pPr>
            <w:r>
              <w:rPr>
                <w:rFonts w:ascii="Arial" w:cs="Arial" w:eastAsia="Arial" w:hAnsi="Arial"/>
                <w:sz w:val="13"/>
                <w:szCs w:val="13"/>
                <w:b w:val="1"/>
                <w:bCs w:val="1"/>
                <w:color w:val="auto"/>
              </w:rPr>
              <w:t>Investment Type (c)</w:t>
            </w:r>
          </w:p>
        </w:tc>
        <w:tc>
          <w:tcPr>
            <w:tcW w:w="1720" w:type="dxa"/>
            <w:vAlign w:val="bottom"/>
          </w:tcPr>
          <w:p>
            <w:pPr>
              <w:ind w:left="640"/>
              <w:spacing w:after="0"/>
              <w:rPr>
                <w:sz w:val="20"/>
                <w:szCs w:val="20"/>
                <w:color w:val="auto"/>
              </w:rPr>
            </w:pPr>
            <w:r>
              <w:rPr>
                <w:rFonts w:ascii="Arial" w:cs="Arial" w:eastAsia="Arial" w:hAnsi="Arial"/>
                <w:sz w:val="13"/>
                <w:szCs w:val="13"/>
                <w:b w:val="1"/>
                <w:bCs w:val="1"/>
                <w:color w:val="auto"/>
              </w:rPr>
              <w:t>Industry</w:t>
            </w:r>
          </w:p>
        </w:tc>
      </w:tr>
      <w:tr>
        <w:trPr>
          <w:trHeight w:val="107"/>
        </w:trPr>
        <w:tc>
          <w:tcPr>
            <w:tcW w:w="1320" w:type="dxa"/>
            <w:vAlign w:val="bottom"/>
            <w:tcBorders>
              <w:top w:val="single" w:sz="8" w:color="auto"/>
            </w:tcBorders>
          </w:tcPr>
          <w:p>
            <w:pPr>
              <w:spacing w:after="0" w:line="107" w:lineRule="exact"/>
              <w:rPr>
                <w:sz w:val="20"/>
                <w:szCs w:val="20"/>
                <w:color w:val="auto"/>
              </w:rPr>
            </w:pPr>
            <w:r>
              <w:rPr>
                <w:rFonts w:ascii="Arial" w:cs="Arial" w:eastAsia="Arial" w:hAnsi="Arial"/>
                <w:sz w:val="12"/>
                <w:szCs w:val="12"/>
                <w:i w:val="1"/>
                <w:iCs w:val="1"/>
                <w:color w:val="auto"/>
                <w:w w:val="96"/>
              </w:rPr>
              <w:t>Global Plasma Solutions,</w:t>
            </w:r>
          </w:p>
        </w:tc>
        <w:tc>
          <w:tcPr>
            <w:tcW w:w="2320" w:type="dxa"/>
            <w:vAlign w:val="bottom"/>
          </w:tcPr>
          <w:p>
            <w:pPr>
              <w:spacing w:after="0" w:line="107" w:lineRule="exact"/>
              <w:rPr>
                <w:sz w:val="20"/>
                <w:szCs w:val="20"/>
                <w:color w:val="auto"/>
              </w:rPr>
            </w:pPr>
            <w:r>
              <w:rPr>
                <w:rFonts w:ascii="Arial" w:cs="Arial" w:eastAsia="Arial" w:hAnsi="Arial"/>
                <w:sz w:val="12"/>
                <w:szCs w:val="12"/>
                <w:i w:val="1"/>
                <w:iCs w:val="1"/>
                <w:color w:val="auto"/>
              </w:rPr>
              <w:t>Inc.</w:t>
            </w:r>
          </w:p>
        </w:tc>
        <w:tc>
          <w:tcPr>
            <w:tcW w:w="1720" w:type="dxa"/>
            <w:vAlign w:val="bottom"/>
            <w:tcBorders>
              <w:top w:val="single" w:sz="8" w:color="auto"/>
            </w:tcBorders>
          </w:tcPr>
          <w:p>
            <w:pPr>
              <w:ind w:left="40"/>
              <w:spacing w:after="0" w:line="107" w:lineRule="exact"/>
              <w:rPr>
                <w:sz w:val="20"/>
                <w:szCs w:val="20"/>
                <w:color w:val="auto"/>
              </w:rPr>
            </w:pPr>
            <w:r>
              <w:rPr>
                <w:rFonts w:ascii="Arial" w:cs="Arial" w:eastAsia="Arial" w:hAnsi="Arial"/>
                <w:sz w:val="12"/>
                <w:szCs w:val="12"/>
                <w:color w:val="auto"/>
              </w:rPr>
              <w:t>Component Manufacturing</w:t>
            </w:r>
          </w:p>
        </w:tc>
      </w:tr>
      <w:tr>
        <w:trPr>
          <w:trHeight w:val="135"/>
        </w:trPr>
        <w:tc>
          <w:tcPr>
            <w:tcW w:w="36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First Lien Debt (j)(v)</w:t>
            </w:r>
          </w:p>
        </w:tc>
        <w:tc>
          <w:tcPr>
            <w:tcW w:w="1720" w:type="dxa"/>
            <w:vAlign w:val="bottom"/>
          </w:tcPr>
          <w:p>
            <w:pPr>
              <w:spacing w:after="0"/>
              <w:rPr>
                <w:sz w:val="11"/>
                <w:szCs w:val="11"/>
                <w:color w:val="auto"/>
              </w:rPr>
            </w:pPr>
          </w:p>
        </w:tc>
      </w:tr>
      <w:tr>
        <w:trPr>
          <w:trHeight w:val="135"/>
        </w:trPr>
        <w:tc>
          <w:tcPr>
            <w:tcW w:w="36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Preferred Equity (947 shares) (j)</w:t>
            </w:r>
          </w:p>
        </w:tc>
        <w:tc>
          <w:tcPr>
            <w:tcW w:w="1720" w:type="dxa"/>
            <w:vAlign w:val="bottom"/>
          </w:tcPr>
          <w:p>
            <w:pPr>
              <w:spacing w:after="0"/>
              <w:rPr>
                <w:sz w:val="11"/>
                <w:szCs w:val="11"/>
                <w:color w:val="auto"/>
              </w:rPr>
            </w:pPr>
          </w:p>
        </w:tc>
      </w:tr>
      <w:tr>
        <w:trPr>
          <w:trHeight w:val="158"/>
        </w:trPr>
        <w:tc>
          <w:tcPr>
            <w:tcW w:w="3640" w:type="dxa"/>
            <w:vAlign w:val="bottom"/>
            <w:gridSpan w:val="2"/>
          </w:tcPr>
          <w:p>
            <w:pPr>
              <w:ind w:left="260"/>
              <w:spacing w:after="0"/>
              <w:rPr>
                <w:sz w:val="20"/>
                <w:szCs w:val="20"/>
                <w:color w:val="auto"/>
              </w:rPr>
            </w:pPr>
            <w:r>
              <w:rPr>
                <w:rFonts w:ascii="Arial" w:cs="Arial" w:eastAsia="Arial" w:hAnsi="Arial"/>
                <w:sz w:val="13"/>
                <w:szCs w:val="13"/>
                <w:color w:val="auto"/>
              </w:rPr>
              <w:t>Common Equity (947 shares) (j)</w:t>
            </w:r>
          </w:p>
        </w:tc>
        <w:tc>
          <w:tcPr>
            <w:tcW w:w="1720" w:type="dxa"/>
            <w:vAlign w:val="bottom"/>
          </w:tcPr>
          <w:p>
            <w:pPr>
              <w:spacing w:after="0"/>
              <w:rPr>
                <w:sz w:val="13"/>
                <w:szCs w:val="13"/>
                <w:color w:val="auto"/>
              </w:rPr>
            </w:pPr>
          </w:p>
        </w:tc>
      </w:tr>
      <w:tr>
        <w:trPr>
          <w:trHeight w:val="273"/>
        </w:trPr>
        <w:tc>
          <w:tcPr>
            <w:tcW w:w="3640" w:type="dxa"/>
            <w:vAlign w:val="bottom"/>
            <w:gridSpan w:val="2"/>
          </w:tcPr>
          <w:p>
            <w:pPr>
              <w:spacing w:after="0"/>
              <w:rPr>
                <w:sz w:val="20"/>
                <w:szCs w:val="20"/>
                <w:color w:val="auto"/>
              </w:rPr>
            </w:pPr>
            <w:r>
              <w:rPr>
                <w:rFonts w:ascii="Arial" w:cs="Arial" w:eastAsia="Arial" w:hAnsi="Arial"/>
                <w:sz w:val="13"/>
                <w:szCs w:val="13"/>
                <w:i w:val="1"/>
                <w:iCs w:val="1"/>
                <w:color w:val="auto"/>
              </w:rPr>
              <w:t>Gurobi Optimization, LLC</w:t>
            </w:r>
          </w:p>
        </w:tc>
        <w:tc>
          <w:tcPr>
            <w:tcW w:w="1720" w:type="dxa"/>
            <w:vAlign w:val="bottom"/>
          </w:tcPr>
          <w:p>
            <w:pPr>
              <w:ind w:left="40"/>
              <w:spacing w:after="0"/>
              <w:rPr>
                <w:sz w:val="20"/>
                <w:szCs w:val="20"/>
                <w:color w:val="auto"/>
              </w:rPr>
            </w:pPr>
            <w:r>
              <w:rPr>
                <w:rFonts w:ascii="Arial" w:cs="Arial" w:eastAsia="Arial" w:hAnsi="Arial"/>
                <w:sz w:val="13"/>
                <w:szCs w:val="13"/>
                <w:color w:val="auto"/>
                <w:w w:val="87"/>
              </w:rPr>
              <w:t>Information Technology Services</w:t>
            </w:r>
          </w:p>
        </w:tc>
      </w:tr>
      <w:tr>
        <w:trPr>
          <w:trHeight w:val="158"/>
        </w:trPr>
        <w:tc>
          <w:tcPr>
            <w:tcW w:w="3640" w:type="dxa"/>
            <w:vAlign w:val="bottom"/>
            <w:gridSpan w:val="2"/>
          </w:tcPr>
          <w:p>
            <w:pPr>
              <w:ind w:left="260"/>
              <w:spacing w:after="0"/>
              <w:rPr>
                <w:sz w:val="20"/>
                <w:szCs w:val="20"/>
                <w:color w:val="auto"/>
              </w:rPr>
            </w:pPr>
            <w:r>
              <w:rPr>
                <w:rFonts w:ascii="Arial" w:cs="Arial" w:eastAsia="Arial" w:hAnsi="Arial"/>
                <w:sz w:val="13"/>
                <w:szCs w:val="13"/>
                <w:color w:val="auto"/>
              </w:rPr>
              <w:t>Common Equity (3 shares)</w:t>
            </w:r>
          </w:p>
        </w:tc>
        <w:tc>
          <w:tcPr>
            <w:tcW w:w="1720" w:type="dxa"/>
            <w:vAlign w:val="bottom"/>
          </w:tcPr>
          <w:p>
            <w:pPr>
              <w:spacing w:after="0"/>
              <w:rPr>
                <w:sz w:val="13"/>
                <w:szCs w:val="13"/>
                <w:color w:val="auto"/>
              </w:rPr>
            </w:pPr>
          </w:p>
        </w:tc>
      </w:tr>
      <w:tr>
        <w:trPr>
          <w:trHeight w:val="246"/>
        </w:trPr>
        <w:tc>
          <w:tcPr>
            <w:tcW w:w="3640" w:type="dxa"/>
            <w:vAlign w:val="bottom"/>
            <w:gridSpan w:val="2"/>
          </w:tcPr>
          <w:p>
            <w:pPr>
              <w:spacing w:after="0"/>
              <w:rPr>
                <w:sz w:val="20"/>
                <w:szCs w:val="20"/>
                <w:color w:val="auto"/>
              </w:rPr>
            </w:pPr>
            <w:r>
              <w:rPr>
                <w:rFonts w:ascii="Arial" w:cs="Arial" w:eastAsia="Arial" w:hAnsi="Arial"/>
                <w:sz w:val="13"/>
                <w:szCs w:val="13"/>
                <w:i w:val="1"/>
                <w:iCs w:val="1"/>
                <w:color w:val="auto"/>
              </w:rPr>
              <w:t>Haematologic Technologies, Inc.</w:t>
            </w:r>
          </w:p>
        </w:tc>
        <w:tc>
          <w:tcPr>
            <w:tcW w:w="1720" w:type="dxa"/>
            <w:vAlign w:val="bottom"/>
          </w:tcPr>
          <w:p>
            <w:pPr>
              <w:ind w:left="40"/>
              <w:spacing w:after="0"/>
              <w:rPr>
                <w:sz w:val="20"/>
                <w:szCs w:val="20"/>
                <w:color w:val="auto"/>
              </w:rPr>
            </w:pPr>
            <w:r>
              <w:rPr>
                <w:rFonts w:ascii="Arial" w:cs="Arial" w:eastAsia="Arial" w:hAnsi="Arial"/>
                <w:sz w:val="13"/>
                <w:szCs w:val="13"/>
                <w:color w:val="auto"/>
              </w:rPr>
              <w:t>Healthcare Services</w:t>
            </w:r>
          </w:p>
        </w:tc>
      </w:tr>
      <w:tr>
        <w:trPr>
          <w:trHeight w:val="135"/>
        </w:trPr>
        <w:tc>
          <w:tcPr>
            <w:tcW w:w="36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First Lien Debt (x)</w:t>
            </w:r>
          </w:p>
        </w:tc>
        <w:tc>
          <w:tcPr>
            <w:tcW w:w="1720" w:type="dxa"/>
            <w:vAlign w:val="bottom"/>
          </w:tcPr>
          <w:p>
            <w:pPr>
              <w:spacing w:after="0"/>
              <w:rPr>
                <w:sz w:val="11"/>
                <w:szCs w:val="11"/>
                <w:color w:val="auto"/>
              </w:rPr>
            </w:pPr>
          </w:p>
        </w:tc>
      </w:tr>
      <w:tr>
        <w:trPr>
          <w:trHeight w:val="158"/>
        </w:trPr>
        <w:tc>
          <w:tcPr>
            <w:tcW w:w="3640" w:type="dxa"/>
            <w:vAlign w:val="bottom"/>
            <w:gridSpan w:val="2"/>
          </w:tcPr>
          <w:p>
            <w:pPr>
              <w:ind w:left="260"/>
              <w:spacing w:after="0"/>
              <w:rPr>
                <w:sz w:val="20"/>
                <w:szCs w:val="20"/>
                <w:color w:val="auto"/>
              </w:rPr>
            </w:pPr>
            <w:r>
              <w:rPr>
                <w:rFonts w:ascii="Arial" w:cs="Arial" w:eastAsia="Arial" w:hAnsi="Arial"/>
                <w:sz w:val="13"/>
                <w:szCs w:val="13"/>
                <w:color w:val="auto"/>
              </w:rPr>
              <w:t>Common Equity (500 units) (h)(j)</w:t>
            </w:r>
          </w:p>
        </w:tc>
        <w:tc>
          <w:tcPr>
            <w:tcW w:w="1720" w:type="dxa"/>
            <w:vAlign w:val="bottom"/>
          </w:tcPr>
          <w:p>
            <w:pPr>
              <w:spacing w:after="0"/>
              <w:rPr>
                <w:sz w:val="13"/>
                <w:szCs w:val="13"/>
                <w:color w:val="auto"/>
              </w:rPr>
            </w:pPr>
          </w:p>
        </w:tc>
      </w:tr>
      <w:tr>
        <w:trPr>
          <w:trHeight w:val="273"/>
        </w:trPr>
        <w:tc>
          <w:tcPr>
            <w:tcW w:w="3640" w:type="dxa"/>
            <w:vAlign w:val="bottom"/>
            <w:gridSpan w:val="2"/>
          </w:tcPr>
          <w:p>
            <w:pPr>
              <w:spacing w:after="0"/>
              <w:rPr>
                <w:sz w:val="20"/>
                <w:szCs w:val="20"/>
                <w:color w:val="auto"/>
              </w:rPr>
            </w:pPr>
            <w:r>
              <w:rPr>
                <w:rFonts w:ascii="Arial" w:cs="Arial" w:eastAsia="Arial" w:hAnsi="Arial"/>
                <w:sz w:val="13"/>
                <w:szCs w:val="13"/>
                <w:i w:val="1"/>
                <w:iCs w:val="1"/>
                <w:color w:val="auto"/>
              </w:rPr>
              <w:t>Hilco Plastics Holdings, LLC (dba Hilco Technologies)</w:t>
            </w:r>
          </w:p>
        </w:tc>
        <w:tc>
          <w:tcPr>
            <w:tcW w:w="1720" w:type="dxa"/>
            <w:vAlign w:val="bottom"/>
          </w:tcPr>
          <w:p>
            <w:pPr>
              <w:ind w:left="40"/>
              <w:spacing w:after="0"/>
              <w:rPr>
                <w:sz w:val="20"/>
                <w:szCs w:val="20"/>
                <w:color w:val="auto"/>
              </w:rPr>
            </w:pPr>
            <w:r>
              <w:rPr>
                <w:rFonts w:ascii="Arial" w:cs="Arial" w:eastAsia="Arial" w:hAnsi="Arial"/>
                <w:sz w:val="13"/>
                <w:szCs w:val="13"/>
                <w:color w:val="auto"/>
              </w:rPr>
              <w:t>Component Manufacturing</w:t>
            </w:r>
          </w:p>
        </w:tc>
      </w:tr>
      <w:tr>
        <w:trPr>
          <w:trHeight w:val="135"/>
        </w:trPr>
        <w:tc>
          <w:tcPr>
            <w:tcW w:w="36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(j)</w:t>
            </w:r>
          </w:p>
        </w:tc>
        <w:tc>
          <w:tcPr>
            <w:tcW w:w="1720" w:type="dxa"/>
            <w:vAlign w:val="bottom"/>
          </w:tcPr>
          <w:p>
            <w:pPr>
              <w:spacing w:after="0"/>
              <w:rPr>
                <w:sz w:val="11"/>
                <w:szCs w:val="11"/>
                <w:color w:val="auto"/>
              </w:rPr>
            </w:pPr>
          </w:p>
        </w:tc>
      </w:tr>
      <w:tr>
        <w:trPr>
          <w:trHeight w:val="135"/>
        </w:trPr>
        <w:tc>
          <w:tcPr>
            <w:tcW w:w="36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Revolving Loan (j)</w:t>
            </w:r>
          </w:p>
        </w:tc>
        <w:tc>
          <w:tcPr>
            <w:tcW w:w="1720" w:type="dxa"/>
            <w:vAlign w:val="bottom"/>
          </w:tcPr>
          <w:p>
            <w:pPr>
              <w:spacing w:after="0"/>
              <w:rPr>
                <w:sz w:val="11"/>
                <w:szCs w:val="11"/>
                <w:color w:val="auto"/>
              </w:rPr>
            </w:pPr>
          </w:p>
        </w:tc>
      </w:tr>
      <w:tr>
        <w:trPr>
          <w:trHeight w:val="135"/>
        </w:trPr>
        <w:tc>
          <w:tcPr>
            <w:tcW w:w="36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First Lien Debt (j)</w:t>
            </w:r>
          </w:p>
        </w:tc>
        <w:tc>
          <w:tcPr>
            <w:tcW w:w="1720" w:type="dxa"/>
            <w:vAlign w:val="bottom"/>
          </w:tcPr>
          <w:p>
            <w:pPr>
              <w:spacing w:after="0"/>
              <w:rPr>
                <w:sz w:val="11"/>
                <w:szCs w:val="11"/>
                <w:color w:val="auto"/>
              </w:rPr>
            </w:pPr>
          </w:p>
        </w:tc>
      </w:tr>
      <w:tr>
        <w:trPr>
          <w:trHeight w:val="135"/>
        </w:trPr>
        <w:tc>
          <w:tcPr>
            <w:tcW w:w="36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Preferred Equity (1,000,000 units) (h)(j)</w:t>
            </w:r>
          </w:p>
        </w:tc>
        <w:tc>
          <w:tcPr>
            <w:tcW w:w="1720" w:type="dxa"/>
            <w:vAlign w:val="bottom"/>
          </w:tcPr>
          <w:p>
            <w:pPr>
              <w:spacing w:after="0"/>
              <w:rPr>
                <w:sz w:val="11"/>
                <w:szCs w:val="11"/>
                <w:color w:val="auto"/>
              </w:rPr>
            </w:pPr>
          </w:p>
        </w:tc>
      </w:tr>
      <w:tr>
        <w:trPr>
          <w:trHeight w:val="158"/>
        </w:trPr>
        <w:tc>
          <w:tcPr>
            <w:tcW w:w="3640" w:type="dxa"/>
            <w:vAlign w:val="bottom"/>
            <w:gridSpan w:val="2"/>
          </w:tcPr>
          <w:p>
            <w:pPr>
              <w:ind w:left="260"/>
              <w:spacing w:after="0"/>
              <w:rPr>
                <w:sz w:val="20"/>
                <w:szCs w:val="20"/>
                <w:color w:val="auto"/>
              </w:rPr>
            </w:pPr>
            <w:r>
              <w:rPr>
                <w:rFonts w:ascii="Arial" w:cs="Arial" w:eastAsia="Arial" w:hAnsi="Arial"/>
                <w:sz w:val="13"/>
                <w:szCs w:val="13"/>
                <w:color w:val="auto"/>
              </w:rPr>
              <w:t>Common Equity (72,507 units) (h)(j)</w:t>
            </w:r>
          </w:p>
        </w:tc>
        <w:tc>
          <w:tcPr>
            <w:tcW w:w="1720" w:type="dxa"/>
            <w:vAlign w:val="bottom"/>
          </w:tcPr>
          <w:p>
            <w:pPr>
              <w:spacing w:after="0"/>
              <w:rPr>
                <w:sz w:val="13"/>
                <w:szCs w:val="13"/>
                <w:color w:val="auto"/>
              </w:rPr>
            </w:pPr>
          </w:p>
        </w:tc>
      </w:tr>
      <w:tr>
        <w:trPr>
          <w:trHeight w:val="273"/>
        </w:trPr>
        <w:tc>
          <w:tcPr>
            <w:tcW w:w="3640" w:type="dxa"/>
            <w:vAlign w:val="bottom"/>
            <w:gridSpan w:val="2"/>
          </w:tcPr>
          <w:p>
            <w:pPr>
              <w:spacing w:after="0"/>
              <w:rPr>
                <w:sz w:val="20"/>
                <w:szCs w:val="20"/>
                <w:color w:val="auto"/>
              </w:rPr>
            </w:pPr>
            <w:r>
              <w:rPr>
                <w:rFonts w:ascii="Arial" w:cs="Arial" w:eastAsia="Arial" w:hAnsi="Arial"/>
                <w:sz w:val="13"/>
                <w:szCs w:val="13"/>
                <w:i w:val="1"/>
                <w:iCs w:val="1"/>
                <w:color w:val="auto"/>
              </w:rPr>
              <w:t>Hoonuit, LLC</w:t>
            </w:r>
          </w:p>
        </w:tc>
        <w:tc>
          <w:tcPr>
            <w:tcW w:w="1720" w:type="dxa"/>
            <w:vAlign w:val="bottom"/>
          </w:tcPr>
          <w:p>
            <w:pPr>
              <w:ind w:left="40"/>
              <w:spacing w:after="0"/>
              <w:rPr>
                <w:sz w:val="20"/>
                <w:szCs w:val="20"/>
                <w:color w:val="auto"/>
              </w:rPr>
            </w:pPr>
            <w:r>
              <w:rPr>
                <w:rFonts w:ascii="Arial" w:cs="Arial" w:eastAsia="Arial" w:hAnsi="Arial"/>
                <w:sz w:val="13"/>
                <w:szCs w:val="13"/>
                <w:color w:val="auto"/>
                <w:w w:val="87"/>
              </w:rPr>
              <w:t>Information Technology Services</w:t>
            </w:r>
          </w:p>
        </w:tc>
      </w:tr>
      <w:tr>
        <w:trPr>
          <w:trHeight w:val="158"/>
        </w:trPr>
        <w:tc>
          <w:tcPr>
            <w:tcW w:w="3640" w:type="dxa"/>
            <w:vAlign w:val="bottom"/>
            <w:gridSpan w:val="2"/>
          </w:tcPr>
          <w:p>
            <w:pPr>
              <w:ind w:left="260"/>
              <w:spacing w:after="0"/>
              <w:rPr>
                <w:sz w:val="20"/>
                <w:szCs w:val="20"/>
                <w:color w:val="auto"/>
              </w:rPr>
            </w:pPr>
            <w:r>
              <w:rPr>
                <w:rFonts w:ascii="Arial" w:cs="Arial" w:eastAsia="Arial" w:hAnsi="Arial"/>
                <w:sz w:val="13"/>
                <w:szCs w:val="13"/>
                <w:color w:val="auto"/>
              </w:rPr>
              <w:t>Preferred Equity (610 units) (h)(j)</w:t>
            </w:r>
          </w:p>
        </w:tc>
        <w:tc>
          <w:tcPr>
            <w:tcW w:w="1720" w:type="dxa"/>
            <w:vAlign w:val="bottom"/>
          </w:tcPr>
          <w:p>
            <w:pPr>
              <w:spacing w:after="0"/>
              <w:rPr>
                <w:sz w:val="13"/>
                <w:szCs w:val="13"/>
                <w:color w:val="auto"/>
              </w:rPr>
            </w:pPr>
          </w:p>
        </w:tc>
      </w:tr>
      <w:tr>
        <w:trPr>
          <w:trHeight w:val="246"/>
        </w:trPr>
        <w:tc>
          <w:tcPr>
            <w:tcW w:w="3640" w:type="dxa"/>
            <w:vAlign w:val="bottom"/>
            <w:gridSpan w:val="2"/>
          </w:tcPr>
          <w:p>
            <w:pPr>
              <w:spacing w:after="0"/>
              <w:rPr>
                <w:sz w:val="20"/>
                <w:szCs w:val="20"/>
                <w:color w:val="auto"/>
              </w:rPr>
            </w:pPr>
            <w:r>
              <w:rPr>
                <w:rFonts w:ascii="Arial" w:cs="Arial" w:eastAsia="Arial" w:hAnsi="Arial"/>
                <w:sz w:val="13"/>
                <w:szCs w:val="13"/>
                <w:i w:val="1"/>
                <w:iCs w:val="1"/>
                <w:color w:val="auto"/>
              </w:rPr>
              <w:t>Hub Acquisition Sub, LLC (dba Hub Pen)</w:t>
            </w:r>
          </w:p>
        </w:tc>
        <w:tc>
          <w:tcPr>
            <w:tcW w:w="1720" w:type="dxa"/>
            <w:vAlign w:val="bottom"/>
          </w:tcPr>
          <w:p>
            <w:pPr>
              <w:ind w:left="40"/>
              <w:spacing w:after="0"/>
              <w:rPr>
                <w:sz w:val="20"/>
                <w:szCs w:val="20"/>
                <w:color w:val="auto"/>
              </w:rPr>
            </w:pPr>
            <w:r>
              <w:rPr>
                <w:rFonts w:ascii="Arial" w:cs="Arial" w:eastAsia="Arial" w:hAnsi="Arial"/>
                <w:sz w:val="13"/>
                <w:szCs w:val="13"/>
                <w:color w:val="auto"/>
              </w:rPr>
              <w:t>Promotional products</w:t>
            </w:r>
          </w:p>
        </w:tc>
      </w:tr>
      <w:tr>
        <w:trPr>
          <w:trHeight w:val="135"/>
        </w:trPr>
        <w:tc>
          <w:tcPr>
            <w:tcW w:w="36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1720" w:type="dxa"/>
            <w:vAlign w:val="bottom"/>
          </w:tcPr>
          <w:p>
            <w:pPr>
              <w:spacing w:after="0"/>
              <w:rPr>
                <w:sz w:val="11"/>
                <w:szCs w:val="11"/>
                <w:color w:val="auto"/>
              </w:rPr>
            </w:pPr>
          </w:p>
        </w:tc>
      </w:tr>
      <w:tr>
        <w:trPr>
          <w:trHeight w:val="158"/>
        </w:trPr>
        <w:tc>
          <w:tcPr>
            <w:tcW w:w="3640" w:type="dxa"/>
            <w:vAlign w:val="bottom"/>
            <w:gridSpan w:val="2"/>
          </w:tcPr>
          <w:p>
            <w:pPr>
              <w:ind w:left="260"/>
              <w:spacing w:after="0"/>
              <w:rPr>
                <w:sz w:val="20"/>
                <w:szCs w:val="20"/>
                <w:color w:val="auto"/>
              </w:rPr>
            </w:pPr>
            <w:r>
              <w:rPr>
                <w:rFonts w:ascii="Arial" w:cs="Arial" w:eastAsia="Arial" w:hAnsi="Arial"/>
                <w:sz w:val="13"/>
                <w:szCs w:val="13"/>
                <w:color w:val="auto"/>
              </w:rPr>
              <w:t>Common Equity (3,750 units)</w:t>
            </w:r>
          </w:p>
        </w:tc>
        <w:tc>
          <w:tcPr>
            <w:tcW w:w="1720" w:type="dxa"/>
            <w:vAlign w:val="bottom"/>
          </w:tcPr>
          <w:p>
            <w:pPr>
              <w:spacing w:after="0"/>
              <w:rPr>
                <w:sz w:val="13"/>
                <w:szCs w:val="13"/>
                <w:color w:val="auto"/>
              </w:rPr>
            </w:pPr>
          </w:p>
        </w:tc>
      </w:tr>
      <w:tr>
        <w:trPr>
          <w:trHeight w:val="273"/>
        </w:trPr>
        <w:tc>
          <w:tcPr>
            <w:tcW w:w="3640" w:type="dxa"/>
            <w:vAlign w:val="bottom"/>
            <w:gridSpan w:val="2"/>
          </w:tcPr>
          <w:p>
            <w:pPr>
              <w:spacing w:after="0"/>
              <w:rPr>
                <w:sz w:val="20"/>
                <w:szCs w:val="20"/>
                <w:color w:val="auto"/>
              </w:rPr>
            </w:pPr>
            <w:r>
              <w:rPr>
                <w:rFonts w:ascii="Arial" w:cs="Arial" w:eastAsia="Arial" w:hAnsi="Arial"/>
                <w:sz w:val="13"/>
                <w:szCs w:val="13"/>
                <w:i w:val="1"/>
                <w:iCs w:val="1"/>
                <w:color w:val="auto"/>
              </w:rPr>
              <w:t>IBH Holdings, LLC (fka Inflexxion, Inc.)</w:t>
            </w:r>
          </w:p>
        </w:tc>
        <w:tc>
          <w:tcPr>
            <w:tcW w:w="1720" w:type="dxa"/>
            <w:vAlign w:val="bottom"/>
          </w:tcPr>
          <w:p>
            <w:pPr>
              <w:ind w:left="40"/>
              <w:spacing w:after="0"/>
              <w:rPr>
                <w:sz w:val="20"/>
                <w:szCs w:val="20"/>
                <w:color w:val="auto"/>
              </w:rPr>
            </w:pPr>
            <w:r>
              <w:rPr>
                <w:rFonts w:ascii="Arial" w:cs="Arial" w:eastAsia="Arial" w:hAnsi="Arial"/>
                <w:sz w:val="13"/>
                <w:szCs w:val="13"/>
                <w:color w:val="auto"/>
              </w:rPr>
              <w:t>Business Services</w:t>
            </w:r>
          </w:p>
        </w:tc>
      </w:tr>
      <w:tr>
        <w:trPr>
          <w:trHeight w:val="158"/>
        </w:trPr>
        <w:tc>
          <w:tcPr>
            <w:tcW w:w="3640" w:type="dxa"/>
            <w:vAlign w:val="bottom"/>
            <w:gridSpan w:val="2"/>
          </w:tcPr>
          <w:p>
            <w:pPr>
              <w:ind w:left="260"/>
              <w:spacing w:after="0"/>
              <w:rPr>
                <w:sz w:val="20"/>
                <w:szCs w:val="20"/>
                <w:color w:val="auto"/>
              </w:rPr>
            </w:pPr>
            <w:r>
              <w:rPr>
                <w:rFonts w:ascii="Arial" w:cs="Arial" w:eastAsia="Arial" w:hAnsi="Arial"/>
                <w:sz w:val="13"/>
                <w:szCs w:val="13"/>
                <w:color w:val="auto"/>
              </w:rPr>
              <w:t>Common Equity (150,000 units)</w:t>
            </w:r>
          </w:p>
        </w:tc>
        <w:tc>
          <w:tcPr>
            <w:tcW w:w="1720" w:type="dxa"/>
            <w:vAlign w:val="bottom"/>
          </w:tcPr>
          <w:p>
            <w:pPr>
              <w:spacing w:after="0"/>
              <w:rPr>
                <w:sz w:val="13"/>
                <w:szCs w:val="13"/>
                <w:color w:val="auto"/>
              </w:rPr>
            </w:pPr>
          </w:p>
        </w:tc>
      </w:tr>
      <w:tr>
        <w:trPr>
          <w:trHeight w:val="246"/>
        </w:trPr>
        <w:tc>
          <w:tcPr>
            <w:tcW w:w="3640" w:type="dxa"/>
            <w:vAlign w:val="bottom"/>
            <w:gridSpan w:val="2"/>
          </w:tcPr>
          <w:p>
            <w:pPr>
              <w:spacing w:after="0"/>
              <w:rPr>
                <w:sz w:val="20"/>
                <w:szCs w:val="20"/>
                <w:color w:val="auto"/>
              </w:rPr>
            </w:pPr>
            <w:r>
              <w:rPr>
                <w:rFonts w:ascii="Arial" w:cs="Arial" w:eastAsia="Arial" w:hAnsi="Arial"/>
                <w:sz w:val="13"/>
                <w:szCs w:val="13"/>
                <w:i w:val="1"/>
                <w:iCs w:val="1"/>
                <w:color w:val="auto"/>
              </w:rPr>
              <w:t>Ipro Tech, LLC</w:t>
            </w:r>
          </w:p>
        </w:tc>
        <w:tc>
          <w:tcPr>
            <w:tcW w:w="1720" w:type="dxa"/>
            <w:vAlign w:val="bottom"/>
          </w:tcPr>
          <w:p>
            <w:pPr>
              <w:ind w:left="40"/>
              <w:spacing w:after="0"/>
              <w:rPr>
                <w:sz w:val="20"/>
                <w:szCs w:val="20"/>
                <w:color w:val="auto"/>
              </w:rPr>
            </w:pPr>
            <w:r>
              <w:rPr>
                <w:rFonts w:ascii="Arial" w:cs="Arial" w:eastAsia="Arial" w:hAnsi="Arial"/>
                <w:sz w:val="13"/>
                <w:szCs w:val="13"/>
                <w:color w:val="auto"/>
                <w:w w:val="87"/>
              </w:rPr>
              <w:t>Information Technology Services</w:t>
            </w:r>
          </w:p>
        </w:tc>
      </w:tr>
      <w:tr>
        <w:trPr>
          <w:trHeight w:val="158"/>
        </w:trPr>
        <w:tc>
          <w:tcPr>
            <w:tcW w:w="3640" w:type="dxa"/>
            <w:vAlign w:val="bottom"/>
            <w:gridSpan w:val="2"/>
          </w:tcPr>
          <w:p>
            <w:pPr>
              <w:ind w:left="260"/>
              <w:spacing w:after="0"/>
              <w:rPr>
                <w:sz w:val="20"/>
                <w:szCs w:val="20"/>
                <w:color w:val="auto"/>
              </w:rPr>
            </w:pPr>
            <w:r>
              <w:rPr>
                <w:rFonts w:ascii="Arial" w:cs="Arial" w:eastAsia="Arial" w:hAnsi="Arial"/>
                <w:sz w:val="13"/>
                <w:szCs w:val="13"/>
                <w:color w:val="auto"/>
              </w:rPr>
              <w:t>First Lien Debt (j)(u)</w:t>
            </w:r>
          </w:p>
        </w:tc>
        <w:tc>
          <w:tcPr>
            <w:tcW w:w="1720" w:type="dxa"/>
            <w:vAlign w:val="bottom"/>
          </w:tcPr>
          <w:p>
            <w:pPr>
              <w:spacing w:after="0"/>
              <w:rPr>
                <w:sz w:val="13"/>
                <w:szCs w:val="13"/>
                <w:color w:val="auto"/>
              </w:rPr>
            </w:pPr>
          </w:p>
        </w:tc>
      </w:tr>
      <w:tr>
        <w:trPr>
          <w:trHeight w:val="246"/>
        </w:trPr>
        <w:tc>
          <w:tcPr>
            <w:tcW w:w="3640" w:type="dxa"/>
            <w:vAlign w:val="bottom"/>
            <w:gridSpan w:val="2"/>
          </w:tcPr>
          <w:p>
            <w:pPr>
              <w:spacing w:after="0"/>
              <w:rPr>
                <w:sz w:val="20"/>
                <w:szCs w:val="20"/>
                <w:color w:val="auto"/>
              </w:rPr>
            </w:pPr>
            <w:r>
              <w:rPr>
                <w:rFonts w:ascii="Arial" w:cs="Arial" w:eastAsia="Arial" w:hAnsi="Arial"/>
                <w:sz w:val="13"/>
                <w:szCs w:val="13"/>
                <w:i w:val="1"/>
                <w:iCs w:val="1"/>
                <w:color w:val="auto"/>
                <w:w w:val="89"/>
              </w:rPr>
              <w:t>K2 Merger Agreement Agent, LLC (fka K2 Industrial Services, Inc.) (n)</w:t>
            </w:r>
          </w:p>
        </w:tc>
        <w:tc>
          <w:tcPr>
            <w:tcW w:w="1720" w:type="dxa"/>
            <w:vAlign w:val="bottom"/>
          </w:tcPr>
          <w:p>
            <w:pPr>
              <w:ind w:left="40"/>
              <w:spacing w:after="0"/>
              <w:rPr>
                <w:sz w:val="20"/>
                <w:szCs w:val="20"/>
                <w:color w:val="auto"/>
              </w:rPr>
            </w:pPr>
            <w:r>
              <w:rPr>
                <w:rFonts w:ascii="Arial" w:cs="Arial" w:eastAsia="Arial" w:hAnsi="Arial"/>
                <w:sz w:val="13"/>
                <w:szCs w:val="13"/>
                <w:color w:val="auto"/>
                <w:w w:val="94"/>
              </w:rPr>
              <w:t>Industrial Cleaning &amp; Coatings</w:t>
            </w:r>
          </w:p>
        </w:tc>
      </w:tr>
      <w:tr>
        <w:trPr>
          <w:trHeight w:val="158"/>
        </w:trPr>
        <w:tc>
          <w:tcPr>
            <w:tcW w:w="3640" w:type="dxa"/>
            <w:vAlign w:val="bottom"/>
            <w:gridSpan w:val="2"/>
          </w:tcPr>
          <w:p>
            <w:pPr>
              <w:ind w:left="260"/>
              <w:spacing w:after="0"/>
              <w:rPr>
                <w:sz w:val="20"/>
                <w:szCs w:val="20"/>
                <w:color w:val="auto"/>
              </w:rPr>
            </w:pPr>
            <w:r>
              <w:rPr>
                <w:rFonts w:ascii="Arial" w:cs="Arial" w:eastAsia="Arial" w:hAnsi="Arial"/>
                <w:sz w:val="13"/>
                <w:szCs w:val="13"/>
                <w:color w:val="auto"/>
              </w:rPr>
              <w:t>Second Lien Debt (j)</w:t>
            </w:r>
          </w:p>
        </w:tc>
        <w:tc>
          <w:tcPr>
            <w:tcW w:w="1720" w:type="dxa"/>
            <w:vAlign w:val="bottom"/>
          </w:tcPr>
          <w:p>
            <w:pPr>
              <w:spacing w:after="0"/>
              <w:rPr>
                <w:sz w:val="13"/>
                <w:szCs w:val="13"/>
                <w:color w:val="auto"/>
              </w:rPr>
            </w:pPr>
          </w:p>
        </w:tc>
      </w:tr>
      <w:tr>
        <w:trPr>
          <w:trHeight w:val="246"/>
        </w:trPr>
        <w:tc>
          <w:tcPr>
            <w:tcW w:w="3640" w:type="dxa"/>
            <w:vAlign w:val="bottom"/>
            <w:gridSpan w:val="2"/>
          </w:tcPr>
          <w:p>
            <w:pPr>
              <w:spacing w:after="0"/>
              <w:rPr>
                <w:sz w:val="20"/>
                <w:szCs w:val="20"/>
                <w:color w:val="auto"/>
              </w:rPr>
            </w:pPr>
            <w:r>
              <w:rPr>
                <w:rFonts w:ascii="Arial" w:cs="Arial" w:eastAsia="Arial" w:hAnsi="Arial"/>
                <w:sz w:val="13"/>
                <w:szCs w:val="13"/>
                <w:i w:val="1"/>
                <w:iCs w:val="1"/>
                <w:color w:val="auto"/>
              </w:rPr>
              <w:t>The Kyjen Company, LLC (dba Outward Hound)</w:t>
            </w:r>
          </w:p>
        </w:tc>
        <w:tc>
          <w:tcPr>
            <w:tcW w:w="1720" w:type="dxa"/>
            <w:vAlign w:val="bottom"/>
          </w:tcPr>
          <w:p>
            <w:pPr>
              <w:ind w:left="40"/>
              <w:spacing w:after="0"/>
              <w:rPr>
                <w:sz w:val="20"/>
                <w:szCs w:val="20"/>
                <w:color w:val="auto"/>
              </w:rPr>
            </w:pPr>
            <w:r>
              <w:rPr>
                <w:rFonts w:ascii="Arial" w:cs="Arial" w:eastAsia="Arial" w:hAnsi="Arial"/>
                <w:sz w:val="13"/>
                <w:szCs w:val="13"/>
                <w:color w:val="auto"/>
              </w:rPr>
              <w:t>Consumer Products</w:t>
            </w:r>
          </w:p>
        </w:tc>
      </w:tr>
      <w:tr>
        <w:trPr>
          <w:trHeight w:val="135"/>
        </w:trPr>
        <w:tc>
          <w:tcPr>
            <w:tcW w:w="36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1720" w:type="dxa"/>
            <w:vAlign w:val="bottom"/>
          </w:tcPr>
          <w:p>
            <w:pPr>
              <w:spacing w:after="0"/>
              <w:rPr>
                <w:sz w:val="11"/>
                <w:szCs w:val="11"/>
                <w:color w:val="auto"/>
              </w:rPr>
            </w:pPr>
          </w:p>
        </w:tc>
      </w:tr>
      <w:tr>
        <w:trPr>
          <w:trHeight w:val="158"/>
        </w:trPr>
        <w:tc>
          <w:tcPr>
            <w:tcW w:w="3640" w:type="dxa"/>
            <w:vAlign w:val="bottom"/>
            <w:gridSpan w:val="2"/>
          </w:tcPr>
          <w:p>
            <w:pPr>
              <w:ind w:left="260"/>
              <w:spacing w:after="0"/>
              <w:rPr>
                <w:sz w:val="20"/>
                <w:szCs w:val="20"/>
                <w:color w:val="auto"/>
              </w:rPr>
            </w:pPr>
            <w:r>
              <w:rPr>
                <w:rFonts w:ascii="Arial" w:cs="Arial" w:eastAsia="Arial" w:hAnsi="Arial"/>
                <w:sz w:val="13"/>
                <w:szCs w:val="13"/>
                <w:color w:val="auto"/>
              </w:rPr>
              <w:t>Common Equity (765 shares) (j)</w:t>
            </w:r>
          </w:p>
        </w:tc>
        <w:tc>
          <w:tcPr>
            <w:tcW w:w="1720" w:type="dxa"/>
            <w:vAlign w:val="bottom"/>
          </w:tcPr>
          <w:p>
            <w:pPr>
              <w:spacing w:after="0"/>
              <w:rPr>
                <w:sz w:val="13"/>
                <w:szCs w:val="13"/>
                <w:color w:val="auto"/>
              </w:rPr>
            </w:pPr>
          </w:p>
        </w:tc>
      </w:tr>
      <w:tr>
        <w:trPr>
          <w:trHeight w:val="273"/>
        </w:trPr>
        <w:tc>
          <w:tcPr>
            <w:tcW w:w="3640" w:type="dxa"/>
            <w:vAlign w:val="bottom"/>
            <w:gridSpan w:val="2"/>
          </w:tcPr>
          <w:p>
            <w:pPr>
              <w:spacing w:after="0"/>
              <w:rPr>
                <w:sz w:val="20"/>
                <w:szCs w:val="20"/>
                <w:color w:val="auto"/>
              </w:rPr>
            </w:pPr>
            <w:r>
              <w:rPr>
                <w:rFonts w:ascii="Arial" w:cs="Arial" w:eastAsia="Arial" w:hAnsi="Arial"/>
                <w:sz w:val="13"/>
                <w:szCs w:val="13"/>
                <w:i w:val="1"/>
                <w:iCs w:val="1"/>
                <w:color w:val="auto"/>
              </w:rPr>
              <w:t>LNG Indy, LLC (dba Kinetrex Energy)</w:t>
            </w:r>
          </w:p>
        </w:tc>
        <w:tc>
          <w:tcPr>
            <w:tcW w:w="1720" w:type="dxa"/>
            <w:vAlign w:val="bottom"/>
          </w:tcPr>
          <w:p>
            <w:pPr>
              <w:ind w:left="40"/>
              <w:spacing w:after="0"/>
              <w:rPr>
                <w:sz w:val="20"/>
                <w:szCs w:val="20"/>
                <w:color w:val="auto"/>
              </w:rPr>
            </w:pPr>
            <w:r>
              <w:rPr>
                <w:rFonts w:ascii="Arial" w:cs="Arial" w:eastAsia="Arial" w:hAnsi="Arial"/>
                <w:sz w:val="13"/>
                <w:szCs w:val="13"/>
                <w:color w:val="auto"/>
              </w:rPr>
              <w:t>Oil &amp; Gas Distribution</w:t>
            </w:r>
          </w:p>
        </w:tc>
      </w:tr>
      <w:tr>
        <w:trPr>
          <w:trHeight w:val="135"/>
        </w:trPr>
        <w:tc>
          <w:tcPr>
            <w:tcW w:w="36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1720" w:type="dxa"/>
            <w:vAlign w:val="bottom"/>
          </w:tcPr>
          <w:p>
            <w:pPr>
              <w:spacing w:after="0"/>
              <w:rPr>
                <w:sz w:val="11"/>
                <w:szCs w:val="11"/>
                <w:color w:val="auto"/>
              </w:rPr>
            </w:pPr>
          </w:p>
        </w:tc>
      </w:tr>
      <w:tr>
        <w:trPr>
          <w:trHeight w:val="158"/>
        </w:trPr>
        <w:tc>
          <w:tcPr>
            <w:tcW w:w="3640" w:type="dxa"/>
            <w:vAlign w:val="bottom"/>
            <w:gridSpan w:val="2"/>
          </w:tcPr>
          <w:p>
            <w:pPr>
              <w:ind w:left="260"/>
              <w:spacing w:after="0"/>
              <w:rPr>
                <w:sz w:val="20"/>
                <w:szCs w:val="20"/>
                <w:color w:val="auto"/>
              </w:rPr>
            </w:pPr>
            <w:r>
              <w:rPr>
                <w:rFonts w:ascii="Arial" w:cs="Arial" w:eastAsia="Arial" w:hAnsi="Arial"/>
                <w:sz w:val="13"/>
                <w:szCs w:val="13"/>
                <w:color w:val="auto"/>
              </w:rPr>
              <w:t>Common Equity (500 units)</w:t>
            </w:r>
          </w:p>
        </w:tc>
        <w:tc>
          <w:tcPr>
            <w:tcW w:w="1720" w:type="dxa"/>
            <w:vAlign w:val="bottom"/>
          </w:tcPr>
          <w:p>
            <w:pPr>
              <w:spacing w:after="0"/>
              <w:rPr>
                <w:sz w:val="13"/>
                <w:szCs w:val="13"/>
                <w:color w:val="auto"/>
              </w:rPr>
            </w:pPr>
          </w:p>
        </w:tc>
      </w:tr>
      <w:tr>
        <w:trPr>
          <w:trHeight w:val="273"/>
        </w:trPr>
        <w:tc>
          <w:tcPr>
            <w:tcW w:w="3640" w:type="dxa"/>
            <w:vAlign w:val="bottom"/>
            <w:gridSpan w:val="2"/>
          </w:tcPr>
          <w:p>
            <w:pPr>
              <w:spacing w:after="0"/>
              <w:rPr>
                <w:sz w:val="20"/>
                <w:szCs w:val="20"/>
                <w:color w:val="auto"/>
              </w:rPr>
            </w:pPr>
            <w:r>
              <w:rPr>
                <w:rFonts w:ascii="Arial" w:cs="Arial" w:eastAsia="Arial" w:hAnsi="Arial"/>
                <w:sz w:val="13"/>
                <w:szCs w:val="13"/>
                <w:i w:val="1"/>
                <w:iCs w:val="1"/>
                <w:color w:val="auto"/>
              </w:rPr>
              <w:t>Mesa Line Services, LLC</w:t>
            </w:r>
          </w:p>
        </w:tc>
        <w:tc>
          <w:tcPr>
            <w:tcW w:w="1720" w:type="dxa"/>
            <w:vAlign w:val="bottom"/>
          </w:tcPr>
          <w:p>
            <w:pPr>
              <w:ind w:left="40"/>
              <w:spacing w:after="0"/>
              <w:rPr>
                <w:sz w:val="20"/>
                <w:szCs w:val="20"/>
                <w:color w:val="auto"/>
              </w:rPr>
            </w:pPr>
            <w:r>
              <w:rPr>
                <w:rFonts w:ascii="Arial" w:cs="Arial" w:eastAsia="Arial" w:hAnsi="Arial"/>
                <w:sz w:val="13"/>
                <w:szCs w:val="13"/>
                <w:color w:val="auto"/>
              </w:rPr>
              <w:t>Utilities: Services</w:t>
            </w:r>
          </w:p>
        </w:tc>
      </w:tr>
      <w:tr>
        <w:trPr>
          <w:trHeight w:val="135"/>
        </w:trPr>
        <w:tc>
          <w:tcPr>
            <w:tcW w:w="36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(j)</w:t>
            </w:r>
          </w:p>
        </w:tc>
        <w:tc>
          <w:tcPr>
            <w:tcW w:w="1720" w:type="dxa"/>
            <w:vAlign w:val="bottom"/>
          </w:tcPr>
          <w:p>
            <w:pPr>
              <w:spacing w:after="0"/>
              <w:rPr>
                <w:sz w:val="11"/>
                <w:szCs w:val="11"/>
                <w:color w:val="auto"/>
              </w:rPr>
            </w:pPr>
          </w:p>
        </w:tc>
      </w:tr>
      <w:tr>
        <w:trPr>
          <w:trHeight w:val="158"/>
        </w:trPr>
        <w:tc>
          <w:tcPr>
            <w:tcW w:w="3640" w:type="dxa"/>
            <w:vAlign w:val="bottom"/>
            <w:gridSpan w:val="2"/>
          </w:tcPr>
          <w:p>
            <w:pPr>
              <w:ind w:left="260"/>
              <w:spacing w:after="0"/>
              <w:rPr>
                <w:sz w:val="20"/>
                <w:szCs w:val="20"/>
                <w:color w:val="auto"/>
              </w:rPr>
            </w:pPr>
            <w:r>
              <w:rPr>
                <w:rFonts w:ascii="Arial" w:cs="Arial" w:eastAsia="Arial" w:hAnsi="Arial"/>
                <w:sz w:val="13"/>
                <w:szCs w:val="13"/>
                <w:color w:val="auto"/>
              </w:rPr>
              <w:t>Common Equity (981 shares) (j)</w:t>
            </w:r>
          </w:p>
        </w:tc>
        <w:tc>
          <w:tcPr>
            <w:tcW w:w="1720" w:type="dxa"/>
            <w:vAlign w:val="bottom"/>
          </w:tcPr>
          <w:p>
            <w:pPr>
              <w:spacing w:after="0"/>
              <w:rPr>
                <w:sz w:val="13"/>
                <w:szCs w:val="13"/>
                <w:color w:val="auto"/>
              </w:rPr>
            </w:pPr>
          </w:p>
        </w:tc>
      </w:tr>
      <w:tr>
        <w:trPr>
          <w:trHeight w:val="273"/>
        </w:trPr>
        <w:tc>
          <w:tcPr>
            <w:tcW w:w="3640" w:type="dxa"/>
            <w:vAlign w:val="bottom"/>
            <w:gridSpan w:val="2"/>
          </w:tcPr>
          <w:p>
            <w:pPr>
              <w:spacing w:after="0"/>
              <w:rPr>
                <w:sz w:val="20"/>
                <w:szCs w:val="20"/>
                <w:color w:val="auto"/>
              </w:rPr>
            </w:pPr>
            <w:r>
              <w:rPr>
                <w:rFonts w:ascii="Arial" w:cs="Arial" w:eastAsia="Arial" w:hAnsi="Arial"/>
                <w:sz w:val="13"/>
                <w:szCs w:val="13"/>
                <w:i w:val="1"/>
                <w:iCs w:val="1"/>
                <w:color w:val="auto"/>
              </w:rPr>
              <w:t>Midwest Transit Equipment, Inc.</w:t>
            </w:r>
          </w:p>
        </w:tc>
        <w:tc>
          <w:tcPr>
            <w:tcW w:w="1720" w:type="dxa"/>
            <w:vAlign w:val="bottom"/>
          </w:tcPr>
          <w:p>
            <w:pPr>
              <w:ind w:left="40"/>
              <w:spacing w:after="0"/>
              <w:rPr>
                <w:sz w:val="20"/>
                <w:szCs w:val="20"/>
                <w:color w:val="auto"/>
              </w:rPr>
            </w:pPr>
            <w:r>
              <w:rPr>
                <w:rFonts w:ascii="Arial" w:cs="Arial" w:eastAsia="Arial" w:hAnsi="Arial"/>
                <w:sz w:val="13"/>
                <w:szCs w:val="13"/>
                <w:color w:val="auto"/>
              </w:rPr>
              <w:t>Transportation services</w:t>
            </w:r>
          </w:p>
        </w:tc>
      </w:tr>
      <w:tr>
        <w:trPr>
          <w:trHeight w:val="135"/>
        </w:trPr>
        <w:tc>
          <w:tcPr>
            <w:tcW w:w="36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Warrant (7,192 shares) (j)(m)</w:t>
            </w:r>
          </w:p>
        </w:tc>
        <w:tc>
          <w:tcPr>
            <w:tcW w:w="1720" w:type="dxa"/>
            <w:vAlign w:val="bottom"/>
          </w:tcPr>
          <w:p>
            <w:pPr>
              <w:spacing w:after="0"/>
              <w:rPr>
                <w:sz w:val="11"/>
                <w:szCs w:val="11"/>
                <w:color w:val="auto"/>
              </w:rPr>
            </w:pPr>
          </w:p>
        </w:tc>
      </w:tr>
      <w:tr>
        <w:trPr>
          <w:trHeight w:val="158"/>
        </w:trPr>
        <w:tc>
          <w:tcPr>
            <w:tcW w:w="3640" w:type="dxa"/>
            <w:vAlign w:val="bottom"/>
            <w:gridSpan w:val="2"/>
          </w:tcPr>
          <w:p>
            <w:pPr>
              <w:ind w:left="260"/>
              <w:spacing w:after="0"/>
              <w:rPr>
                <w:sz w:val="20"/>
                <w:szCs w:val="20"/>
                <w:color w:val="auto"/>
              </w:rPr>
            </w:pPr>
            <w:r>
              <w:rPr>
                <w:rFonts w:ascii="Arial" w:cs="Arial" w:eastAsia="Arial" w:hAnsi="Arial"/>
                <w:sz w:val="13"/>
                <w:szCs w:val="13"/>
                <w:color w:val="auto"/>
              </w:rPr>
              <w:t>Warrant (9.59% of Junior Subordinated Notes) (j)(q)</w:t>
            </w:r>
          </w:p>
        </w:tc>
        <w:tc>
          <w:tcPr>
            <w:tcW w:w="1720" w:type="dxa"/>
            <w:vAlign w:val="bottom"/>
          </w:tcPr>
          <w:p>
            <w:pPr>
              <w:spacing w:after="0"/>
              <w:rPr>
                <w:sz w:val="13"/>
                <w:szCs w:val="13"/>
                <w:color w:val="auto"/>
              </w:rPr>
            </w:pPr>
          </w:p>
        </w:tc>
      </w:tr>
      <w:tr>
        <w:trPr>
          <w:trHeight w:val="273"/>
        </w:trPr>
        <w:tc>
          <w:tcPr>
            <w:tcW w:w="3640" w:type="dxa"/>
            <w:vAlign w:val="bottom"/>
            <w:gridSpan w:val="2"/>
          </w:tcPr>
          <w:p>
            <w:pPr>
              <w:spacing w:after="0"/>
              <w:rPr>
                <w:sz w:val="20"/>
                <w:szCs w:val="20"/>
                <w:color w:val="auto"/>
              </w:rPr>
            </w:pPr>
            <w:r>
              <w:rPr>
                <w:rFonts w:ascii="Arial" w:cs="Arial" w:eastAsia="Arial" w:hAnsi="Arial"/>
                <w:sz w:val="13"/>
                <w:szCs w:val="13"/>
                <w:i w:val="1"/>
                <w:iCs w:val="1"/>
                <w:color w:val="auto"/>
              </w:rPr>
              <w:t>NGT Acquisition Holdings, LLC (dba Techniks Industries)</w:t>
            </w:r>
          </w:p>
        </w:tc>
        <w:tc>
          <w:tcPr>
            <w:tcW w:w="1720" w:type="dxa"/>
            <w:vAlign w:val="bottom"/>
          </w:tcPr>
          <w:p>
            <w:pPr>
              <w:ind w:left="40"/>
              <w:spacing w:after="0"/>
              <w:rPr>
                <w:sz w:val="20"/>
                <w:szCs w:val="20"/>
                <w:color w:val="auto"/>
              </w:rPr>
            </w:pPr>
            <w:r>
              <w:rPr>
                <w:rFonts w:ascii="Arial" w:cs="Arial" w:eastAsia="Arial" w:hAnsi="Arial"/>
                <w:sz w:val="13"/>
                <w:szCs w:val="13"/>
                <w:color w:val="auto"/>
              </w:rPr>
              <w:t>Component Manufacturing</w:t>
            </w:r>
          </w:p>
        </w:tc>
      </w:tr>
      <w:tr>
        <w:trPr>
          <w:trHeight w:val="158"/>
        </w:trPr>
        <w:tc>
          <w:tcPr>
            <w:tcW w:w="3640" w:type="dxa"/>
            <w:vAlign w:val="bottom"/>
            <w:gridSpan w:val="2"/>
          </w:tcPr>
          <w:p>
            <w:pPr>
              <w:ind w:left="260"/>
              <w:spacing w:after="0"/>
              <w:rPr>
                <w:sz w:val="20"/>
                <w:szCs w:val="20"/>
                <w:color w:val="auto"/>
              </w:rPr>
            </w:pPr>
            <w:r>
              <w:rPr>
                <w:rFonts w:ascii="Arial" w:cs="Arial" w:eastAsia="Arial" w:hAnsi="Arial"/>
                <w:sz w:val="13"/>
                <w:szCs w:val="13"/>
                <w:color w:val="auto"/>
              </w:rPr>
              <w:t>Common Equity (378 units) (j)</w:t>
            </w:r>
          </w:p>
        </w:tc>
        <w:tc>
          <w:tcPr>
            <w:tcW w:w="1720" w:type="dxa"/>
            <w:vAlign w:val="bottom"/>
          </w:tcPr>
          <w:p>
            <w:pPr>
              <w:spacing w:after="0"/>
              <w:rPr>
                <w:sz w:val="13"/>
                <w:szCs w:val="13"/>
                <w:color w:val="auto"/>
              </w:rPr>
            </w:pPr>
          </w:p>
        </w:tc>
      </w:tr>
      <w:tr>
        <w:trPr>
          <w:trHeight w:val="246"/>
        </w:trPr>
        <w:tc>
          <w:tcPr>
            <w:tcW w:w="3640" w:type="dxa"/>
            <w:vAlign w:val="bottom"/>
            <w:gridSpan w:val="2"/>
          </w:tcPr>
          <w:p>
            <w:pPr>
              <w:spacing w:after="0"/>
              <w:rPr>
                <w:sz w:val="20"/>
                <w:szCs w:val="20"/>
                <w:color w:val="auto"/>
              </w:rPr>
            </w:pPr>
            <w:r>
              <w:rPr>
                <w:rFonts w:ascii="Arial" w:cs="Arial" w:eastAsia="Arial" w:hAnsi="Arial"/>
                <w:sz w:val="13"/>
                <w:szCs w:val="13"/>
                <w:i w:val="1"/>
                <w:iCs w:val="1"/>
                <w:color w:val="auto"/>
              </w:rPr>
              <w:t>OMC Investors, LLC (dba Ohio Medical Corporation)</w:t>
            </w:r>
          </w:p>
        </w:tc>
        <w:tc>
          <w:tcPr>
            <w:tcW w:w="1720" w:type="dxa"/>
            <w:vAlign w:val="bottom"/>
          </w:tcPr>
          <w:p>
            <w:pPr>
              <w:ind w:left="40"/>
              <w:spacing w:after="0"/>
              <w:rPr>
                <w:sz w:val="20"/>
                <w:szCs w:val="20"/>
                <w:color w:val="auto"/>
              </w:rPr>
            </w:pPr>
            <w:r>
              <w:rPr>
                <w:rFonts w:ascii="Arial" w:cs="Arial" w:eastAsia="Arial" w:hAnsi="Arial"/>
                <w:sz w:val="13"/>
                <w:szCs w:val="13"/>
                <w:color w:val="auto"/>
              </w:rPr>
              <w:t>Healthcare Products</w:t>
            </w:r>
          </w:p>
        </w:tc>
      </w:tr>
      <w:tr>
        <w:trPr>
          <w:trHeight w:val="135"/>
        </w:trPr>
        <w:tc>
          <w:tcPr>
            <w:tcW w:w="36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1720" w:type="dxa"/>
            <w:vAlign w:val="bottom"/>
          </w:tcPr>
          <w:p>
            <w:pPr>
              <w:spacing w:after="0"/>
              <w:rPr>
                <w:sz w:val="11"/>
                <w:szCs w:val="11"/>
                <w:color w:val="auto"/>
              </w:rPr>
            </w:pPr>
          </w:p>
        </w:tc>
      </w:tr>
      <w:tr>
        <w:trPr>
          <w:trHeight w:val="158"/>
        </w:trPr>
        <w:tc>
          <w:tcPr>
            <w:tcW w:w="3640" w:type="dxa"/>
            <w:vAlign w:val="bottom"/>
            <w:gridSpan w:val="2"/>
          </w:tcPr>
          <w:p>
            <w:pPr>
              <w:ind w:left="260"/>
              <w:spacing w:after="0"/>
              <w:rPr>
                <w:sz w:val="20"/>
                <w:szCs w:val="20"/>
                <w:color w:val="auto"/>
              </w:rPr>
            </w:pPr>
            <w:r>
              <w:rPr>
                <w:rFonts w:ascii="Arial" w:cs="Arial" w:eastAsia="Arial" w:hAnsi="Arial"/>
                <w:sz w:val="13"/>
                <w:szCs w:val="13"/>
                <w:color w:val="auto"/>
              </w:rPr>
              <w:t>Common Equity (5,000 units)</w:t>
            </w:r>
          </w:p>
        </w:tc>
        <w:tc>
          <w:tcPr>
            <w:tcW w:w="1720" w:type="dxa"/>
            <w:vAlign w:val="bottom"/>
          </w:tcPr>
          <w:p>
            <w:pPr>
              <w:spacing w:after="0"/>
              <w:rPr>
                <w:sz w:val="13"/>
                <w:szCs w:val="13"/>
                <w:color w:val="auto"/>
              </w:rPr>
            </w:pPr>
          </w:p>
        </w:tc>
      </w:tr>
      <w:tr>
        <w:trPr>
          <w:trHeight w:val="273"/>
        </w:trPr>
        <w:tc>
          <w:tcPr>
            <w:tcW w:w="3640" w:type="dxa"/>
            <w:vAlign w:val="bottom"/>
            <w:gridSpan w:val="2"/>
          </w:tcPr>
          <w:p>
            <w:pPr>
              <w:spacing w:after="0"/>
              <w:rPr>
                <w:sz w:val="20"/>
                <w:szCs w:val="20"/>
                <w:color w:val="auto"/>
              </w:rPr>
            </w:pPr>
            <w:r>
              <w:rPr>
                <w:rFonts w:ascii="Arial" w:cs="Arial" w:eastAsia="Arial" w:hAnsi="Arial"/>
                <w:sz w:val="13"/>
                <w:szCs w:val="13"/>
                <w:i w:val="1"/>
                <w:iCs w:val="1"/>
                <w:color w:val="auto"/>
              </w:rPr>
              <w:t>Palisade Company, LLC</w:t>
            </w:r>
          </w:p>
        </w:tc>
        <w:tc>
          <w:tcPr>
            <w:tcW w:w="1720" w:type="dxa"/>
            <w:vAlign w:val="bottom"/>
          </w:tcPr>
          <w:p>
            <w:pPr>
              <w:ind w:left="40"/>
              <w:spacing w:after="0"/>
              <w:rPr>
                <w:sz w:val="20"/>
                <w:szCs w:val="20"/>
                <w:color w:val="auto"/>
              </w:rPr>
            </w:pPr>
            <w:r>
              <w:rPr>
                <w:rFonts w:ascii="Arial" w:cs="Arial" w:eastAsia="Arial" w:hAnsi="Arial"/>
                <w:sz w:val="13"/>
                <w:szCs w:val="13"/>
                <w:color w:val="auto"/>
                <w:w w:val="87"/>
              </w:rPr>
              <w:t>Information Technology Services</w:t>
            </w:r>
          </w:p>
        </w:tc>
      </w:tr>
      <w:tr>
        <w:trPr>
          <w:trHeight w:val="135"/>
        </w:trPr>
        <w:tc>
          <w:tcPr>
            <w:tcW w:w="36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Subordinated Debt (j)</w:t>
            </w:r>
          </w:p>
        </w:tc>
        <w:tc>
          <w:tcPr>
            <w:tcW w:w="1720" w:type="dxa"/>
            <w:vAlign w:val="bottom"/>
          </w:tcPr>
          <w:p>
            <w:pPr>
              <w:spacing w:after="0"/>
              <w:rPr>
                <w:sz w:val="11"/>
                <w:szCs w:val="11"/>
                <w:color w:val="auto"/>
              </w:rPr>
            </w:pPr>
          </w:p>
        </w:tc>
      </w:tr>
      <w:tr>
        <w:trPr>
          <w:trHeight w:val="158"/>
        </w:trPr>
        <w:tc>
          <w:tcPr>
            <w:tcW w:w="3640" w:type="dxa"/>
            <w:vAlign w:val="bottom"/>
            <w:gridSpan w:val="2"/>
          </w:tcPr>
          <w:p>
            <w:pPr>
              <w:ind w:left="260"/>
              <w:spacing w:after="0"/>
              <w:rPr>
                <w:sz w:val="20"/>
                <w:szCs w:val="20"/>
                <w:color w:val="auto"/>
              </w:rPr>
            </w:pPr>
            <w:r>
              <w:rPr>
                <w:rFonts w:ascii="Arial" w:cs="Arial" w:eastAsia="Arial" w:hAnsi="Arial"/>
                <w:sz w:val="13"/>
                <w:szCs w:val="13"/>
                <w:color w:val="auto"/>
              </w:rPr>
              <w:t>Common Equity (50 shares) (j)</w:t>
            </w:r>
          </w:p>
        </w:tc>
        <w:tc>
          <w:tcPr>
            <w:tcW w:w="1720" w:type="dxa"/>
            <w:vAlign w:val="bottom"/>
          </w:tcPr>
          <w:p>
            <w:pPr>
              <w:spacing w:after="0"/>
              <w:rPr>
                <w:sz w:val="13"/>
                <w:szCs w:val="13"/>
                <w:color w:val="auto"/>
              </w:rPr>
            </w:pPr>
          </w:p>
        </w:tc>
      </w:tr>
      <w:tr>
        <w:trPr>
          <w:trHeight w:val="273"/>
        </w:trPr>
        <w:tc>
          <w:tcPr>
            <w:tcW w:w="3640" w:type="dxa"/>
            <w:vAlign w:val="bottom"/>
            <w:gridSpan w:val="2"/>
          </w:tcPr>
          <w:p>
            <w:pPr>
              <w:spacing w:after="0"/>
              <w:rPr>
                <w:sz w:val="20"/>
                <w:szCs w:val="20"/>
                <w:color w:val="auto"/>
              </w:rPr>
            </w:pPr>
            <w:r>
              <w:rPr>
                <w:rFonts w:ascii="Arial" w:cs="Arial" w:eastAsia="Arial" w:hAnsi="Arial"/>
                <w:sz w:val="13"/>
                <w:szCs w:val="13"/>
                <w:i w:val="1"/>
                <w:iCs w:val="1"/>
                <w:color w:val="auto"/>
              </w:rPr>
              <w:t>Palmetto Moon, LLC</w:t>
            </w:r>
          </w:p>
        </w:tc>
        <w:tc>
          <w:tcPr>
            <w:tcW w:w="1720" w:type="dxa"/>
            <w:vAlign w:val="bottom"/>
          </w:tcPr>
          <w:p>
            <w:pPr>
              <w:ind w:left="40"/>
              <w:spacing w:after="0"/>
              <w:rPr>
                <w:sz w:val="20"/>
                <w:szCs w:val="20"/>
                <w:color w:val="auto"/>
              </w:rPr>
            </w:pPr>
            <w:r>
              <w:rPr>
                <w:rFonts w:ascii="Arial" w:cs="Arial" w:eastAsia="Arial" w:hAnsi="Arial"/>
                <w:sz w:val="13"/>
                <w:szCs w:val="13"/>
                <w:color w:val="auto"/>
              </w:rPr>
              <w:t>Retail</w:t>
            </w:r>
          </w:p>
        </w:tc>
      </w:tr>
      <w:tr>
        <w:trPr>
          <w:trHeight w:val="135"/>
        </w:trPr>
        <w:tc>
          <w:tcPr>
            <w:tcW w:w="36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First Lien Debt (j)</w:t>
            </w:r>
          </w:p>
        </w:tc>
        <w:tc>
          <w:tcPr>
            <w:tcW w:w="1720" w:type="dxa"/>
            <w:vAlign w:val="bottom"/>
          </w:tcPr>
          <w:p>
            <w:pPr>
              <w:spacing w:after="0"/>
              <w:rPr>
                <w:sz w:val="11"/>
                <w:szCs w:val="11"/>
                <w:color w:val="auto"/>
              </w:rPr>
            </w:pPr>
          </w:p>
        </w:tc>
      </w:tr>
      <w:tr>
        <w:trPr>
          <w:trHeight w:val="158"/>
        </w:trPr>
        <w:tc>
          <w:tcPr>
            <w:tcW w:w="3640" w:type="dxa"/>
            <w:vAlign w:val="bottom"/>
            <w:gridSpan w:val="2"/>
          </w:tcPr>
          <w:p>
            <w:pPr>
              <w:ind w:left="260"/>
              <w:spacing w:after="0"/>
              <w:rPr>
                <w:sz w:val="20"/>
                <w:szCs w:val="20"/>
                <w:color w:val="auto"/>
              </w:rPr>
            </w:pPr>
            <w:r>
              <w:rPr>
                <w:rFonts w:ascii="Arial" w:cs="Arial" w:eastAsia="Arial" w:hAnsi="Arial"/>
                <w:sz w:val="13"/>
                <w:szCs w:val="13"/>
                <w:color w:val="auto"/>
              </w:rPr>
              <w:t>Common Equity (499 units) (j)</w:t>
            </w:r>
          </w:p>
        </w:tc>
        <w:tc>
          <w:tcPr>
            <w:tcW w:w="1720" w:type="dxa"/>
            <w:vAlign w:val="bottom"/>
          </w:tcPr>
          <w:p>
            <w:pPr>
              <w:spacing w:after="0"/>
              <w:rPr>
                <w:sz w:val="13"/>
                <w:szCs w:val="13"/>
                <w:color w:val="auto"/>
              </w:rPr>
            </w:pPr>
          </w:p>
        </w:tc>
      </w:tr>
      <w:tr>
        <w:trPr>
          <w:trHeight w:val="273"/>
        </w:trPr>
        <w:tc>
          <w:tcPr>
            <w:tcW w:w="3640" w:type="dxa"/>
            <w:vAlign w:val="bottom"/>
            <w:gridSpan w:val="2"/>
          </w:tcPr>
          <w:p>
            <w:pPr>
              <w:spacing w:after="0"/>
              <w:rPr>
                <w:sz w:val="20"/>
                <w:szCs w:val="20"/>
                <w:color w:val="auto"/>
              </w:rPr>
            </w:pPr>
            <w:r>
              <w:rPr>
                <w:rFonts w:ascii="Arial" w:cs="Arial" w:eastAsia="Arial" w:hAnsi="Arial"/>
                <w:sz w:val="13"/>
                <w:szCs w:val="13"/>
                <w:i w:val="1"/>
                <w:iCs w:val="1"/>
                <w:color w:val="auto"/>
              </w:rPr>
              <w:t>Power Grid Components, Inc.</w:t>
            </w:r>
          </w:p>
        </w:tc>
        <w:tc>
          <w:tcPr>
            <w:tcW w:w="1720" w:type="dxa"/>
            <w:vAlign w:val="bottom"/>
          </w:tcPr>
          <w:p>
            <w:pPr>
              <w:ind w:left="40"/>
              <w:spacing w:after="0"/>
              <w:rPr>
                <w:sz w:val="20"/>
                <w:szCs w:val="20"/>
                <w:color w:val="auto"/>
              </w:rPr>
            </w:pPr>
            <w:r>
              <w:rPr>
                <w:rFonts w:ascii="Arial" w:cs="Arial" w:eastAsia="Arial" w:hAnsi="Arial"/>
                <w:sz w:val="13"/>
                <w:szCs w:val="13"/>
                <w:color w:val="auto"/>
              </w:rPr>
              <w:t>Specialty Distribution</w:t>
            </w:r>
          </w:p>
        </w:tc>
      </w:tr>
      <w:tr>
        <w:trPr>
          <w:trHeight w:val="135"/>
        </w:trPr>
        <w:tc>
          <w:tcPr>
            <w:tcW w:w="36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1720" w:type="dxa"/>
            <w:vAlign w:val="bottom"/>
          </w:tcPr>
          <w:p>
            <w:pPr>
              <w:spacing w:after="0"/>
              <w:rPr>
                <w:sz w:val="11"/>
                <w:szCs w:val="11"/>
                <w:color w:val="auto"/>
              </w:rPr>
            </w:pPr>
          </w:p>
        </w:tc>
      </w:tr>
      <w:tr>
        <w:trPr>
          <w:trHeight w:val="135"/>
        </w:trPr>
        <w:tc>
          <w:tcPr>
            <w:tcW w:w="36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Preferred Equity (392 shares) (j)</w:t>
            </w:r>
          </w:p>
        </w:tc>
        <w:tc>
          <w:tcPr>
            <w:tcW w:w="1720" w:type="dxa"/>
            <w:vAlign w:val="bottom"/>
          </w:tcPr>
          <w:p>
            <w:pPr>
              <w:spacing w:after="0"/>
              <w:rPr>
                <w:sz w:val="11"/>
                <w:szCs w:val="11"/>
                <w:color w:val="auto"/>
              </w:rPr>
            </w:pPr>
          </w:p>
        </w:tc>
      </w:tr>
      <w:tr>
        <w:trPr>
          <w:trHeight w:val="135"/>
        </w:trPr>
        <w:tc>
          <w:tcPr>
            <w:tcW w:w="36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Preferred Equity (48 shares) (j)</w:t>
            </w:r>
          </w:p>
        </w:tc>
        <w:tc>
          <w:tcPr>
            <w:tcW w:w="1720" w:type="dxa"/>
            <w:vAlign w:val="bottom"/>
          </w:tcPr>
          <w:p>
            <w:pPr>
              <w:spacing w:after="0"/>
              <w:rPr>
                <w:sz w:val="11"/>
                <w:szCs w:val="11"/>
                <w:color w:val="auto"/>
              </w:rPr>
            </w:pPr>
          </w:p>
        </w:tc>
      </w:tr>
      <w:tr>
        <w:trPr>
          <w:trHeight w:val="158"/>
        </w:trPr>
        <w:tc>
          <w:tcPr>
            <w:tcW w:w="3640" w:type="dxa"/>
            <w:vAlign w:val="bottom"/>
            <w:gridSpan w:val="2"/>
          </w:tcPr>
          <w:p>
            <w:pPr>
              <w:ind w:left="260"/>
              <w:spacing w:after="0"/>
              <w:rPr>
                <w:sz w:val="20"/>
                <w:szCs w:val="20"/>
                <w:color w:val="auto"/>
              </w:rPr>
            </w:pPr>
            <w:r>
              <w:rPr>
                <w:rFonts w:ascii="Arial" w:cs="Arial" w:eastAsia="Arial" w:hAnsi="Arial"/>
                <w:sz w:val="13"/>
                <w:szCs w:val="13"/>
                <w:color w:val="auto"/>
              </w:rPr>
              <w:t>Common Equity (10,622 shares) (j)</w:t>
            </w:r>
          </w:p>
        </w:tc>
        <w:tc>
          <w:tcPr>
            <w:tcW w:w="1720" w:type="dxa"/>
            <w:vAlign w:val="bottom"/>
          </w:tcPr>
          <w:p>
            <w:pPr>
              <w:spacing w:after="0"/>
              <w:rPr>
                <w:sz w:val="13"/>
                <w:szCs w:val="13"/>
                <w:color w:val="auto"/>
              </w:rPr>
            </w:pPr>
          </w:p>
        </w:tc>
      </w:tr>
      <w:tr>
        <w:trPr>
          <w:trHeight w:val="273"/>
        </w:trPr>
        <w:tc>
          <w:tcPr>
            <w:tcW w:w="3640" w:type="dxa"/>
            <w:vAlign w:val="bottom"/>
            <w:gridSpan w:val="2"/>
          </w:tcPr>
          <w:p>
            <w:pPr>
              <w:spacing w:after="0"/>
              <w:rPr>
                <w:sz w:val="20"/>
                <w:szCs w:val="20"/>
                <w:color w:val="auto"/>
              </w:rPr>
            </w:pPr>
            <w:r>
              <w:rPr>
                <w:rFonts w:ascii="Arial" w:cs="Arial" w:eastAsia="Arial" w:hAnsi="Arial"/>
                <w:sz w:val="13"/>
                <w:szCs w:val="13"/>
                <w:i w:val="1"/>
                <w:iCs w:val="1"/>
                <w:color w:val="auto"/>
              </w:rPr>
              <w:t>Prime AE Group, Inc.</w:t>
            </w:r>
          </w:p>
        </w:tc>
        <w:tc>
          <w:tcPr>
            <w:tcW w:w="1720" w:type="dxa"/>
            <w:vAlign w:val="bottom"/>
          </w:tcPr>
          <w:p>
            <w:pPr>
              <w:ind w:left="40"/>
              <w:spacing w:after="0"/>
              <w:rPr>
                <w:sz w:val="20"/>
                <w:szCs w:val="20"/>
                <w:color w:val="auto"/>
              </w:rPr>
            </w:pPr>
            <w:r>
              <w:rPr>
                <w:rFonts w:ascii="Arial" w:cs="Arial" w:eastAsia="Arial" w:hAnsi="Arial"/>
                <w:sz w:val="13"/>
                <w:szCs w:val="13"/>
                <w:color w:val="auto"/>
              </w:rPr>
              <w:t>Business Services</w:t>
            </w:r>
          </w:p>
        </w:tc>
      </w:tr>
      <w:tr>
        <w:trPr>
          <w:trHeight w:val="135"/>
        </w:trPr>
        <w:tc>
          <w:tcPr>
            <w:tcW w:w="36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First Lien Debt (j)</w:t>
            </w:r>
          </w:p>
        </w:tc>
        <w:tc>
          <w:tcPr>
            <w:tcW w:w="1720" w:type="dxa"/>
            <w:vAlign w:val="bottom"/>
          </w:tcPr>
          <w:p>
            <w:pPr>
              <w:spacing w:after="0"/>
              <w:rPr>
                <w:sz w:val="11"/>
                <w:szCs w:val="11"/>
                <w:color w:val="auto"/>
              </w:rPr>
            </w:pPr>
          </w:p>
        </w:tc>
      </w:tr>
      <w:tr>
        <w:trPr>
          <w:trHeight w:val="158"/>
        </w:trPr>
        <w:tc>
          <w:tcPr>
            <w:tcW w:w="3640" w:type="dxa"/>
            <w:vAlign w:val="bottom"/>
            <w:gridSpan w:val="2"/>
          </w:tcPr>
          <w:p>
            <w:pPr>
              <w:ind w:left="260"/>
              <w:spacing w:after="0"/>
              <w:rPr>
                <w:sz w:val="20"/>
                <w:szCs w:val="20"/>
                <w:color w:val="auto"/>
              </w:rPr>
            </w:pPr>
            <w:r>
              <w:rPr>
                <w:rFonts w:ascii="Arial" w:cs="Arial" w:eastAsia="Arial" w:hAnsi="Arial"/>
                <w:sz w:val="13"/>
                <w:szCs w:val="13"/>
                <w:color w:val="auto"/>
              </w:rPr>
              <w:t>Preferred Equity (500,000 shares) (j)</w:t>
            </w:r>
          </w:p>
        </w:tc>
        <w:tc>
          <w:tcPr>
            <w:tcW w:w="17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0"/>
              </w:rPr>
              <w:t>Variable Index</w:t>
            </w:r>
          </w:p>
        </w:tc>
        <w:tc>
          <w:tcPr>
            <w:tcW w:w="880" w:type="dxa"/>
            <w:vAlign w:val="bottom"/>
            <w:gridSpan w:val="2"/>
          </w:tcPr>
          <w:p>
            <w:pPr>
              <w:ind w:left="180"/>
              <w:spacing w:after="0"/>
              <w:rPr>
                <w:sz w:val="20"/>
                <w:szCs w:val="20"/>
                <w:color w:val="auto"/>
              </w:rPr>
            </w:pPr>
            <w:r>
              <w:rPr>
                <w:rFonts w:ascii="Arial" w:cs="Arial" w:eastAsia="Arial" w:hAnsi="Arial"/>
                <w:sz w:val="13"/>
                <w:szCs w:val="13"/>
                <w:b w:val="1"/>
                <w:bCs w:val="1"/>
                <w:color w:val="auto"/>
              </w:rPr>
              <w:t>Rate (e)</w:t>
            </w: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w w:val="99"/>
              </w:rPr>
              <w:t>Investment</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Principal</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Fair</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1"/>
              </w:rPr>
              <w:t>Percent of</w:t>
            </w:r>
          </w:p>
        </w:tc>
      </w:tr>
      <w:tr>
        <w:trPr>
          <w:trHeight w:val="166"/>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Spread / Floor (d)</w:t>
            </w:r>
          </w:p>
        </w:tc>
        <w:tc>
          <w:tcPr>
            <w:tcW w:w="40" w:type="dxa"/>
            <w:vAlign w:val="bottom"/>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Cash/PIK</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Date (f)</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Maturity</w:t>
            </w:r>
          </w:p>
        </w:tc>
        <w:tc>
          <w:tcPr>
            <w:tcW w:w="8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Cost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3"/>
              </w:rPr>
              <w:t>Value (g)</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0"/>
              </w:rPr>
              <w:t>Net Assets</w:t>
            </w:r>
          </w:p>
        </w:tc>
        <w:tc>
          <w:tcPr>
            <w:tcW w:w="100" w:type="dxa"/>
            <w:vAlign w:val="bottom"/>
          </w:tcPr>
          <w:p>
            <w:pPr>
              <w:spacing w:after="0"/>
              <w:rPr>
                <w:sz w:val="14"/>
                <w:szCs w:val="14"/>
                <w:color w:val="auto"/>
              </w:rPr>
            </w:pPr>
          </w:p>
        </w:tc>
      </w:tr>
      <w:tr>
        <w:trPr>
          <w:trHeight w:val="249"/>
        </w:trPr>
        <w:tc>
          <w:tcPr>
            <w:tcW w:w="1160" w:type="dxa"/>
            <w:vAlign w:val="bottom"/>
            <w:gridSpan w:val="2"/>
          </w:tcPr>
          <w:p>
            <w:pPr>
              <w:jc w:val="center"/>
              <w:ind w:right="40"/>
              <w:spacing w:after="0"/>
              <w:rPr>
                <w:sz w:val="20"/>
                <w:szCs w:val="20"/>
                <w:color w:val="auto"/>
              </w:rPr>
            </w:pPr>
            <w:r>
              <w:rPr>
                <w:rFonts w:ascii="Arial" w:cs="Arial" w:eastAsia="Arial" w:hAnsi="Arial"/>
                <w:sz w:val="13"/>
                <w:szCs w:val="13"/>
                <w:color w:val="auto"/>
                <w:w w:val="90"/>
              </w:rPr>
              <w:t>(L + 5.00%) / (2.00%)</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7.00%/0.00%</w:t>
            </w:r>
          </w:p>
        </w:tc>
        <w:tc>
          <w:tcPr>
            <w:tcW w:w="620" w:type="dxa"/>
            <w:vAlign w:val="bottom"/>
          </w:tcPr>
          <w:p>
            <w:pPr>
              <w:jc w:val="right"/>
              <w:spacing w:after="0"/>
              <w:rPr>
                <w:sz w:val="20"/>
                <w:szCs w:val="20"/>
                <w:color w:val="auto"/>
              </w:rPr>
            </w:pPr>
            <w:r>
              <w:rPr>
                <w:rFonts w:ascii="Arial" w:cs="Arial" w:eastAsia="Arial" w:hAnsi="Arial"/>
                <w:sz w:val="13"/>
                <w:szCs w:val="13"/>
                <w:color w:val="auto"/>
              </w:rPr>
              <w:t>9/21/2018</w:t>
            </w:r>
          </w:p>
        </w:tc>
        <w:tc>
          <w:tcPr>
            <w:tcW w:w="8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9/21/2023</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4,338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4,291</w:t>
            </w:r>
          </w:p>
        </w:tc>
        <w:tc>
          <w:tcPr>
            <w:tcW w:w="1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4,338</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5"/>
        </w:trPr>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9/21/2018</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360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423</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9/21/2018</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4,429</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4,666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9,190</w:t>
            </w:r>
          </w:p>
        </w:tc>
        <w:tc>
          <w:tcPr>
            <w:tcW w:w="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269"/>
        </w:trPr>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12/19/2017</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750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1,796</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381"/>
        </w:trPr>
        <w:tc>
          <w:tcPr>
            <w:tcW w:w="1160" w:type="dxa"/>
            <w:vAlign w:val="bottom"/>
            <w:gridSpan w:val="2"/>
          </w:tcPr>
          <w:p>
            <w:pPr>
              <w:jc w:val="center"/>
              <w:ind w:right="40"/>
              <w:spacing w:after="0"/>
              <w:rPr>
                <w:sz w:val="20"/>
                <w:szCs w:val="20"/>
                <w:color w:val="auto"/>
              </w:rPr>
            </w:pPr>
            <w:r>
              <w:rPr>
                <w:rFonts w:ascii="Arial" w:cs="Arial" w:eastAsia="Arial" w:hAnsi="Arial"/>
                <w:sz w:val="13"/>
                <w:szCs w:val="13"/>
                <w:color w:val="auto"/>
                <w:w w:val="90"/>
              </w:rPr>
              <w:t>(L + 7.25%) / (2.00%)</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9.25%/0.00%</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10/11/2019</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10/11/2024</w:t>
            </w:r>
          </w:p>
        </w:tc>
        <w:tc>
          <w:tcPr>
            <w:tcW w:w="100" w:type="dxa"/>
            <w:vAlign w:val="bottom"/>
          </w:tcPr>
          <w:p>
            <w:pPr>
              <w:spacing w:after="0"/>
              <w:rPr>
                <w:sz w:val="24"/>
                <w:szCs w:val="2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5,500</w:t>
            </w:r>
          </w:p>
        </w:tc>
        <w:tc>
          <w:tcPr>
            <w:tcW w:w="6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5,467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5,353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10/11/2019</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500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279</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5,967</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5,632</w:t>
            </w:r>
          </w:p>
        </w:tc>
        <w:tc>
          <w:tcPr>
            <w:tcW w:w="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245"/>
        </w:trPr>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11.50%/1.50%</w:t>
            </w:r>
          </w:p>
        </w:tc>
        <w:tc>
          <w:tcPr>
            <w:tcW w:w="620" w:type="dxa"/>
            <w:vAlign w:val="bottom"/>
          </w:tcPr>
          <w:p>
            <w:pPr>
              <w:jc w:val="right"/>
              <w:spacing w:after="0"/>
              <w:rPr>
                <w:sz w:val="20"/>
                <w:szCs w:val="20"/>
                <w:color w:val="auto"/>
              </w:rPr>
            </w:pPr>
            <w:r>
              <w:rPr>
                <w:rFonts w:ascii="Arial" w:cs="Arial" w:eastAsia="Arial" w:hAnsi="Arial"/>
                <w:sz w:val="13"/>
                <w:szCs w:val="13"/>
                <w:color w:val="auto"/>
              </w:rPr>
              <w:t>9/23/2016</w:t>
            </w:r>
          </w:p>
        </w:tc>
        <w:tc>
          <w:tcPr>
            <w:tcW w:w="8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12/31/2019</w:t>
            </w:r>
          </w:p>
        </w:tc>
        <w:tc>
          <w:tcPr>
            <w:tcW w:w="100" w:type="dxa"/>
            <w:vAlign w:val="bottom"/>
          </w:tcPr>
          <w:p>
            <w:pPr>
              <w:spacing w:after="0"/>
              <w:rPr>
                <w:sz w:val="21"/>
                <w:szCs w:val="21"/>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w w:val="95"/>
              </w:rPr>
              <w:t>10,253</w:t>
            </w:r>
          </w:p>
        </w:tc>
        <w:tc>
          <w:tcPr>
            <w:tcW w:w="60" w:type="dxa"/>
            <w:vAlign w:val="bottom"/>
          </w:tcPr>
          <w:p>
            <w:pPr>
              <w:spacing w:after="0"/>
              <w:rPr>
                <w:sz w:val="21"/>
                <w:szCs w:val="21"/>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10,253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8,696</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5"/>
        </w:trPr>
        <w:tc>
          <w:tcPr>
            <w:tcW w:w="116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0"/>
              </w:rPr>
              <w:t>(L + 6.50%) / (0.00%)</w:t>
            </w: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6.66%/0.00%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12/20/2019</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12/15/2019</w:t>
            </w: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5,962</w:t>
            </w:r>
          </w:p>
        </w:tc>
        <w:tc>
          <w:tcPr>
            <w:tcW w:w="60" w:type="dxa"/>
            <w:vAlign w:val="bottom"/>
          </w:tcPr>
          <w:p>
            <w:pPr>
              <w:spacing w:after="0"/>
              <w:rPr>
                <w:sz w:val="11"/>
                <w:szCs w:val="11"/>
                <w:color w:val="auto"/>
              </w:rPr>
            </w:pPr>
          </w:p>
        </w:tc>
        <w:tc>
          <w:tcPr>
            <w:tcW w:w="3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5,962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5,962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6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0"/>
              </w:rPr>
              <w:t>(L + 6.95%) / (0.00%)</w:t>
            </w: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7.11%/0.00%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12/20/2019</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12/15/2019</w:t>
            </w: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5,476</w:t>
            </w:r>
          </w:p>
        </w:tc>
        <w:tc>
          <w:tcPr>
            <w:tcW w:w="60" w:type="dxa"/>
            <w:vAlign w:val="bottom"/>
          </w:tcPr>
          <w:p>
            <w:pPr>
              <w:spacing w:after="0"/>
              <w:rPr>
                <w:sz w:val="11"/>
                <w:szCs w:val="11"/>
                <w:color w:val="auto"/>
              </w:rPr>
            </w:pPr>
          </w:p>
        </w:tc>
        <w:tc>
          <w:tcPr>
            <w:tcW w:w="3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5,476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5,476</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4/18/2018</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9/23/2016</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473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85"/>
              </w:rPr>
              <w:t>23,164</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0"/>
              </w:rPr>
              <w:t>20,134</w:t>
            </w:r>
          </w:p>
        </w:tc>
        <w:tc>
          <w:tcPr>
            <w:tcW w:w="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w:t>
            </w:r>
          </w:p>
        </w:tc>
      </w:tr>
      <w:tr>
        <w:trPr>
          <w:trHeight w:val="269"/>
        </w:trPr>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6/20/2019</w:t>
            </w:r>
          </w:p>
        </w:tc>
        <w:tc>
          <w:tcPr>
            <w:tcW w:w="8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1/1/2022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250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298</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381"/>
        </w:trPr>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13.00%/0.00%</w:t>
            </w:r>
          </w:p>
        </w:tc>
        <w:tc>
          <w:tcPr>
            <w:tcW w:w="620" w:type="dxa"/>
            <w:vAlign w:val="bottom"/>
          </w:tcPr>
          <w:p>
            <w:pPr>
              <w:jc w:val="right"/>
              <w:spacing w:after="0"/>
              <w:rPr>
                <w:sz w:val="20"/>
                <w:szCs w:val="20"/>
                <w:color w:val="auto"/>
              </w:rPr>
            </w:pPr>
            <w:r>
              <w:rPr>
                <w:rFonts w:ascii="Arial" w:cs="Arial" w:eastAsia="Arial" w:hAnsi="Arial"/>
                <w:sz w:val="13"/>
                <w:szCs w:val="13"/>
                <w:color w:val="auto"/>
              </w:rPr>
              <w:t>3/23/2016</w:t>
            </w:r>
          </w:p>
        </w:tc>
        <w:tc>
          <w:tcPr>
            <w:tcW w:w="8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9/23/2021</w:t>
            </w:r>
          </w:p>
        </w:tc>
        <w:tc>
          <w:tcPr>
            <w:tcW w:w="100" w:type="dxa"/>
            <w:vAlign w:val="bottom"/>
          </w:tcPr>
          <w:p>
            <w:pPr>
              <w:spacing w:after="0"/>
              <w:rPr>
                <w:sz w:val="24"/>
                <w:szCs w:val="2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w w:val="95"/>
              </w:rPr>
              <w:t>25,000</w:t>
            </w:r>
          </w:p>
        </w:tc>
        <w:tc>
          <w:tcPr>
            <w:tcW w:w="6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24,970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w w:val="90"/>
              </w:rPr>
              <w:t>23,327</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3/23/2016</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132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143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85"/>
              </w:rPr>
              <w:t>25,102</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0"/>
              </w:rPr>
              <w:t>23,470</w:t>
            </w:r>
          </w:p>
        </w:tc>
        <w:tc>
          <w:tcPr>
            <w:tcW w:w="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6%</w:t>
            </w:r>
          </w:p>
        </w:tc>
      </w:tr>
      <w:tr>
        <w:trPr>
          <w:trHeight w:val="269"/>
        </w:trPr>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6/20/2018</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97</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404"/>
        </w:trPr>
        <w:tc>
          <w:tcPr>
            <w:tcW w:w="1160" w:type="dxa"/>
            <w:vAlign w:val="bottom"/>
            <w:gridSpan w:val="2"/>
          </w:tcPr>
          <w:p>
            <w:pPr>
              <w:jc w:val="center"/>
              <w:ind w:right="40"/>
              <w:spacing w:after="0"/>
              <w:rPr>
                <w:sz w:val="20"/>
                <w:szCs w:val="20"/>
                <w:color w:val="auto"/>
              </w:rPr>
            </w:pPr>
            <w:r>
              <w:rPr>
                <w:rFonts w:ascii="Arial" w:cs="Arial" w:eastAsia="Arial" w:hAnsi="Arial"/>
                <w:sz w:val="13"/>
                <w:szCs w:val="13"/>
                <w:color w:val="auto"/>
                <w:w w:val="90"/>
              </w:rPr>
              <w:t>(L + 8.50%) / (2.00%)</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10.50%/0.00%</w:t>
            </w:r>
          </w:p>
        </w:tc>
        <w:tc>
          <w:tcPr>
            <w:tcW w:w="620" w:type="dxa"/>
            <w:vAlign w:val="bottom"/>
          </w:tcPr>
          <w:p>
            <w:pPr>
              <w:jc w:val="right"/>
              <w:spacing w:after="0"/>
              <w:rPr>
                <w:sz w:val="20"/>
                <w:szCs w:val="20"/>
                <w:color w:val="auto"/>
              </w:rPr>
            </w:pPr>
            <w:r>
              <w:rPr>
                <w:rFonts w:ascii="Arial" w:cs="Arial" w:eastAsia="Arial" w:hAnsi="Arial"/>
                <w:sz w:val="13"/>
                <w:szCs w:val="13"/>
                <w:color w:val="auto"/>
              </w:rPr>
              <w:t>6/30/2020</w:t>
            </w:r>
          </w:p>
        </w:tc>
        <w:tc>
          <w:tcPr>
            <w:tcW w:w="8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6/30/2025</w:t>
            </w:r>
          </w:p>
        </w:tc>
        <w:tc>
          <w:tcPr>
            <w:tcW w:w="100" w:type="dxa"/>
            <w:vAlign w:val="bottom"/>
          </w:tcPr>
          <w:p>
            <w:pPr>
              <w:spacing w:after="0"/>
              <w:rPr>
                <w:sz w:val="24"/>
                <w:szCs w:val="2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2,484</w:t>
            </w:r>
          </w:p>
        </w:tc>
        <w:tc>
          <w:tcPr>
            <w:tcW w:w="6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1,912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1,912</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404"/>
        </w:trPr>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0.00%/10.00%</w:t>
            </w:r>
          </w:p>
        </w:tc>
        <w:tc>
          <w:tcPr>
            <w:tcW w:w="620" w:type="dxa"/>
            <w:vAlign w:val="bottom"/>
          </w:tcPr>
          <w:p>
            <w:pPr>
              <w:jc w:val="right"/>
              <w:spacing w:after="0"/>
              <w:rPr>
                <w:sz w:val="20"/>
                <w:szCs w:val="20"/>
                <w:color w:val="auto"/>
              </w:rPr>
            </w:pPr>
            <w:r>
              <w:rPr>
                <w:rFonts w:ascii="Arial" w:cs="Arial" w:eastAsia="Arial" w:hAnsi="Arial"/>
                <w:sz w:val="13"/>
                <w:szCs w:val="13"/>
                <w:color w:val="auto"/>
              </w:rPr>
              <w:t>1/28/2019</w:t>
            </w:r>
          </w:p>
        </w:tc>
        <w:tc>
          <w:tcPr>
            <w:tcW w:w="8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1/28/2021</w:t>
            </w:r>
          </w:p>
        </w:tc>
        <w:tc>
          <w:tcPr>
            <w:tcW w:w="100" w:type="dxa"/>
            <w:vAlign w:val="bottom"/>
          </w:tcPr>
          <w:p>
            <w:pPr>
              <w:spacing w:after="0"/>
              <w:rPr>
                <w:sz w:val="24"/>
                <w:szCs w:val="2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2,087</w:t>
            </w:r>
          </w:p>
        </w:tc>
        <w:tc>
          <w:tcPr>
            <w:tcW w:w="6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2,087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2,087</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381"/>
        </w:trPr>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12.00%/0.00%</w:t>
            </w:r>
          </w:p>
        </w:tc>
        <w:tc>
          <w:tcPr>
            <w:tcW w:w="620" w:type="dxa"/>
            <w:vAlign w:val="bottom"/>
          </w:tcPr>
          <w:p>
            <w:pPr>
              <w:jc w:val="right"/>
              <w:spacing w:after="0"/>
              <w:rPr>
                <w:sz w:val="20"/>
                <w:szCs w:val="20"/>
                <w:color w:val="auto"/>
              </w:rPr>
            </w:pPr>
            <w:r>
              <w:rPr>
                <w:rFonts w:ascii="Arial" w:cs="Arial" w:eastAsia="Arial" w:hAnsi="Arial"/>
                <w:sz w:val="13"/>
                <w:szCs w:val="13"/>
                <w:color w:val="auto"/>
              </w:rPr>
              <w:t>12/8/2017</w:t>
            </w:r>
          </w:p>
        </w:tc>
        <w:tc>
          <w:tcPr>
            <w:tcW w:w="8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6/8/2024</w:t>
            </w:r>
          </w:p>
        </w:tc>
        <w:tc>
          <w:tcPr>
            <w:tcW w:w="100" w:type="dxa"/>
            <w:vAlign w:val="bottom"/>
          </w:tcPr>
          <w:p>
            <w:pPr>
              <w:spacing w:after="0"/>
              <w:rPr>
                <w:sz w:val="24"/>
                <w:szCs w:val="2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w w:val="95"/>
              </w:rPr>
              <w:t>15,000</w:t>
            </w:r>
          </w:p>
        </w:tc>
        <w:tc>
          <w:tcPr>
            <w:tcW w:w="6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14,957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w w:val="90"/>
              </w:rPr>
              <w:t>15,000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12/8/2017</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765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773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85"/>
              </w:rPr>
              <w:t>15,722</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0"/>
              </w:rPr>
              <w:t>15,773</w:t>
            </w:r>
          </w:p>
        </w:tc>
        <w:tc>
          <w:tcPr>
            <w:tcW w:w="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w:t>
            </w:r>
          </w:p>
        </w:tc>
      </w:tr>
      <w:tr>
        <w:trPr>
          <w:trHeight w:val="245"/>
        </w:trPr>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11.50%/1.50%</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12/28/2016</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11/12/2021</w:t>
            </w:r>
          </w:p>
        </w:tc>
        <w:tc>
          <w:tcPr>
            <w:tcW w:w="100" w:type="dxa"/>
            <w:vAlign w:val="bottom"/>
          </w:tcPr>
          <w:p>
            <w:pPr>
              <w:spacing w:after="0"/>
              <w:rPr>
                <w:sz w:val="21"/>
                <w:szCs w:val="21"/>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w w:val="95"/>
              </w:rPr>
              <w:t>10,089</w:t>
            </w:r>
          </w:p>
        </w:tc>
        <w:tc>
          <w:tcPr>
            <w:tcW w:w="60" w:type="dxa"/>
            <w:vAlign w:val="bottom"/>
          </w:tcPr>
          <w:p>
            <w:pPr>
              <w:spacing w:after="0"/>
              <w:rPr>
                <w:sz w:val="21"/>
                <w:szCs w:val="21"/>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10,064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w w:val="90"/>
              </w:rPr>
              <w:t>10,089</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12/28/2016</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500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769</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85"/>
              </w:rPr>
              <w:t>10,564</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0"/>
              </w:rPr>
              <w:t>10,858</w:t>
            </w:r>
          </w:p>
        </w:tc>
        <w:tc>
          <w:tcPr>
            <w:tcW w:w="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245"/>
        </w:trPr>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10.50%/1.75%</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11/30/2017</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8/1/2024</w:t>
            </w:r>
          </w:p>
        </w:tc>
        <w:tc>
          <w:tcPr>
            <w:tcW w:w="100" w:type="dxa"/>
            <w:vAlign w:val="bottom"/>
          </w:tcPr>
          <w:p>
            <w:pPr>
              <w:spacing w:after="0"/>
              <w:rPr>
                <w:sz w:val="21"/>
                <w:szCs w:val="21"/>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w w:val="95"/>
              </w:rPr>
              <w:t>17,452</w:t>
            </w:r>
          </w:p>
        </w:tc>
        <w:tc>
          <w:tcPr>
            <w:tcW w:w="60" w:type="dxa"/>
            <w:vAlign w:val="bottom"/>
          </w:tcPr>
          <w:p>
            <w:pPr>
              <w:spacing w:after="0"/>
              <w:rPr>
                <w:sz w:val="21"/>
                <w:szCs w:val="21"/>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17,378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w w:val="90"/>
              </w:rPr>
              <w:t>17,452</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11/30/2017</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1,148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853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85"/>
              </w:rPr>
              <w:t>18,526</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0"/>
              </w:rPr>
              <w:t>18,305</w:t>
            </w:r>
          </w:p>
        </w:tc>
        <w:tc>
          <w:tcPr>
            <w:tcW w:w="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w:t>
            </w:r>
          </w:p>
        </w:tc>
      </w:tr>
      <w:tr>
        <w:trPr>
          <w:trHeight w:val="245"/>
        </w:trPr>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6/23/2017</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180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64</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6/23/2017</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190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245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370</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309</w:t>
            </w:r>
          </w:p>
        </w:tc>
        <w:tc>
          <w:tcPr>
            <w:tcW w:w="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269"/>
        </w:trPr>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5/24/2017</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500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219</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381"/>
        </w:trPr>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12.00%/0.00%</w:t>
            </w:r>
          </w:p>
        </w:tc>
        <w:tc>
          <w:tcPr>
            <w:tcW w:w="620" w:type="dxa"/>
            <w:vAlign w:val="bottom"/>
          </w:tcPr>
          <w:p>
            <w:pPr>
              <w:jc w:val="right"/>
              <w:spacing w:after="0"/>
              <w:rPr>
                <w:sz w:val="20"/>
                <w:szCs w:val="20"/>
                <w:color w:val="auto"/>
              </w:rPr>
            </w:pPr>
            <w:r>
              <w:rPr>
                <w:rFonts w:ascii="Arial" w:cs="Arial" w:eastAsia="Arial" w:hAnsi="Arial"/>
                <w:sz w:val="13"/>
                <w:szCs w:val="13"/>
                <w:color w:val="auto"/>
              </w:rPr>
              <w:t>1/15/2016</w:t>
            </w:r>
          </w:p>
        </w:tc>
        <w:tc>
          <w:tcPr>
            <w:tcW w:w="8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6/30/2022</w:t>
            </w:r>
          </w:p>
        </w:tc>
        <w:tc>
          <w:tcPr>
            <w:tcW w:w="100" w:type="dxa"/>
            <w:vAlign w:val="bottom"/>
          </w:tcPr>
          <w:p>
            <w:pPr>
              <w:spacing w:after="0"/>
              <w:rPr>
                <w:sz w:val="24"/>
                <w:szCs w:val="2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w w:val="95"/>
              </w:rPr>
              <w:t>10,000</w:t>
            </w:r>
          </w:p>
        </w:tc>
        <w:tc>
          <w:tcPr>
            <w:tcW w:w="6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9,982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w w:val="90"/>
              </w:rPr>
              <w:t>10,000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1/15/2016</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487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906</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85"/>
              </w:rPr>
              <w:t>10,469</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0"/>
              </w:rPr>
              <w:t>10,906</w:t>
            </w:r>
          </w:p>
        </w:tc>
        <w:tc>
          <w:tcPr>
            <w:tcW w:w="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245"/>
        </w:trPr>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11.75%/0.00%</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11/15/2018</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5/15/2024</w:t>
            </w:r>
          </w:p>
        </w:tc>
        <w:tc>
          <w:tcPr>
            <w:tcW w:w="100" w:type="dxa"/>
            <w:vAlign w:val="bottom"/>
          </w:tcPr>
          <w:p>
            <w:pPr>
              <w:spacing w:after="0"/>
              <w:rPr>
                <w:sz w:val="21"/>
                <w:szCs w:val="21"/>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6,500</w:t>
            </w:r>
          </w:p>
        </w:tc>
        <w:tc>
          <w:tcPr>
            <w:tcW w:w="60" w:type="dxa"/>
            <w:vAlign w:val="bottom"/>
          </w:tcPr>
          <w:p>
            <w:pPr>
              <w:spacing w:after="0"/>
              <w:rPr>
                <w:sz w:val="21"/>
                <w:szCs w:val="21"/>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6,479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6,500</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11/15/2018</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500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585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6,979</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7,085</w:t>
            </w:r>
          </w:p>
        </w:tc>
        <w:tc>
          <w:tcPr>
            <w:tcW w:w="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245"/>
        </w:trPr>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11.50%/2.50%</w:t>
            </w:r>
          </w:p>
        </w:tc>
        <w:tc>
          <w:tcPr>
            <w:tcW w:w="620" w:type="dxa"/>
            <w:vAlign w:val="bottom"/>
          </w:tcPr>
          <w:p>
            <w:pPr>
              <w:jc w:val="right"/>
              <w:spacing w:after="0"/>
              <w:rPr>
                <w:sz w:val="20"/>
                <w:szCs w:val="20"/>
                <w:color w:val="auto"/>
              </w:rPr>
            </w:pPr>
            <w:r>
              <w:rPr>
                <w:rFonts w:ascii="Arial" w:cs="Arial" w:eastAsia="Arial" w:hAnsi="Arial"/>
                <w:sz w:val="13"/>
                <w:szCs w:val="13"/>
                <w:color w:val="auto"/>
              </w:rPr>
              <w:t>11/3/2016</w:t>
            </w:r>
          </w:p>
        </w:tc>
        <w:tc>
          <w:tcPr>
            <w:tcW w:w="8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10/31/2021</w:t>
            </w:r>
          </w:p>
        </w:tc>
        <w:tc>
          <w:tcPr>
            <w:tcW w:w="100" w:type="dxa"/>
            <w:vAlign w:val="bottom"/>
          </w:tcPr>
          <w:p>
            <w:pPr>
              <w:spacing w:after="0"/>
              <w:rPr>
                <w:sz w:val="21"/>
                <w:szCs w:val="21"/>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4,828</w:t>
            </w:r>
          </w:p>
        </w:tc>
        <w:tc>
          <w:tcPr>
            <w:tcW w:w="60" w:type="dxa"/>
            <w:vAlign w:val="bottom"/>
          </w:tcPr>
          <w:p>
            <w:pPr>
              <w:spacing w:after="0"/>
              <w:rPr>
                <w:sz w:val="21"/>
                <w:szCs w:val="21"/>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4,820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4,512</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11/3/2016</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494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44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5,314</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4,556</w:t>
            </w:r>
          </w:p>
        </w:tc>
        <w:tc>
          <w:tcPr>
            <w:tcW w:w="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245"/>
        </w:trPr>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11.00%/1.00%</w:t>
            </w:r>
          </w:p>
        </w:tc>
        <w:tc>
          <w:tcPr>
            <w:tcW w:w="620" w:type="dxa"/>
            <w:vAlign w:val="bottom"/>
          </w:tcPr>
          <w:p>
            <w:pPr>
              <w:jc w:val="right"/>
              <w:spacing w:after="0"/>
              <w:rPr>
                <w:sz w:val="20"/>
                <w:szCs w:val="20"/>
                <w:color w:val="auto"/>
              </w:rPr>
            </w:pPr>
            <w:r>
              <w:rPr>
                <w:rFonts w:ascii="Arial" w:cs="Arial" w:eastAsia="Arial" w:hAnsi="Arial"/>
                <w:sz w:val="13"/>
                <w:szCs w:val="13"/>
                <w:color w:val="auto"/>
              </w:rPr>
              <w:t>4/12/2018</w:t>
            </w:r>
          </w:p>
        </w:tc>
        <w:tc>
          <w:tcPr>
            <w:tcW w:w="8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12/2/2025</w:t>
            </w:r>
          </w:p>
        </w:tc>
        <w:tc>
          <w:tcPr>
            <w:tcW w:w="100" w:type="dxa"/>
            <w:vAlign w:val="bottom"/>
          </w:tcPr>
          <w:p>
            <w:pPr>
              <w:spacing w:after="0"/>
              <w:rPr>
                <w:sz w:val="21"/>
                <w:szCs w:val="21"/>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w w:val="95"/>
              </w:rPr>
              <w:t>22,375</w:t>
            </w:r>
          </w:p>
        </w:tc>
        <w:tc>
          <w:tcPr>
            <w:tcW w:w="60" w:type="dxa"/>
            <w:vAlign w:val="bottom"/>
          </w:tcPr>
          <w:p>
            <w:pPr>
              <w:spacing w:after="0"/>
              <w:rPr>
                <w:sz w:val="21"/>
                <w:szCs w:val="21"/>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22,296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w w:val="90"/>
              </w:rPr>
              <w:t>22,375</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5"/>
        </w:trPr>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4/12/2018</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392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496</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12/2/2019</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61</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4/12/2018</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462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706</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85"/>
              </w:rPr>
              <w:t>23,198</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0"/>
              </w:rPr>
              <w:t>23,638</w:t>
            </w:r>
          </w:p>
        </w:tc>
        <w:tc>
          <w:tcPr>
            <w:tcW w:w="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6%</w:t>
            </w:r>
          </w:p>
        </w:tc>
      </w:tr>
      <w:tr>
        <w:trPr>
          <w:trHeight w:val="245"/>
        </w:trPr>
        <w:tc>
          <w:tcPr>
            <w:tcW w:w="1160" w:type="dxa"/>
            <w:vAlign w:val="bottom"/>
            <w:gridSpan w:val="2"/>
          </w:tcPr>
          <w:p>
            <w:pPr>
              <w:jc w:val="center"/>
              <w:ind w:right="40"/>
              <w:spacing w:after="0"/>
              <w:rPr>
                <w:sz w:val="20"/>
                <w:szCs w:val="20"/>
                <w:color w:val="auto"/>
              </w:rPr>
            </w:pPr>
            <w:r>
              <w:rPr>
                <w:rFonts w:ascii="Arial" w:cs="Arial" w:eastAsia="Arial" w:hAnsi="Arial"/>
                <w:sz w:val="13"/>
                <w:szCs w:val="13"/>
                <w:color w:val="auto"/>
                <w:w w:val="90"/>
              </w:rPr>
              <w:t>(L + 6.25%) / (2.00%)</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8.25%/0.00%</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11/25/2019</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11/25/2024</w:t>
            </w:r>
          </w:p>
        </w:tc>
        <w:tc>
          <w:tcPr>
            <w:tcW w:w="100" w:type="dxa"/>
            <w:vAlign w:val="bottom"/>
          </w:tcPr>
          <w:p>
            <w:pPr>
              <w:spacing w:after="0"/>
              <w:rPr>
                <w:sz w:val="21"/>
                <w:szCs w:val="21"/>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7,000</w:t>
            </w:r>
          </w:p>
        </w:tc>
        <w:tc>
          <w:tcPr>
            <w:tcW w:w="60" w:type="dxa"/>
            <w:vAlign w:val="bottom"/>
          </w:tcPr>
          <w:p>
            <w:pPr>
              <w:spacing w:after="0"/>
              <w:rPr>
                <w:sz w:val="21"/>
                <w:szCs w:val="21"/>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6,840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7,000</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11/25/2019</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500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559</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7,340</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7,559</w:t>
            </w:r>
          </w:p>
        </w:tc>
        <w:tc>
          <w:tcPr>
            <w:tcW w:w="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-6736080</wp:posOffset>
            </wp:positionV>
            <wp:extent cx="7118985" cy="939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8985" cy="93980"/>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-6556375</wp:posOffset>
            </wp:positionV>
            <wp:extent cx="7118985" cy="857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-6368415</wp:posOffset>
            </wp:positionV>
            <wp:extent cx="7118985" cy="857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-6197600</wp:posOffset>
            </wp:positionV>
            <wp:extent cx="7118985" cy="857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-6026150</wp:posOffset>
            </wp:positionV>
            <wp:extent cx="7118985" cy="857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-5855335</wp:posOffset>
            </wp:positionV>
            <wp:extent cx="7118985" cy="857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-5667375</wp:posOffset>
            </wp:positionV>
            <wp:extent cx="7118985" cy="857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-5495925</wp:posOffset>
            </wp:positionV>
            <wp:extent cx="7118985" cy="857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-5325110</wp:posOffset>
            </wp:positionV>
            <wp:extent cx="7118985" cy="857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-5137150</wp:posOffset>
            </wp:positionV>
            <wp:extent cx="7118985" cy="857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-4965700</wp:posOffset>
            </wp:positionV>
            <wp:extent cx="7118985" cy="857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-4794885</wp:posOffset>
            </wp:positionV>
            <wp:extent cx="7118985" cy="857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-4624070</wp:posOffset>
            </wp:positionV>
            <wp:extent cx="7118985" cy="857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-4435475</wp:posOffset>
            </wp:positionV>
            <wp:extent cx="7118985" cy="857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-4264660</wp:posOffset>
            </wp:positionV>
            <wp:extent cx="7118985" cy="85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-4093845</wp:posOffset>
            </wp:positionV>
            <wp:extent cx="7118985" cy="85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-3922395</wp:posOffset>
            </wp:positionV>
            <wp:extent cx="7118985" cy="85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-3751580</wp:posOffset>
            </wp:positionV>
            <wp:extent cx="7118985" cy="85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-3580765</wp:posOffset>
            </wp:positionV>
            <wp:extent cx="7118985" cy="85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-3392170</wp:posOffset>
            </wp:positionV>
            <wp:extent cx="7118985" cy="857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-3221355</wp:posOffset>
            </wp:positionV>
            <wp:extent cx="7118985" cy="857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-3033395</wp:posOffset>
            </wp:positionV>
            <wp:extent cx="7118985" cy="857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-2861945</wp:posOffset>
            </wp:positionV>
            <wp:extent cx="7118985" cy="85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-2673985</wp:posOffset>
            </wp:positionV>
            <wp:extent cx="7118985" cy="85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-2503170</wp:posOffset>
            </wp:positionV>
            <wp:extent cx="7118985" cy="85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-2314575</wp:posOffset>
            </wp:positionV>
            <wp:extent cx="7118985" cy="85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-2143760</wp:posOffset>
            </wp:positionV>
            <wp:extent cx="7118985" cy="85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-1972945</wp:posOffset>
            </wp:positionV>
            <wp:extent cx="7118985" cy="857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-1801495</wp:posOffset>
            </wp:positionV>
            <wp:extent cx="7118985" cy="85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-1613535</wp:posOffset>
            </wp:positionV>
            <wp:extent cx="7118985" cy="857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-1442085</wp:posOffset>
            </wp:positionV>
            <wp:extent cx="7118985" cy="85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-1254125</wp:posOffset>
            </wp:positionV>
            <wp:extent cx="7118985" cy="857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-1083310</wp:posOffset>
            </wp:positionV>
            <wp:extent cx="7118985" cy="857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-895350</wp:posOffset>
            </wp:positionV>
            <wp:extent cx="7118985" cy="857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-723900</wp:posOffset>
            </wp:positionV>
            <wp:extent cx="7118985" cy="857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-553085</wp:posOffset>
            </wp:positionV>
            <wp:extent cx="7118985" cy="857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-364490</wp:posOffset>
            </wp:positionV>
            <wp:extent cx="7118985" cy="857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8985" cy="8572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-193675</wp:posOffset>
            </wp:positionV>
            <wp:extent cx="7118985" cy="85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8985" cy="85725"/>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5480" w:space="100"/>
            <w:col w:w="5740"/>
          </w:cols>
          <w:pgMar w:left="320" w:top="458" w:right="259" w:bottom="1440" w:gutter="0" w:footer="0" w:header="0"/>
          <w:type w:val="continuous"/>
        </w:sectPr>
      </w:pPr>
    </w:p>
    <w:p>
      <w:pPr>
        <w:jc w:val="center"/>
        <w:ind w:right="8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320"/>
          </w:cols>
          <w:pgMar w:left="320" w:top="458"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Consolidated Schedule of Investments (unaudited)</w:t>
      </w:r>
    </w:p>
    <w:p>
      <w:pPr>
        <w:spacing w:after="0" w:line="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120"/>
          </w:cols>
          <w:pgMar w:left="320" w:top="458" w:right="459" w:bottom="72" w:gutter="0" w:footer="0" w:header="0"/>
        </w:sectPr>
      </w:pP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140" w:type="dxa"/>
            <w:vAlign w:val="bottom"/>
            <w:gridSpan w:val="2"/>
          </w:tcPr>
          <w:p>
            <w:pPr>
              <w:spacing w:after="0"/>
              <w:rPr>
                <w:sz w:val="20"/>
                <w:szCs w:val="20"/>
                <w:color w:val="auto"/>
              </w:rPr>
            </w:pPr>
            <w:r>
              <w:rPr>
                <w:rFonts w:ascii="Arial" w:cs="Arial" w:eastAsia="Arial" w:hAnsi="Arial"/>
                <w:sz w:val="13"/>
                <w:szCs w:val="13"/>
                <w:b w:val="1"/>
                <w:bCs w:val="1"/>
                <w:color w:val="auto"/>
              </w:rPr>
              <w:t>Portfolio Company (a)(b)</w:t>
            </w:r>
          </w:p>
        </w:tc>
        <w:tc>
          <w:tcPr>
            <w:tcW w:w="1700" w:type="dxa"/>
            <w:vAlign w:val="bottom"/>
          </w:tcPr>
          <w:p>
            <w:pPr>
              <w:spacing w:after="0"/>
              <w:rPr>
                <w:sz w:val="13"/>
                <w:szCs w:val="13"/>
                <w:color w:val="auto"/>
              </w:rPr>
            </w:pPr>
          </w:p>
        </w:tc>
      </w:tr>
      <w:tr>
        <w:trPr>
          <w:trHeight w:val="173"/>
        </w:trPr>
        <w:tc>
          <w:tcPr>
            <w:tcW w:w="3140" w:type="dxa"/>
            <w:vAlign w:val="bottom"/>
            <w:gridSpan w:val="2"/>
          </w:tcPr>
          <w:p>
            <w:pPr>
              <w:spacing w:after="0"/>
              <w:rPr>
                <w:sz w:val="20"/>
                <w:szCs w:val="20"/>
                <w:color w:val="auto"/>
              </w:rPr>
            </w:pPr>
            <w:r>
              <w:rPr>
                <w:rFonts w:ascii="Arial" w:cs="Arial" w:eastAsia="Arial" w:hAnsi="Arial"/>
                <w:sz w:val="13"/>
                <w:szCs w:val="13"/>
                <w:b w:val="1"/>
                <w:bCs w:val="1"/>
                <w:color w:val="auto"/>
              </w:rPr>
              <w:t>Investment Type (c)</w:t>
            </w:r>
          </w:p>
        </w:tc>
        <w:tc>
          <w:tcPr>
            <w:tcW w:w="1700" w:type="dxa"/>
            <w:vAlign w:val="bottom"/>
          </w:tcPr>
          <w:p>
            <w:pPr>
              <w:ind w:left="600"/>
              <w:spacing w:after="0"/>
              <w:rPr>
                <w:sz w:val="20"/>
                <w:szCs w:val="20"/>
                <w:color w:val="auto"/>
              </w:rPr>
            </w:pPr>
            <w:r>
              <w:rPr>
                <w:rFonts w:ascii="Arial" w:cs="Arial" w:eastAsia="Arial" w:hAnsi="Arial"/>
                <w:sz w:val="13"/>
                <w:szCs w:val="13"/>
                <w:b w:val="1"/>
                <w:bCs w:val="1"/>
                <w:color w:val="auto"/>
              </w:rPr>
              <w:t>Industry</w:t>
            </w:r>
          </w:p>
        </w:tc>
      </w:tr>
      <w:tr>
        <w:trPr>
          <w:trHeight w:val="107"/>
        </w:trPr>
        <w:tc>
          <w:tcPr>
            <w:tcW w:w="1320" w:type="dxa"/>
            <w:vAlign w:val="bottom"/>
            <w:tcBorders>
              <w:top w:val="single" w:sz="8" w:color="auto"/>
            </w:tcBorders>
          </w:tcPr>
          <w:p>
            <w:pPr>
              <w:spacing w:after="0" w:line="107" w:lineRule="exact"/>
              <w:rPr>
                <w:sz w:val="20"/>
                <w:szCs w:val="20"/>
                <w:color w:val="auto"/>
              </w:rPr>
            </w:pPr>
            <w:r>
              <w:rPr>
                <w:rFonts w:ascii="Arial" w:cs="Arial" w:eastAsia="Arial" w:hAnsi="Arial"/>
                <w:sz w:val="12"/>
                <w:szCs w:val="12"/>
                <w:i w:val="1"/>
                <w:iCs w:val="1"/>
                <w:color w:val="auto"/>
              </w:rPr>
              <w:t>Pugh Lubricants, LLC</w:t>
            </w:r>
          </w:p>
        </w:tc>
        <w:tc>
          <w:tcPr>
            <w:tcW w:w="1820" w:type="dxa"/>
            <w:vAlign w:val="bottom"/>
          </w:tcPr>
          <w:p>
            <w:pPr>
              <w:spacing w:after="0"/>
              <w:rPr>
                <w:sz w:val="9"/>
                <w:szCs w:val="9"/>
                <w:color w:val="auto"/>
              </w:rPr>
            </w:pPr>
          </w:p>
        </w:tc>
        <w:tc>
          <w:tcPr>
            <w:tcW w:w="1700" w:type="dxa"/>
            <w:vAlign w:val="bottom"/>
            <w:tcBorders>
              <w:top w:val="single" w:sz="8" w:color="auto"/>
            </w:tcBorders>
          </w:tcPr>
          <w:p>
            <w:pPr>
              <w:spacing w:after="0" w:line="107" w:lineRule="exact"/>
              <w:rPr>
                <w:sz w:val="20"/>
                <w:szCs w:val="20"/>
                <w:color w:val="auto"/>
              </w:rPr>
            </w:pPr>
            <w:r>
              <w:rPr>
                <w:rFonts w:ascii="Arial" w:cs="Arial" w:eastAsia="Arial" w:hAnsi="Arial"/>
                <w:sz w:val="12"/>
                <w:szCs w:val="12"/>
                <w:color w:val="auto"/>
              </w:rPr>
              <w:t>Specialty Distribution</w:t>
            </w: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1700" w:type="dxa"/>
            <w:vAlign w:val="bottom"/>
          </w:tcPr>
          <w:p>
            <w:pPr>
              <w:spacing w:after="0"/>
              <w:rPr>
                <w:sz w:val="11"/>
                <w:szCs w:val="11"/>
                <w:color w:val="auto"/>
              </w:rPr>
            </w:pPr>
          </w:p>
        </w:tc>
      </w:tr>
      <w:tr>
        <w:trPr>
          <w:trHeight w:val="158"/>
        </w:trPr>
        <w:tc>
          <w:tcPr>
            <w:tcW w:w="3140" w:type="dxa"/>
            <w:vAlign w:val="bottom"/>
            <w:gridSpan w:val="2"/>
          </w:tcPr>
          <w:p>
            <w:pPr>
              <w:ind w:left="260"/>
              <w:spacing w:after="0"/>
              <w:rPr>
                <w:sz w:val="20"/>
                <w:szCs w:val="20"/>
                <w:color w:val="auto"/>
              </w:rPr>
            </w:pPr>
            <w:r>
              <w:rPr>
                <w:rFonts w:ascii="Arial" w:cs="Arial" w:eastAsia="Arial" w:hAnsi="Arial"/>
                <w:sz w:val="13"/>
                <w:szCs w:val="13"/>
                <w:color w:val="auto"/>
              </w:rPr>
              <w:t>Common Equity (3,062 units) (h)(j)</w:t>
            </w:r>
          </w:p>
        </w:tc>
        <w:tc>
          <w:tcPr>
            <w:tcW w:w="1700" w:type="dxa"/>
            <w:vAlign w:val="bottom"/>
          </w:tcPr>
          <w:p>
            <w:pPr>
              <w:spacing w:after="0"/>
              <w:rPr>
                <w:sz w:val="13"/>
                <w:szCs w:val="13"/>
                <w:color w:val="auto"/>
              </w:rPr>
            </w:pPr>
          </w:p>
        </w:tc>
      </w:tr>
      <w:tr>
        <w:trPr>
          <w:trHeight w:val="273"/>
        </w:trPr>
        <w:tc>
          <w:tcPr>
            <w:tcW w:w="3140" w:type="dxa"/>
            <w:vAlign w:val="bottom"/>
            <w:gridSpan w:val="2"/>
          </w:tcPr>
          <w:p>
            <w:pPr>
              <w:spacing w:after="0"/>
              <w:rPr>
                <w:sz w:val="20"/>
                <w:szCs w:val="20"/>
                <w:color w:val="auto"/>
              </w:rPr>
            </w:pPr>
            <w:r>
              <w:rPr>
                <w:rFonts w:ascii="Arial" w:cs="Arial" w:eastAsia="Arial" w:hAnsi="Arial"/>
                <w:sz w:val="13"/>
                <w:szCs w:val="13"/>
                <w:i w:val="1"/>
                <w:iCs w:val="1"/>
                <w:color w:val="auto"/>
              </w:rPr>
              <w:t>Revenue Management Solutions, LLC</w:t>
            </w:r>
          </w:p>
        </w:tc>
        <w:tc>
          <w:tcPr>
            <w:tcW w:w="1700" w:type="dxa"/>
            <w:vAlign w:val="bottom"/>
          </w:tcPr>
          <w:p>
            <w:pPr>
              <w:spacing w:after="0"/>
              <w:rPr>
                <w:sz w:val="20"/>
                <w:szCs w:val="20"/>
                <w:color w:val="auto"/>
              </w:rPr>
            </w:pPr>
            <w:r>
              <w:rPr>
                <w:rFonts w:ascii="Arial" w:cs="Arial" w:eastAsia="Arial" w:hAnsi="Arial"/>
                <w:sz w:val="13"/>
                <w:szCs w:val="13"/>
                <w:color w:val="auto"/>
                <w:w w:val="88"/>
              </w:rPr>
              <w:t>Information Technology Services</w:t>
            </w:r>
          </w:p>
        </w:tc>
      </w:tr>
      <w:tr>
        <w:trPr>
          <w:trHeight w:val="158"/>
        </w:trPr>
        <w:tc>
          <w:tcPr>
            <w:tcW w:w="3140" w:type="dxa"/>
            <w:vAlign w:val="bottom"/>
            <w:gridSpan w:val="2"/>
          </w:tcPr>
          <w:p>
            <w:pPr>
              <w:ind w:left="260"/>
              <w:spacing w:after="0"/>
              <w:rPr>
                <w:sz w:val="20"/>
                <w:szCs w:val="20"/>
                <w:color w:val="auto"/>
              </w:rPr>
            </w:pPr>
            <w:r>
              <w:rPr>
                <w:rFonts w:ascii="Arial" w:cs="Arial" w:eastAsia="Arial" w:hAnsi="Arial"/>
                <w:sz w:val="13"/>
                <w:szCs w:val="13"/>
                <w:color w:val="auto"/>
              </w:rPr>
              <w:t>Common Equity (113 shares)</w:t>
            </w:r>
          </w:p>
        </w:tc>
        <w:tc>
          <w:tcPr>
            <w:tcW w:w="1700" w:type="dxa"/>
            <w:vAlign w:val="bottom"/>
          </w:tcPr>
          <w:p>
            <w:pPr>
              <w:spacing w:after="0"/>
              <w:rPr>
                <w:sz w:val="13"/>
                <w:szCs w:val="13"/>
                <w:color w:val="auto"/>
              </w:rPr>
            </w:pPr>
          </w:p>
        </w:tc>
      </w:tr>
      <w:tr>
        <w:trPr>
          <w:trHeight w:val="246"/>
        </w:trPr>
        <w:tc>
          <w:tcPr>
            <w:tcW w:w="3140" w:type="dxa"/>
            <w:vAlign w:val="bottom"/>
            <w:gridSpan w:val="2"/>
          </w:tcPr>
          <w:p>
            <w:pPr>
              <w:spacing w:after="0"/>
              <w:rPr>
                <w:sz w:val="20"/>
                <w:szCs w:val="20"/>
                <w:color w:val="auto"/>
              </w:rPr>
            </w:pPr>
            <w:r>
              <w:rPr>
                <w:rFonts w:ascii="Arial" w:cs="Arial" w:eastAsia="Arial" w:hAnsi="Arial"/>
                <w:sz w:val="13"/>
                <w:szCs w:val="13"/>
                <w:i w:val="1"/>
                <w:iCs w:val="1"/>
                <w:color w:val="auto"/>
              </w:rPr>
              <w:t>Rhino Assembly Company, LLC</w:t>
            </w:r>
          </w:p>
        </w:tc>
        <w:tc>
          <w:tcPr>
            <w:tcW w:w="1700" w:type="dxa"/>
            <w:vAlign w:val="bottom"/>
          </w:tcPr>
          <w:p>
            <w:pPr>
              <w:spacing w:after="0"/>
              <w:rPr>
                <w:sz w:val="20"/>
                <w:szCs w:val="20"/>
                <w:color w:val="auto"/>
              </w:rPr>
            </w:pPr>
            <w:r>
              <w:rPr>
                <w:rFonts w:ascii="Arial" w:cs="Arial" w:eastAsia="Arial" w:hAnsi="Arial"/>
                <w:sz w:val="13"/>
                <w:szCs w:val="13"/>
                <w:color w:val="auto"/>
              </w:rPr>
              <w:t>Specialty Distribution</w:t>
            </w: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1700" w:type="dxa"/>
            <w:vAlign w:val="bottom"/>
          </w:tcPr>
          <w:p>
            <w:pPr>
              <w:spacing w:after="0"/>
              <w:rPr>
                <w:sz w:val="11"/>
                <w:szCs w:val="11"/>
                <w:color w:val="auto"/>
              </w:rPr>
            </w:pP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w w:val="94"/>
              </w:rPr>
              <w:t>Delayed Draw Commitment ($875 commitment) (i)(j)</w:t>
            </w:r>
          </w:p>
        </w:tc>
        <w:tc>
          <w:tcPr>
            <w:tcW w:w="1700" w:type="dxa"/>
            <w:vAlign w:val="bottom"/>
          </w:tcPr>
          <w:p>
            <w:pPr>
              <w:spacing w:after="0"/>
              <w:rPr>
                <w:sz w:val="11"/>
                <w:szCs w:val="11"/>
                <w:color w:val="auto"/>
              </w:rPr>
            </w:pPr>
          </w:p>
        </w:tc>
      </w:tr>
      <w:tr>
        <w:trPr>
          <w:trHeight w:val="158"/>
        </w:trPr>
        <w:tc>
          <w:tcPr>
            <w:tcW w:w="3140" w:type="dxa"/>
            <w:vAlign w:val="bottom"/>
            <w:gridSpan w:val="2"/>
          </w:tcPr>
          <w:p>
            <w:pPr>
              <w:ind w:left="260"/>
              <w:spacing w:after="0"/>
              <w:rPr>
                <w:sz w:val="20"/>
                <w:szCs w:val="20"/>
                <w:color w:val="auto"/>
              </w:rPr>
            </w:pPr>
            <w:r>
              <w:rPr>
                <w:rFonts w:ascii="Arial" w:cs="Arial" w:eastAsia="Arial" w:hAnsi="Arial"/>
                <w:sz w:val="13"/>
                <w:szCs w:val="13"/>
                <w:color w:val="auto"/>
              </w:rPr>
              <w:t>Preferred Equity (8,864 units) (h)(j)</w:t>
            </w:r>
          </w:p>
        </w:tc>
        <w:tc>
          <w:tcPr>
            <w:tcW w:w="1700" w:type="dxa"/>
            <w:vAlign w:val="bottom"/>
          </w:tcPr>
          <w:p>
            <w:pPr>
              <w:spacing w:after="0"/>
              <w:rPr>
                <w:sz w:val="13"/>
                <w:szCs w:val="13"/>
                <w:color w:val="auto"/>
              </w:rPr>
            </w:pPr>
          </w:p>
        </w:tc>
      </w:tr>
      <w:tr>
        <w:trPr>
          <w:trHeight w:val="273"/>
        </w:trPr>
        <w:tc>
          <w:tcPr>
            <w:tcW w:w="3140" w:type="dxa"/>
            <w:vAlign w:val="bottom"/>
            <w:gridSpan w:val="2"/>
          </w:tcPr>
          <w:p>
            <w:pPr>
              <w:spacing w:after="0"/>
              <w:rPr>
                <w:sz w:val="20"/>
                <w:szCs w:val="20"/>
                <w:color w:val="auto"/>
              </w:rPr>
            </w:pPr>
            <w:r>
              <w:rPr>
                <w:rFonts w:ascii="Arial" w:cs="Arial" w:eastAsia="Arial" w:hAnsi="Arial"/>
                <w:sz w:val="13"/>
                <w:szCs w:val="13"/>
                <w:i w:val="1"/>
                <w:iCs w:val="1"/>
                <w:color w:val="auto"/>
              </w:rPr>
              <w:t>Road Safety Services, Inc.</w:t>
            </w:r>
          </w:p>
        </w:tc>
        <w:tc>
          <w:tcPr>
            <w:tcW w:w="1700" w:type="dxa"/>
            <w:vAlign w:val="bottom"/>
          </w:tcPr>
          <w:p>
            <w:pPr>
              <w:spacing w:after="0"/>
              <w:rPr>
                <w:sz w:val="20"/>
                <w:szCs w:val="20"/>
                <w:color w:val="auto"/>
              </w:rPr>
            </w:pPr>
            <w:r>
              <w:rPr>
                <w:rFonts w:ascii="Arial" w:cs="Arial" w:eastAsia="Arial" w:hAnsi="Arial"/>
                <w:sz w:val="13"/>
                <w:szCs w:val="13"/>
                <w:color w:val="auto"/>
              </w:rPr>
              <w:t>Business Services</w:t>
            </w: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1700" w:type="dxa"/>
            <w:vAlign w:val="bottom"/>
          </w:tcPr>
          <w:p>
            <w:pPr>
              <w:spacing w:after="0"/>
              <w:rPr>
                <w:sz w:val="11"/>
                <w:szCs w:val="11"/>
                <w:color w:val="auto"/>
              </w:rPr>
            </w:pPr>
          </w:p>
        </w:tc>
      </w:tr>
      <w:tr>
        <w:trPr>
          <w:trHeight w:val="158"/>
        </w:trPr>
        <w:tc>
          <w:tcPr>
            <w:tcW w:w="3140" w:type="dxa"/>
            <w:vAlign w:val="bottom"/>
            <w:gridSpan w:val="2"/>
          </w:tcPr>
          <w:p>
            <w:pPr>
              <w:ind w:left="260"/>
              <w:spacing w:after="0"/>
              <w:rPr>
                <w:sz w:val="20"/>
                <w:szCs w:val="20"/>
                <w:color w:val="auto"/>
              </w:rPr>
            </w:pPr>
            <w:r>
              <w:rPr>
                <w:rFonts w:ascii="Arial" w:cs="Arial" w:eastAsia="Arial" w:hAnsi="Arial"/>
                <w:sz w:val="13"/>
                <w:szCs w:val="13"/>
                <w:color w:val="auto"/>
              </w:rPr>
              <w:t>Common Equity (655 units)</w:t>
            </w:r>
          </w:p>
        </w:tc>
        <w:tc>
          <w:tcPr>
            <w:tcW w:w="1700" w:type="dxa"/>
            <w:vAlign w:val="bottom"/>
          </w:tcPr>
          <w:p>
            <w:pPr>
              <w:spacing w:after="0"/>
              <w:rPr>
                <w:sz w:val="13"/>
                <w:szCs w:val="13"/>
                <w:color w:val="auto"/>
              </w:rPr>
            </w:pPr>
          </w:p>
        </w:tc>
      </w:tr>
      <w:tr>
        <w:trPr>
          <w:trHeight w:val="273"/>
        </w:trPr>
        <w:tc>
          <w:tcPr>
            <w:tcW w:w="3140" w:type="dxa"/>
            <w:vAlign w:val="bottom"/>
            <w:gridSpan w:val="2"/>
          </w:tcPr>
          <w:p>
            <w:pPr>
              <w:spacing w:after="0"/>
              <w:rPr>
                <w:sz w:val="20"/>
                <w:szCs w:val="20"/>
                <w:color w:val="auto"/>
              </w:rPr>
            </w:pPr>
            <w:r>
              <w:rPr>
                <w:rFonts w:ascii="Arial" w:cs="Arial" w:eastAsia="Arial" w:hAnsi="Arial"/>
                <w:sz w:val="13"/>
                <w:szCs w:val="13"/>
                <w:i w:val="1"/>
                <w:iCs w:val="1"/>
                <w:color w:val="auto"/>
              </w:rPr>
              <w:t>Rohrer Corporation</w:t>
            </w:r>
          </w:p>
        </w:tc>
        <w:tc>
          <w:tcPr>
            <w:tcW w:w="1700" w:type="dxa"/>
            <w:vAlign w:val="bottom"/>
          </w:tcPr>
          <w:p>
            <w:pPr>
              <w:spacing w:after="0"/>
              <w:rPr>
                <w:sz w:val="20"/>
                <w:szCs w:val="20"/>
                <w:color w:val="auto"/>
              </w:rPr>
            </w:pPr>
            <w:r>
              <w:rPr>
                <w:rFonts w:ascii="Arial" w:cs="Arial" w:eastAsia="Arial" w:hAnsi="Arial"/>
                <w:sz w:val="13"/>
                <w:szCs w:val="13"/>
                <w:color w:val="auto"/>
              </w:rPr>
              <w:t>Packaging</w:t>
            </w: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Subordinated Debt (j)</w:t>
            </w:r>
          </w:p>
        </w:tc>
        <w:tc>
          <w:tcPr>
            <w:tcW w:w="1700" w:type="dxa"/>
            <w:vAlign w:val="bottom"/>
          </w:tcPr>
          <w:p>
            <w:pPr>
              <w:spacing w:after="0"/>
              <w:rPr>
                <w:sz w:val="11"/>
                <w:szCs w:val="11"/>
                <w:color w:val="auto"/>
              </w:rPr>
            </w:pPr>
          </w:p>
        </w:tc>
      </w:tr>
      <w:tr>
        <w:trPr>
          <w:trHeight w:val="158"/>
        </w:trPr>
        <w:tc>
          <w:tcPr>
            <w:tcW w:w="3140" w:type="dxa"/>
            <w:vAlign w:val="bottom"/>
            <w:gridSpan w:val="2"/>
          </w:tcPr>
          <w:p>
            <w:pPr>
              <w:ind w:left="260"/>
              <w:spacing w:after="0"/>
              <w:rPr>
                <w:sz w:val="20"/>
                <w:szCs w:val="20"/>
                <w:color w:val="auto"/>
              </w:rPr>
            </w:pPr>
            <w:r>
              <w:rPr>
                <w:rFonts w:ascii="Arial" w:cs="Arial" w:eastAsia="Arial" w:hAnsi="Arial"/>
                <w:sz w:val="13"/>
                <w:szCs w:val="13"/>
                <w:color w:val="auto"/>
              </w:rPr>
              <w:t>Common Equity (400 shares) (j)</w:t>
            </w:r>
          </w:p>
        </w:tc>
        <w:tc>
          <w:tcPr>
            <w:tcW w:w="1700" w:type="dxa"/>
            <w:vAlign w:val="bottom"/>
          </w:tcPr>
          <w:p>
            <w:pPr>
              <w:spacing w:after="0"/>
              <w:rPr>
                <w:sz w:val="13"/>
                <w:szCs w:val="13"/>
                <w:color w:val="auto"/>
              </w:rPr>
            </w:pPr>
          </w:p>
        </w:tc>
      </w:tr>
      <w:tr>
        <w:trPr>
          <w:trHeight w:val="273"/>
        </w:trPr>
        <w:tc>
          <w:tcPr>
            <w:tcW w:w="3140" w:type="dxa"/>
            <w:vAlign w:val="bottom"/>
            <w:gridSpan w:val="2"/>
          </w:tcPr>
          <w:p>
            <w:pPr>
              <w:spacing w:after="0"/>
              <w:rPr>
                <w:sz w:val="20"/>
                <w:szCs w:val="20"/>
                <w:color w:val="auto"/>
              </w:rPr>
            </w:pPr>
            <w:r>
              <w:rPr>
                <w:rFonts w:ascii="Arial" w:cs="Arial" w:eastAsia="Arial" w:hAnsi="Arial"/>
                <w:sz w:val="13"/>
                <w:szCs w:val="13"/>
                <w:i w:val="1"/>
                <w:iCs w:val="1"/>
                <w:color w:val="auto"/>
              </w:rPr>
              <w:t>Routeware, Inc.</w:t>
            </w:r>
          </w:p>
        </w:tc>
        <w:tc>
          <w:tcPr>
            <w:tcW w:w="1700" w:type="dxa"/>
            <w:vAlign w:val="bottom"/>
          </w:tcPr>
          <w:p>
            <w:pPr>
              <w:spacing w:after="0"/>
              <w:rPr>
                <w:sz w:val="20"/>
                <w:szCs w:val="20"/>
                <w:color w:val="auto"/>
              </w:rPr>
            </w:pPr>
            <w:r>
              <w:rPr>
                <w:rFonts w:ascii="Arial" w:cs="Arial" w:eastAsia="Arial" w:hAnsi="Arial"/>
                <w:sz w:val="13"/>
                <w:szCs w:val="13"/>
                <w:color w:val="auto"/>
                <w:w w:val="88"/>
              </w:rPr>
              <w:t>Information Technology Services</w:t>
            </w:r>
          </w:p>
        </w:tc>
      </w:tr>
      <w:tr>
        <w:trPr>
          <w:trHeight w:val="158"/>
        </w:trPr>
        <w:tc>
          <w:tcPr>
            <w:tcW w:w="3140" w:type="dxa"/>
            <w:vAlign w:val="bottom"/>
            <w:gridSpan w:val="2"/>
          </w:tcPr>
          <w:p>
            <w:pPr>
              <w:ind w:left="260"/>
              <w:spacing w:after="0"/>
              <w:rPr>
                <w:sz w:val="20"/>
                <w:szCs w:val="20"/>
                <w:color w:val="auto"/>
              </w:rPr>
            </w:pPr>
            <w:r>
              <w:rPr>
                <w:rFonts w:ascii="Arial" w:cs="Arial" w:eastAsia="Arial" w:hAnsi="Arial"/>
                <w:sz w:val="13"/>
                <w:szCs w:val="13"/>
                <w:color w:val="auto"/>
              </w:rPr>
              <w:t>First Lien Debt (k)(aa)</w:t>
            </w:r>
          </w:p>
        </w:tc>
        <w:tc>
          <w:tcPr>
            <w:tcW w:w="1700" w:type="dxa"/>
            <w:vAlign w:val="bottom"/>
          </w:tcPr>
          <w:p>
            <w:pPr>
              <w:spacing w:after="0"/>
              <w:rPr>
                <w:sz w:val="13"/>
                <w:szCs w:val="13"/>
                <w:color w:val="auto"/>
              </w:rPr>
            </w:pPr>
          </w:p>
        </w:tc>
      </w:tr>
      <w:tr>
        <w:trPr>
          <w:trHeight w:val="246"/>
        </w:trPr>
        <w:tc>
          <w:tcPr>
            <w:tcW w:w="3140" w:type="dxa"/>
            <w:vAlign w:val="bottom"/>
            <w:gridSpan w:val="2"/>
          </w:tcPr>
          <w:p>
            <w:pPr>
              <w:spacing w:after="0"/>
              <w:rPr>
                <w:sz w:val="20"/>
                <w:szCs w:val="20"/>
                <w:color w:val="auto"/>
              </w:rPr>
            </w:pPr>
            <w:r>
              <w:rPr>
                <w:rFonts w:ascii="Arial" w:cs="Arial" w:eastAsia="Arial" w:hAnsi="Arial"/>
                <w:sz w:val="13"/>
                <w:szCs w:val="13"/>
                <w:i w:val="1"/>
                <w:iCs w:val="1"/>
                <w:color w:val="auto"/>
              </w:rPr>
              <w:t>SES Investors, LLC (dba SES Foam)</w:t>
            </w:r>
          </w:p>
        </w:tc>
        <w:tc>
          <w:tcPr>
            <w:tcW w:w="1700" w:type="dxa"/>
            <w:vAlign w:val="bottom"/>
          </w:tcPr>
          <w:p>
            <w:pPr>
              <w:spacing w:after="0"/>
              <w:rPr>
                <w:sz w:val="20"/>
                <w:szCs w:val="20"/>
                <w:color w:val="auto"/>
              </w:rPr>
            </w:pPr>
            <w:r>
              <w:rPr>
                <w:rFonts w:ascii="Arial" w:cs="Arial" w:eastAsia="Arial" w:hAnsi="Arial"/>
                <w:sz w:val="13"/>
                <w:szCs w:val="13"/>
                <w:color w:val="auto"/>
                <w:w w:val="89"/>
              </w:rPr>
              <w:t>Building Products Manufacturing</w:t>
            </w: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1700" w:type="dxa"/>
            <w:vAlign w:val="bottom"/>
          </w:tcPr>
          <w:p>
            <w:pPr>
              <w:spacing w:after="0"/>
              <w:rPr>
                <w:sz w:val="11"/>
                <w:szCs w:val="11"/>
                <w:color w:val="auto"/>
              </w:rPr>
            </w:pPr>
          </w:p>
        </w:tc>
      </w:tr>
      <w:tr>
        <w:trPr>
          <w:trHeight w:val="158"/>
        </w:trPr>
        <w:tc>
          <w:tcPr>
            <w:tcW w:w="3140" w:type="dxa"/>
            <w:vAlign w:val="bottom"/>
            <w:gridSpan w:val="2"/>
          </w:tcPr>
          <w:p>
            <w:pPr>
              <w:ind w:left="260"/>
              <w:spacing w:after="0"/>
              <w:rPr>
                <w:sz w:val="20"/>
                <w:szCs w:val="20"/>
                <w:color w:val="auto"/>
              </w:rPr>
            </w:pPr>
            <w:r>
              <w:rPr>
                <w:rFonts w:ascii="Arial" w:cs="Arial" w:eastAsia="Arial" w:hAnsi="Arial"/>
                <w:sz w:val="13"/>
                <w:szCs w:val="13"/>
                <w:color w:val="auto"/>
              </w:rPr>
              <w:t>Common Equity (6,000 units) (h)(j)</w:t>
            </w:r>
          </w:p>
        </w:tc>
        <w:tc>
          <w:tcPr>
            <w:tcW w:w="1700" w:type="dxa"/>
            <w:vAlign w:val="bottom"/>
          </w:tcPr>
          <w:p>
            <w:pPr>
              <w:spacing w:after="0"/>
              <w:rPr>
                <w:sz w:val="13"/>
                <w:szCs w:val="13"/>
                <w:color w:val="auto"/>
              </w:rPr>
            </w:pPr>
          </w:p>
        </w:tc>
      </w:tr>
      <w:tr>
        <w:trPr>
          <w:trHeight w:val="273"/>
        </w:trPr>
        <w:tc>
          <w:tcPr>
            <w:tcW w:w="3140" w:type="dxa"/>
            <w:vAlign w:val="bottom"/>
            <w:gridSpan w:val="2"/>
          </w:tcPr>
          <w:p>
            <w:pPr>
              <w:spacing w:after="0"/>
              <w:rPr>
                <w:sz w:val="20"/>
                <w:szCs w:val="20"/>
                <w:color w:val="auto"/>
              </w:rPr>
            </w:pPr>
            <w:r>
              <w:rPr>
                <w:rFonts w:ascii="Arial" w:cs="Arial" w:eastAsia="Arial" w:hAnsi="Arial"/>
                <w:sz w:val="13"/>
                <w:szCs w:val="13"/>
                <w:i w:val="1"/>
                <w:iCs w:val="1"/>
                <w:color w:val="auto"/>
              </w:rPr>
              <w:t>Software Technology, LLC</w:t>
            </w:r>
          </w:p>
        </w:tc>
        <w:tc>
          <w:tcPr>
            <w:tcW w:w="1700" w:type="dxa"/>
            <w:vAlign w:val="bottom"/>
          </w:tcPr>
          <w:p>
            <w:pPr>
              <w:spacing w:after="0"/>
              <w:rPr>
                <w:sz w:val="20"/>
                <w:szCs w:val="20"/>
                <w:color w:val="auto"/>
              </w:rPr>
            </w:pPr>
            <w:r>
              <w:rPr>
                <w:rFonts w:ascii="Arial" w:cs="Arial" w:eastAsia="Arial" w:hAnsi="Arial"/>
                <w:sz w:val="13"/>
                <w:szCs w:val="13"/>
                <w:color w:val="auto"/>
                <w:w w:val="88"/>
              </w:rPr>
              <w:t>Information Technology Services</w:t>
            </w: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Subordinated Debt (k)</w:t>
            </w:r>
          </w:p>
        </w:tc>
        <w:tc>
          <w:tcPr>
            <w:tcW w:w="1700" w:type="dxa"/>
            <w:vAlign w:val="bottom"/>
          </w:tcPr>
          <w:p>
            <w:pPr>
              <w:spacing w:after="0"/>
              <w:rPr>
                <w:sz w:val="11"/>
                <w:szCs w:val="11"/>
                <w:color w:val="auto"/>
              </w:rPr>
            </w:pPr>
          </w:p>
        </w:tc>
      </w:tr>
      <w:tr>
        <w:trPr>
          <w:trHeight w:val="158"/>
        </w:trPr>
        <w:tc>
          <w:tcPr>
            <w:tcW w:w="3140" w:type="dxa"/>
            <w:vAlign w:val="bottom"/>
            <w:gridSpan w:val="2"/>
          </w:tcPr>
          <w:p>
            <w:pPr>
              <w:ind w:left="260"/>
              <w:spacing w:after="0"/>
              <w:rPr>
                <w:sz w:val="20"/>
                <w:szCs w:val="20"/>
                <w:color w:val="auto"/>
              </w:rPr>
            </w:pPr>
            <w:r>
              <w:rPr>
                <w:rFonts w:ascii="Arial" w:cs="Arial" w:eastAsia="Arial" w:hAnsi="Arial"/>
                <w:sz w:val="13"/>
                <w:szCs w:val="13"/>
                <w:color w:val="auto"/>
              </w:rPr>
              <w:t>Common Equity (6 shares)</w:t>
            </w:r>
          </w:p>
        </w:tc>
        <w:tc>
          <w:tcPr>
            <w:tcW w:w="1700" w:type="dxa"/>
            <w:vAlign w:val="bottom"/>
          </w:tcPr>
          <w:p>
            <w:pPr>
              <w:spacing w:after="0"/>
              <w:rPr>
                <w:sz w:val="13"/>
                <w:szCs w:val="13"/>
                <w:color w:val="auto"/>
              </w:rPr>
            </w:pPr>
          </w:p>
        </w:tc>
      </w:tr>
      <w:tr>
        <w:trPr>
          <w:trHeight w:val="273"/>
        </w:trPr>
        <w:tc>
          <w:tcPr>
            <w:tcW w:w="3140" w:type="dxa"/>
            <w:vAlign w:val="bottom"/>
            <w:gridSpan w:val="2"/>
          </w:tcPr>
          <w:p>
            <w:pPr>
              <w:spacing w:after="0"/>
              <w:rPr>
                <w:sz w:val="20"/>
                <w:szCs w:val="20"/>
                <w:color w:val="auto"/>
              </w:rPr>
            </w:pPr>
            <w:r>
              <w:rPr>
                <w:rFonts w:ascii="Arial" w:cs="Arial" w:eastAsia="Arial" w:hAnsi="Arial"/>
                <w:sz w:val="13"/>
                <w:szCs w:val="13"/>
                <w:i w:val="1"/>
                <w:iCs w:val="1"/>
                <w:color w:val="auto"/>
              </w:rPr>
              <w:t>Specialized Elevator Services Holdings, LLC</w:t>
            </w:r>
          </w:p>
        </w:tc>
        <w:tc>
          <w:tcPr>
            <w:tcW w:w="1700" w:type="dxa"/>
            <w:vAlign w:val="bottom"/>
          </w:tcPr>
          <w:p>
            <w:pPr>
              <w:spacing w:after="0"/>
              <w:rPr>
                <w:sz w:val="20"/>
                <w:szCs w:val="20"/>
                <w:color w:val="auto"/>
              </w:rPr>
            </w:pPr>
            <w:r>
              <w:rPr>
                <w:rFonts w:ascii="Arial" w:cs="Arial" w:eastAsia="Arial" w:hAnsi="Arial"/>
                <w:sz w:val="13"/>
                <w:szCs w:val="13"/>
                <w:color w:val="auto"/>
              </w:rPr>
              <w:t>Business Services</w:t>
            </w: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First Lien Debt (j)(y)</w:t>
            </w:r>
          </w:p>
        </w:tc>
        <w:tc>
          <w:tcPr>
            <w:tcW w:w="1700" w:type="dxa"/>
            <w:vAlign w:val="bottom"/>
          </w:tcPr>
          <w:p>
            <w:pPr>
              <w:spacing w:after="0"/>
              <w:rPr>
                <w:sz w:val="11"/>
                <w:szCs w:val="11"/>
                <w:color w:val="auto"/>
              </w:rPr>
            </w:pPr>
          </w:p>
        </w:tc>
      </w:tr>
      <w:tr>
        <w:trPr>
          <w:trHeight w:val="158"/>
        </w:trPr>
        <w:tc>
          <w:tcPr>
            <w:tcW w:w="3140" w:type="dxa"/>
            <w:vAlign w:val="bottom"/>
            <w:gridSpan w:val="2"/>
          </w:tcPr>
          <w:p>
            <w:pPr>
              <w:ind w:left="260"/>
              <w:spacing w:after="0"/>
              <w:rPr>
                <w:sz w:val="20"/>
                <w:szCs w:val="20"/>
                <w:color w:val="auto"/>
              </w:rPr>
            </w:pPr>
            <w:r>
              <w:rPr>
                <w:rFonts w:ascii="Arial" w:cs="Arial" w:eastAsia="Arial" w:hAnsi="Arial"/>
                <w:sz w:val="13"/>
                <w:szCs w:val="13"/>
                <w:color w:val="auto"/>
              </w:rPr>
              <w:t>Common Equity (500 units) (j)</w:t>
            </w:r>
          </w:p>
        </w:tc>
        <w:tc>
          <w:tcPr>
            <w:tcW w:w="1700" w:type="dxa"/>
            <w:vAlign w:val="bottom"/>
          </w:tcPr>
          <w:p>
            <w:pPr>
              <w:spacing w:after="0"/>
              <w:rPr>
                <w:sz w:val="13"/>
                <w:szCs w:val="13"/>
                <w:color w:val="auto"/>
              </w:rPr>
            </w:pPr>
          </w:p>
        </w:tc>
      </w:tr>
      <w:tr>
        <w:trPr>
          <w:trHeight w:val="273"/>
        </w:trPr>
        <w:tc>
          <w:tcPr>
            <w:tcW w:w="3140" w:type="dxa"/>
            <w:vAlign w:val="bottom"/>
            <w:gridSpan w:val="2"/>
          </w:tcPr>
          <w:p>
            <w:pPr>
              <w:spacing w:after="0"/>
              <w:rPr>
                <w:sz w:val="20"/>
                <w:szCs w:val="20"/>
                <w:color w:val="auto"/>
              </w:rPr>
            </w:pPr>
            <w:r>
              <w:rPr>
                <w:rFonts w:ascii="Arial" w:cs="Arial" w:eastAsia="Arial" w:hAnsi="Arial"/>
                <w:sz w:val="13"/>
                <w:szCs w:val="13"/>
                <w:i w:val="1"/>
                <w:iCs w:val="1"/>
                <w:color w:val="auto"/>
              </w:rPr>
              <w:t>SpendMend LLC</w:t>
            </w:r>
          </w:p>
        </w:tc>
        <w:tc>
          <w:tcPr>
            <w:tcW w:w="1700" w:type="dxa"/>
            <w:vAlign w:val="bottom"/>
          </w:tcPr>
          <w:p>
            <w:pPr>
              <w:spacing w:after="0"/>
              <w:rPr>
                <w:sz w:val="20"/>
                <w:szCs w:val="20"/>
                <w:color w:val="auto"/>
              </w:rPr>
            </w:pPr>
            <w:r>
              <w:rPr>
                <w:rFonts w:ascii="Arial" w:cs="Arial" w:eastAsia="Arial" w:hAnsi="Arial"/>
                <w:sz w:val="13"/>
                <w:szCs w:val="13"/>
                <w:color w:val="auto"/>
              </w:rPr>
              <w:t>Business Services</w:t>
            </w:r>
          </w:p>
        </w:tc>
      </w:tr>
      <w:tr>
        <w:trPr>
          <w:trHeight w:val="158"/>
        </w:trPr>
        <w:tc>
          <w:tcPr>
            <w:tcW w:w="3140" w:type="dxa"/>
            <w:vAlign w:val="bottom"/>
            <w:gridSpan w:val="2"/>
          </w:tcPr>
          <w:p>
            <w:pPr>
              <w:ind w:left="260"/>
              <w:spacing w:after="0"/>
              <w:rPr>
                <w:sz w:val="20"/>
                <w:szCs w:val="20"/>
                <w:color w:val="auto"/>
              </w:rPr>
            </w:pPr>
            <w:r>
              <w:rPr>
                <w:rFonts w:ascii="Arial" w:cs="Arial" w:eastAsia="Arial" w:hAnsi="Arial"/>
                <w:sz w:val="13"/>
                <w:szCs w:val="13"/>
                <w:color w:val="auto"/>
              </w:rPr>
              <w:t>Common Equity (1,000,000 units)</w:t>
            </w:r>
          </w:p>
        </w:tc>
        <w:tc>
          <w:tcPr>
            <w:tcW w:w="1700" w:type="dxa"/>
            <w:vAlign w:val="bottom"/>
          </w:tcPr>
          <w:p>
            <w:pPr>
              <w:spacing w:after="0"/>
              <w:rPr>
                <w:sz w:val="13"/>
                <w:szCs w:val="13"/>
                <w:color w:val="auto"/>
              </w:rPr>
            </w:pPr>
          </w:p>
        </w:tc>
      </w:tr>
      <w:tr>
        <w:trPr>
          <w:trHeight w:val="246"/>
        </w:trPr>
        <w:tc>
          <w:tcPr>
            <w:tcW w:w="3140" w:type="dxa"/>
            <w:vAlign w:val="bottom"/>
            <w:gridSpan w:val="2"/>
          </w:tcPr>
          <w:p>
            <w:pPr>
              <w:spacing w:after="0"/>
              <w:rPr>
                <w:sz w:val="20"/>
                <w:szCs w:val="20"/>
                <w:color w:val="auto"/>
              </w:rPr>
            </w:pPr>
            <w:r>
              <w:rPr>
                <w:rFonts w:ascii="Arial" w:cs="Arial" w:eastAsia="Arial" w:hAnsi="Arial"/>
                <w:sz w:val="13"/>
                <w:szCs w:val="13"/>
                <w:i w:val="1"/>
                <w:iCs w:val="1"/>
                <w:color w:val="auto"/>
              </w:rPr>
              <w:t>TransGo, LLC</w:t>
            </w:r>
          </w:p>
        </w:tc>
        <w:tc>
          <w:tcPr>
            <w:tcW w:w="1700" w:type="dxa"/>
            <w:vAlign w:val="bottom"/>
          </w:tcPr>
          <w:p>
            <w:pPr>
              <w:spacing w:after="0"/>
              <w:rPr>
                <w:sz w:val="20"/>
                <w:szCs w:val="20"/>
                <w:color w:val="auto"/>
              </w:rPr>
            </w:pPr>
            <w:r>
              <w:rPr>
                <w:rFonts w:ascii="Arial" w:cs="Arial" w:eastAsia="Arial" w:hAnsi="Arial"/>
                <w:sz w:val="13"/>
                <w:szCs w:val="13"/>
                <w:color w:val="auto"/>
              </w:rPr>
              <w:t>Component Manufacturing</w:t>
            </w:r>
          </w:p>
        </w:tc>
      </w:tr>
      <w:tr>
        <w:trPr>
          <w:trHeight w:val="158"/>
        </w:trPr>
        <w:tc>
          <w:tcPr>
            <w:tcW w:w="3140" w:type="dxa"/>
            <w:vAlign w:val="bottom"/>
            <w:gridSpan w:val="2"/>
          </w:tcPr>
          <w:p>
            <w:pPr>
              <w:ind w:left="260"/>
              <w:spacing w:after="0"/>
              <w:rPr>
                <w:sz w:val="20"/>
                <w:szCs w:val="20"/>
                <w:color w:val="auto"/>
              </w:rPr>
            </w:pPr>
            <w:r>
              <w:rPr>
                <w:rFonts w:ascii="Arial" w:cs="Arial" w:eastAsia="Arial" w:hAnsi="Arial"/>
                <w:sz w:val="13"/>
                <w:szCs w:val="13"/>
                <w:color w:val="auto"/>
              </w:rPr>
              <w:t>Common Equity (500 units) (j)</w:t>
            </w:r>
          </w:p>
        </w:tc>
        <w:tc>
          <w:tcPr>
            <w:tcW w:w="1700" w:type="dxa"/>
            <w:vAlign w:val="bottom"/>
          </w:tcPr>
          <w:p>
            <w:pPr>
              <w:spacing w:after="0"/>
              <w:rPr>
                <w:sz w:val="13"/>
                <w:szCs w:val="13"/>
                <w:color w:val="auto"/>
              </w:rPr>
            </w:pPr>
          </w:p>
        </w:tc>
      </w:tr>
      <w:tr>
        <w:trPr>
          <w:trHeight w:val="246"/>
        </w:trPr>
        <w:tc>
          <w:tcPr>
            <w:tcW w:w="3140" w:type="dxa"/>
            <w:vAlign w:val="bottom"/>
            <w:gridSpan w:val="2"/>
          </w:tcPr>
          <w:p>
            <w:pPr>
              <w:spacing w:after="0"/>
              <w:rPr>
                <w:sz w:val="20"/>
                <w:szCs w:val="20"/>
                <w:color w:val="auto"/>
              </w:rPr>
            </w:pPr>
            <w:r>
              <w:rPr>
                <w:rFonts w:ascii="Arial" w:cs="Arial" w:eastAsia="Arial" w:hAnsi="Arial"/>
                <w:sz w:val="13"/>
                <w:szCs w:val="13"/>
                <w:i w:val="1"/>
                <w:iCs w:val="1"/>
                <w:color w:val="auto"/>
              </w:rPr>
              <w:t>The Tranzonic Companies</w:t>
            </w:r>
          </w:p>
        </w:tc>
        <w:tc>
          <w:tcPr>
            <w:tcW w:w="1700" w:type="dxa"/>
            <w:vAlign w:val="bottom"/>
          </w:tcPr>
          <w:p>
            <w:pPr>
              <w:spacing w:after="0"/>
              <w:rPr>
                <w:sz w:val="20"/>
                <w:szCs w:val="20"/>
                <w:color w:val="auto"/>
              </w:rPr>
            </w:pPr>
            <w:r>
              <w:rPr>
                <w:rFonts w:ascii="Arial" w:cs="Arial" w:eastAsia="Arial" w:hAnsi="Arial"/>
                <w:sz w:val="13"/>
                <w:szCs w:val="13"/>
                <w:color w:val="auto"/>
              </w:rPr>
              <w:t>Specialty Distribution</w:t>
            </w: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Subordinated Debt (j)</w:t>
            </w:r>
          </w:p>
        </w:tc>
        <w:tc>
          <w:tcPr>
            <w:tcW w:w="1700" w:type="dxa"/>
            <w:vAlign w:val="bottom"/>
          </w:tcPr>
          <w:p>
            <w:pPr>
              <w:spacing w:after="0"/>
              <w:rPr>
                <w:sz w:val="11"/>
                <w:szCs w:val="11"/>
                <w:color w:val="auto"/>
              </w:rPr>
            </w:pP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Preferred Equity (5,653 units) (j)</w:t>
            </w:r>
          </w:p>
        </w:tc>
        <w:tc>
          <w:tcPr>
            <w:tcW w:w="1700" w:type="dxa"/>
            <w:vAlign w:val="bottom"/>
          </w:tcPr>
          <w:p>
            <w:pPr>
              <w:spacing w:after="0"/>
              <w:rPr>
                <w:sz w:val="11"/>
                <w:szCs w:val="11"/>
                <w:color w:val="auto"/>
              </w:rPr>
            </w:pPr>
          </w:p>
        </w:tc>
      </w:tr>
      <w:tr>
        <w:trPr>
          <w:trHeight w:val="158"/>
        </w:trPr>
        <w:tc>
          <w:tcPr>
            <w:tcW w:w="3140" w:type="dxa"/>
            <w:vAlign w:val="bottom"/>
            <w:gridSpan w:val="2"/>
          </w:tcPr>
          <w:p>
            <w:pPr>
              <w:ind w:left="260"/>
              <w:spacing w:after="0"/>
              <w:rPr>
                <w:sz w:val="20"/>
                <w:szCs w:val="20"/>
                <w:color w:val="auto"/>
              </w:rPr>
            </w:pPr>
            <w:r>
              <w:rPr>
                <w:rFonts w:ascii="Arial" w:cs="Arial" w:eastAsia="Arial" w:hAnsi="Arial"/>
                <w:sz w:val="13"/>
                <w:szCs w:val="13"/>
                <w:color w:val="auto"/>
              </w:rPr>
              <w:t>Common Equity (1 units) (j)</w:t>
            </w:r>
          </w:p>
        </w:tc>
        <w:tc>
          <w:tcPr>
            <w:tcW w:w="1700" w:type="dxa"/>
            <w:vAlign w:val="bottom"/>
          </w:tcPr>
          <w:p>
            <w:pPr>
              <w:spacing w:after="0"/>
              <w:rPr>
                <w:sz w:val="13"/>
                <w:szCs w:val="13"/>
                <w:color w:val="auto"/>
              </w:rPr>
            </w:pPr>
          </w:p>
        </w:tc>
      </w:tr>
      <w:tr>
        <w:trPr>
          <w:trHeight w:val="273"/>
        </w:trPr>
        <w:tc>
          <w:tcPr>
            <w:tcW w:w="3140" w:type="dxa"/>
            <w:vAlign w:val="bottom"/>
            <w:gridSpan w:val="2"/>
          </w:tcPr>
          <w:p>
            <w:pPr>
              <w:spacing w:after="0"/>
              <w:rPr>
                <w:sz w:val="20"/>
                <w:szCs w:val="20"/>
                <w:color w:val="auto"/>
              </w:rPr>
            </w:pPr>
            <w:r>
              <w:rPr>
                <w:rFonts w:ascii="Arial" w:cs="Arial" w:eastAsia="Arial" w:hAnsi="Arial"/>
                <w:sz w:val="13"/>
                <w:szCs w:val="13"/>
                <w:i w:val="1"/>
                <w:iCs w:val="1"/>
                <w:color w:val="auto"/>
              </w:rPr>
              <w:t>UBEO, LLC</w:t>
            </w:r>
          </w:p>
        </w:tc>
        <w:tc>
          <w:tcPr>
            <w:tcW w:w="1700" w:type="dxa"/>
            <w:vAlign w:val="bottom"/>
          </w:tcPr>
          <w:p>
            <w:pPr>
              <w:spacing w:after="0"/>
              <w:rPr>
                <w:sz w:val="20"/>
                <w:szCs w:val="20"/>
                <w:color w:val="auto"/>
              </w:rPr>
            </w:pPr>
            <w:r>
              <w:rPr>
                <w:rFonts w:ascii="Arial" w:cs="Arial" w:eastAsia="Arial" w:hAnsi="Arial"/>
                <w:sz w:val="13"/>
                <w:szCs w:val="13"/>
                <w:color w:val="auto"/>
              </w:rPr>
              <w:t>Business Services</w:t>
            </w: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Subordinated Debt (j)</w:t>
            </w:r>
          </w:p>
        </w:tc>
        <w:tc>
          <w:tcPr>
            <w:tcW w:w="1700" w:type="dxa"/>
            <w:vAlign w:val="bottom"/>
          </w:tcPr>
          <w:p>
            <w:pPr>
              <w:spacing w:after="0"/>
              <w:rPr>
                <w:sz w:val="11"/>
                <w:szCs w:val="11"/>
                <w:color w:val="auto"/>
              </w:rPr>
            </w:pPr>
          </w:p>
        </w:tc>
      </w:tr>
      <w:tr>
        <w:trPr>
          <w:trHeight w:val="158"/>
        </w:trPr>
        <w:tc>
          <w:tcPr>
            <w:tcW w:w="3140" w:type="dxa"/>
            <w:vAlign w:val="bottom"/>
            <w:gridSpan w:val="2"/>
          </w:tcPr>
          <w:p>
            <w:pPr>
              <w:ind w:left="260"/>
              <w:spacing w:after="0"/>
              <w:rPr>
                <w:sz w:val="20"/>
                <w:szCs w:val="20"/>
                <w:color w:val="auto"/>
              </w:rPr>
            </w:pPr>
            <w:r>
              <w:rPr>
                <w:rFonts w:ascii="Arial" w:cs="Arial" w:eastAsia="Arial" w:hAnsi="Arial"/>
                <w:sz w:val="13"/>
                <w:szCs w:val="13"/>
                <w:color w:val="auto"/>
              </w:rPr>
              <w:t>Common Equity (705,000 units) (h)(j)</w:t>
            </w:r>
          </w:p>
        </w:tc>
        <w:tc>
          <w:tcPr>
            <w:tcW w:w="1700" w:type="dxa"/>
            <w:vAlign w:val="bottom"/>
          </w:tcPr>
          <w:p>
            <w:pPr>
              <w:spacing w:after="0"/>
              <w:rPr>
                <w:sz w:val="13"/>
                <w:szCs w:val="13"/>
                <w:color w:val="auto"/>
              </w:rPr>
            </w:pPr>
          </w:p>
        </w:tc>
      </w:tr>
      <w:tr>
        <w:trPr>
          <w:trHeight w:val="273"/>
        </w:trPr>
        <w:tc>
          <w:tcPr>
            <w:tcW w:w="3140" w:type="dxa"/>
            <w:vAlign w:val="bottom"/>
            <w:gridSpan w:val="2"/>
          </w:tcPr>
          <w:p>
            <w:pPr>
              <w:spacing w:after="0"/>
              <w:rPr>
                <w:sz w:val="20"/>
                <w:szCs w:val="20"/>
                <w:color w:val="auto"/>
              </w:rPr>
            </w:pPr>
            <w:r>
              <w:rPr>
                <w:rFonts w:ascii="Arial" w:cs="Arial" w:eastAsia="Arial" w:hAnsi="Arial"/>
                <w:sz w:val="13"/>
                <w:szCs w:val="13"/>
                <w:i w:val="1"/>
                <w:iCs w:val="1"/>
                <w:color w:val="auto"/>
              </w:rPr>
              <w:t>United Biologics, LLC</w:t>
            </w:r>
          </w:p>
        </w:tc>
        <w:tc>
          <w:tcPr>
            <w:tcW w:w="1700" w:type="dxa"/>
            <w:vAlign w:val="bottom"/>
          </w:tcPr>
          <w:p>
            <w:pPr>
              <w:spacing w:after="0"/>
              <w:rPr>
                <w:sz w:val="20"/>
                <w:szCs w:val="20"/>
                <w:color w:val="auto"/>
              </w:rPr>
            </w:pPr>
            <w:r>
              <w:rPr>
                <w:rFonts w:ascii="Arial" w:cs="Arial" w:eastAsia="Arial" w:hAnsi="Arial"/>
                <w:sz w:val="13"/>
                <w:szCs w:val="13"/>
                <w:color w:val="auto"/>
              </w:rPr>
              <w:t>Healthcare Services</w:t>
            </w: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Preferred Equity (98,377 units) (h)(j)</w:t>
            </w:r>
          </w:p>
        </w:tc>
        <w:tc>
          <w:tcPr>
            <w:tcW w:w="1700" w:type="dxa"/>
            <w:vAlign w:val="bottom"/>
          </w:tcPr>
          <w:p>
            <w:pPr>
              <w:spacing w:after="0"/>
              <w:rPr>
                <w:sz w:val="11"/>
                <w:szCs w:val="11"/>
                <w:color w:val="auto"/>
              </w:rPr>
            </w:pPr>
          </w:p>
        </w:tc>
      </w:tr>
      <w:tr>
        <w:trPr>
          <w:trHeight w:val="158"/>
        </w:trPr>
        <w:tc>
          <w:tcPr>
            <w:tcW w:w="3140" w:type="dxa"/>
            <w:vAlign w:val="bottom"/>
            <w:gridSpan w:val="2"/>
          </w:tcPr>
          <w:p>
            <w:pPr>
              <w:ind w:left="260"/>
              <w:spacing w:after="0"/>
              <w:rPr>
                <w:sz w:val="20"/>
                <w:szCs w:val="20"/>
                <w:color w:val="auto"/>
              </w:rPr>
            </w:pPr>
            <w:r>
              <w:rPr>
                <w:rFonts w:ascii="Arial" w:cs="Arial" w:eastAsia="Arial" w:hAnsi="Arial"/>
                <w:sz w:val="13"/>
                <w:szCs w:val="13"/>
                <w:color w:val="auto"/>
              </w:rPr>
              <w:t>Warrant (57,469 units) (j)(m)</w:t>
            </w:r>
          </w:p>
        </w:tc>
        <w:tc>
          <w:tcPr>
            <w:tcW w:w="1700" w:type="dxa"/>
            <w:vAlign w:val="bottom"/>
          </w:tcPr>
          <w:p>
            <w:pPr>
              <w:spacing w:after="0"/>
              <w:rPr>
                <w:sz w:val="13"/>
                <w:szCs w:val="13"/>
                <w:color w:val="auto"/>
              </w:rPr>
            </w:pPr>
          </w:p>
        </w:tc>
      </w:tr>
      <w:tr>
        <w:trPr>
          <w:trHeight w:val="273"/>
        </w:trPr>
        <w:tc>
          <w:tcPr>
            <w:tcW w:w="3140" w:type="dxa"/>
            <w:vAlign w:val="bottom"/>
            <w:gridSpan w:val="2"/>
          </w:tcPr>
          <w:p>
            <w:pPr>
              <w:spacing w:after="0"/>
              <w:rPr>
                <w:sz w:val="20"/>
                <w:szCs w:val="20"/>
                <w:color w:val="auto"/>
              </w:rPr>
            </w:pPr>
            <w:r>
              <w:rPr>
                <w:rFonts w:ascii="Arial" w:cs="Arial" w:eastAsia="Arial" w:hAnsi="Arial"/>
                <w:sz w:val="13"/>
                <w:szCs w:val="13"/>
                <w:i w:val="1"/>
                <w:iCs w:val="1"/>
                <w:color w:val="auto"/>
              </w:rPr>
              <w:t>Virginia Tile Company, LLC</w:t>
            </w:r>
          </w:p>
        </w:tc>
        <w:tc>
          <w:tcPr>
            <w:tcW w:w="1700" w:type="dxa"/>
            <w:vAlign w:val="bottom"/>
          </w:tcPr>
          <w:p>
            <w:pPr>
              <w:spacing w:after="0"/>
              <w:rPr>
                <w:sz w:val="20"/>
                <w:szCs w:val="20"/>
                <w:color w:val="auto"/>
              </w:rPr>
            </w:pPr>
            <w:r>
              <w:rPr>
                <w:rFonts w:ascii="Arial" w:cs="Arial" w:eastAsia="Arial" w:hAnsi="Arial"/>
                <w:sz w:val="13"/>
                <w:szCs w:val="13"/>
                <w:color w:val="auto"/>
              </w:rPr>
              <w:t>Specialty Distribution</w:t>
            </w: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(j)</w:t>
            </w:r>
          </w:p>
        </w:tc>
        <w:tc>
          <w:tcPr>
            <w:tcW w:w="1700" w:type="dxa"/>
            <w:vAlign w:val="bottom"/>
          </w:tcPr>
          <w:p>
            <w:pPr>
              <w:spacing w:after="0"/>
              <w:rPr>
                <w:sz w:val="11"/>
                <w:szCs w:val="11"/>
                <w:color w:val="auto"/>
              </w:rPr>
            </w:pPr>
          </w:p>
        </w:tc>
      </w:tr>
      <w:tr>
        <w:trPr>
          <w:trHeight w:val="158"/>
        </w:trPr>
        <w:tc>
          <w:tcPr>
            <w:tcW w:w="3140" w:type="dxa"/>
            <w:vAlign w:val="bottom"/>
            <w:gridSpan w:val="2"/>
          </w:tcPr>
          <w:p>
            <w:pPr>
              <w:ind w:left="260"/>
              <w:spacing w:after="0"/>
              <w:rPr>
                <w:sz w:val="20"/>
                <w:szCs w:val="20"/>
                <w:color w:val="auto"/>
              </w:rPr>
            </w:pPr>
            <w:r>
              <w:rPr>
                <w:rFonts w:ascii="Arial" w:cs="Arial" w:eastAsia="Arial" w:hAnsi="Arial"/>
                <w:sz w:val="13"/>
                <w:szCs w:val="13"/>
                <w:color w:val="auto"/>
              </w:rPr>
              <w:t>Common Equity (17 units) (j)</w:t>
            </w:r>
          </w:p>
        </w:tc>
        <w:tc>
          <w:tcPr>
            <w:tcW w:w="1700" w:type="dxa"/>
            <w:vAlign w:val="bottom"/>
          </w:tcPr>
          <w:p>
            <w:pPr>
              <w:spacing w:after="0"/>
              <w:rPr>
                <w:sz w:val="13"/>
                <w:szCs w:val="13"/>
                <w:color w:val="auto"/>
              </w:rPr>
            </w:pPr>
          </w:p>
        </w:tc>
      </w:tr>
      <w:tr>
        <w:trPr>
          <w:trHeight w:val="273"/>
        </w:trPr>
        <w:tc>
          <w:tcPr>
            <w:tcW w:w="3140" w:type="dxa"/>
            <w:vAlign w:val="bottom"/>
            <w:gridSpan w:val="2"/>
          </w:tcPr>
          <w:p>
            <w:pPr>
              <w:spacing w:after="0"/>
              <w:rPr>
                <w:sz w:val="20"/>
                <w:szCs w:val="20"/>
                <w:color w:val="auto"/>
              </w:rPr>
            </w:pPr>
            <w:r>
              <w:rPr>
                <w:rFonts w:ascii="Arial" w:cs="Arial" w:eastAsia="Arial" w:hAnsi="Arial"/>
                <w:sz w:val="13"/>
                <w:szCs w:val="13"/>
                <w:i w:val="1"/>
                <w:iCs w:val="1"/>
                <w:color w:val="auto"/>
              </w:rPr>
              <w:t>Western’s Smokehouse, LLC</w:t>
            </w:r>
          </w:p>
        </w:tc>
        <w:tc>
          <w:tcPr>
            <w:tcW w:w="1700" w:type="dxa"/>
            <w:vAlign w:val="bottom"/>
          </w:tcPr>
          <w:p>
            <w:pPr>
              <w:spacing w:after="0"/>
              <w:rPr>
                <w:sz w:val="20"/>
                <w:szCs w:val="20"/>
                <w:color w:val="auto"/>
              </w:rPr>
            </w:pPr>
            <w:r>
              <w:rPr>
                <w:rFonts w:ascii="Arial" w:cs="Arial" w:eastAsia="Arial" w:hAnsi="Arial"/>
                <w:sz w:val="13"/>
                <w:szCs w:val="13"/>
                <w:color w:val="auto"/>
              </w:rPr>
              <w:t>Consumer Products</w:t>
            </w:r>
          </w:p>
        </w:tc>
      </w:tr>
      <w:tr>
        <w:trPr>
          <w:trHeight w:val="158"/>
        </w:trPr>
        <w:tc>
          <w:tcPr>
            <w:tcW w:w="3140" w:type="dxa"/>
            <w:vAlign w:val="bottom"/>
            <w:gridSpan w:val="2"/>
          </w:tcPr>
          <w:p>
            <w:pPr>
              <w:ind w:left="260"/>
              <w:spacing w:after="0"/>
              <w:rPr>
                <w:sz w:val="20"/>
                <w:szCs w:val="20"/>
                <w:color w:val="auto"/>
              </w:rPr>
            </w:pPr>
            <w:r>
              <w:rPr>
                <w:rFonts w:ascii="Arial" w:cs="Arial" w:eastAsia="Arial" w:hAnsi="Arial"/>
                <w:sz w:val="13"/>
                <w:szCs w:val="13"/>
                <w:color w:val="auto"/>
              </w:rPr>
              <w:t>First Lien Debt (j)(ab)</w:t>
            </w:r>
          </w:p>
        </w:tc>
        <w:tc>
          <w:tcPr>
            <w:tcW w:w="1700" w:type="dxa"/>
            <w:vAlign w:val="bottom"/>
          </w:tcPr>
          <w:p>
            <w:pPr>
              <w:spacing w:after="0"/>
              <w:rPr>
                <w:sz w:val="13"/>
                <w:szCs w:val="13"/>
                <w:color w:val="auto"/>
              </w:rPr>
            </w:pPr>
          </w:p>
        </w:tc>
      </w:tr>
      <w:tr>
        <w:trPr>
          <w:trHeight w:val="246"/>
        </w:trPr>
        <w:tc>
          <w:tcPr>
            <w:tcW w:w="3140" w:type="dxa"/>
            <w:vAlign w:val="bottom"/>
            <w:gridSpan w:val="2"/>
          </w:tcPr>
          <w:p>
            <w:pPr>
              <w:spacing w:after="0"/>
              <w:rPr>
                <w:sz w:val="20"/>
                <w:szCs w:val="20"/>
                <w:color w:val="auto"/>
              </w:rPr>
            </w:pPr>
            <w:r>
              <w:rPr>
                <w:rFonts w:ascii="Arial" w:cs="Arial" w:eastAsia="Arial" w:hAnsi="Arial"/>
                <w:sz w:val="13"/>
                <w:szCs w:val="13"/>
                <w:i w:val="1"/>
                <w:iCs w:val="1"/>
                <w:color w:val="auto"/>
              </w:rPr>
              <w:t>Wheel Pros, Inc.</w:t>
            </w:r>
          </w:p>
        </w:tc>
        <w:tc>
          <w:tcPr>
            <w:tcW w:w="1700" w:type="dxa"/>
            <w:vAlign w:val="bottom"/>
          </w:tcPr>
          <w:p>
            <w:pPr>
              <w:spacing w:after="0"/>
              <w:rPr>
                <w:sz w:val="20"/>
                <w:szCs w:val="20"/>
                <w:color w:val="auto"/>
              </w:rPr>
            </w:pPr>
            <w:r>
              <w:rPr>
                <w:rFonts w:ascii="Arial" w:cs="Arial" w:eastAsia="Arial" w:hAnsi="Arial"/>
                <w:sz w:val="13"/>
                <w:szCs w:val="13"/>
                <w:color w:val="auto"/>
              </w:rPr>
              <w:t>Specialty Distribution</w:t>
            </w: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(j)</w:t>
            </w:r>
          </w:p>
        </w:tc>
        <w:tc>
          <w:tcPr>
            <w:tcW w:w="1700" w:type="dxa"/>
            <w:vAlign w:val="bottom"/>
          </w:tcPr>
          <w:p>
            <w:pPr>
              <w:spacing w:after="0"/>
              <w:rPr>
                <w:sz w:val="11"/>
                <w:szCs w:val="11"/>
                <w:color w:val="auto"/>
              </w:rPr>
            </w:pPr>
          </w:p>
        </w:tc>
      </w:tr>
      <w:tr>
        <w:trPr>
          <w:trHeight w:val="158"/>
        </w:trPr>
        <w:tc>
          <w:tcPr>
            <w:tcW w:w="3140" w:type="dxa"/>
            <w:vAlign w:val="bottom"/>
            <w:gridSpan w:val="2"/>
          </w:tcPr>
          <w:p>
            <w:pPr>
              <w:ind w:left="260"/>
              <w:spacing w:after="0"/>
              <w:rPr>
                <w:sz w:val="20"/>
                <w:szCs w:val="20"/>
                <w:color w:val="auto"/>
              </w:rPr>
            </w:pPr>
            <w:r>
              <w:rPr>
                <w:rFonts w:ascii="Arial" w:cs="Arial" w:eastAsia="Arial" w:hAnsi="Arial"/>
                <w:sz w:val="13"/>
                <w:szCs w:val="13"/>
                <w:color w:val="auto"/>
              </w:rPr>
              <w:t>Preferred Equity (347,222 units) (j)</w:t>
            </w:r>
          </w:p>
        </w:tc>
        <w:tc>
          <w:tcPr>
            <w:tcW w:w="1700" w:type="dxa"/>
            <w:vAlign w:val="bottom"/>
          </w:tcPr>
          <w:p>
            <w:pPr>
              <w:spacing w:after="0"/>
              <w:rPr>
                <w:sz w:val="13"/>
                <w:szCs w:val="13"/>
                <w:color w:val="auto"/>
              </w:rPr>
            </w:pPr>
          </w:p>
        </w:tc>
      </w:tr>
      <w:tr>
        <w:trPr>
          <w:trHeight w:val="273"/>
        </w:trPr>
        <w:tc>
          <w:tcPr>
            <w:tcW w:w="3140" w:type="dxa"/>
            <w:vAlign w:val="bottom"/>
            <w:gridSpan w:val="2"/>
          </w:tcPr>
          <w:p>
            <w:pPr>
              <w:spacing w:after="0"/>
              <w:rPr>
                <w:sz w:val="20"/>
                <w:szCs w:val="20"/>
                <w:color w:val="auto"/>
              </w:rPr>
            </w:pPr>
            <w:r>
              <w:rPr>
                <w:rFonts w:ascii="Arial" w:cs="Arial" w:eastAsia="Arial" w:hAnsi="Arial"/>
                <w:sz w:val="13"/>
                <w:szCs w:val="13"/>
                <w:i w:val="1"/>
                <w:iCs w:val="1"/>
                <w:color w:val="auto"/>
              </w:rPr>
              <w:t>Worldwide Express Operations, LLC</w:t>
            </w:r>
          </w:p>
        </w:tc>
        <w:tc>
          <w:tcPr>
            <w:tcW w:w="1700" w:type="dxa"/>
            <w:vAlign w:val="bottom"/>
          </w:tcPr>
          <w:p>
            <w:pPr>
              <w:spacing w:after="0"/>
              <w:rPr>
                <w:sz w:val="20"/>
                <w:szCs w:val="20"/>
                <w:color w:val="auto"/>
              </w:rPr>
            </w:pPr>
            <w:r>
              <w:rPr>
                <w:rFonts w:ascii="Arial" w:cs="Arial" w:eastAsia="Arial" w:hAnsi="Arial"/>
                <w:sz w:val="13"/>
                <w:szCs w:val="13"/>
                <w:color w:val="auto"/>
              </w:rPr>
              <w:t>Transportation services</w:t>
            </w: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(j)</w:t>
            </w:r>
          </w:p>
        </w:tc>
        <w:tc>
          <w:tcPr>
            <w:tcW w:w="1700" w:type="dxa"/>
            <w:vAlign w:val="bottom"/>
          </w:tcPr>
          <w:p>
            <w:pPr>
              <w:spacing w:after="0"/>
              <w:rPr>
                <w:sz w:val="11"/>
                <w:szCs w:val="11"/>
                <w:color w:val="auto"/>
              </w:rPr>
            </w:pPr>
          </w:p>
        </w:tc>
      </w:tr>
      <w:tr>
        <w:trPr>
          <w:trHeight w:val="149"/>
        </w:trPr>
        <w:tc>
          <w:tcPr>
            <w:tcW w:w="3140" w:type="dxa"/>
            <w:vAlign w:val="bottom"/>
            <w:gridSpan w:val="2"/>
          </w:tcPr>
          <w:p>
            <w:pPr>
              <w:ind w:left="260"/>
              <w:spacing w:after="0"/>
              <w:rPr>
                <w:sz w:val="20"/>
                <w:szCs w:val="20"/>
                <w:color w:val="auto"/>
              </w:rPr>
            </w:pPr>
            <w:r>
              <w:rPr>
                <w:rFonts w:ascii="Arial" w:cs="Arial" w:eastAsia="Arial" w:hAnsi="Arial"/>
                <w:sz w:val="13"/>
                <w:szCs w:val="13"/>
                <w:color w:val="auto"/>
              </w:rPr>
              <w:t>Common Equity (2,000 units) (h)(j)</w:t>
            </w:r>
          </w:p>
        </w:tc>
        <w:tc>
          <w:tcPr>
            <w:tcW w:w="17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Variable Index</w:t>
            </w:r>
          </w:p>
        </w:tc>
        <w:tc>
          <w:tcPr>
            <w:tcW w:w="900" w:type="dxa"/>
            <w:vAlign w:val="bottom"/>
            <w:gridSpan w:val="2"/>
          </w:tcPr>
          <w:p>
            <w:pPr>
              <w:ind w:left="180"/>
              <w:spacing w:after="0"/>
              <w:rPr>
                <w:sz w:val="20"/>
                <w:szCs w:val="20"/>
                <w:color w:val="auto"/>
              </w:rPr>
            </w:pPr>
            <w:r>
              <w:rPr>
                <w:rFonts w:ascii="Arial" w:cs="Arial" w:eastAsia="Arial" w:hAnsi="Arial"/>
                <w:sz w:val="13"/>
                <w:szCs w:val="13"/>
                <w:b w:val="1"/>
                <w:bCs w:val="1"/>
                <w:color w:val="auto"/>
              </w:rPr>
              <w:t>Rate (e)</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Investment</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3"/>
                <w:szCs w:val="13"/>
                <w:b w:val="1"/>
                <w:bCs w:val="1"/>
                <w:color w:val="auto"/>
                <w:w w:val="94"/>
              </w:rPr>
              <w:t>Principal</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1"/>
              </w:rPr>
              <w:t>Percent of</w:t>
            </w:r>
          </w:p>
        </w:tc>
      </w:tr>
      <w:tr>
        <w:trPr>
          <w:trHeight w:val="166"/>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Spread / Floor (d)</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Cash/PIK</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Date (f)</w:t>
            </w:r>
          </w:p>
        </w:tc>
        <w:tc>
          <w:tcPr>
            <w:tcW w:w="100" w:type="dxa"/>
            <w:vAlign w:val="bottom"/>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Maturity</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Amount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Value (g)</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77"/>
              </w:rPr>
              <w:t>Net Assets</w:t>
            </w:r>
          </w:p>
        </w:tc>
        <w:tc>
          <w:tcPr>
            <w:tcW w:w="100" w:type="dxa"/>
            <w:vAlign w:val="bottom"/>
          </w:tcPr>
          <w:p>
            <w:pPr>
              <w:spacing w:after="0"/>
              <w:rPr>
                <w:sz w:val="14"/>
                <w:szCs w:val="14"/>
                <w:color w:val="auto"/>
              </w:rPr>
            </w:pPr>
          </w:p>
        </w:tc>
      </w:tr>
      <w:tr>
        <w:trPr>
          <w:trHeight w:val="249"/>
        </w:trPr>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12.25%/0.00%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11/10/2016</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5/10/2022</w:t>
            </w:r>
          </w:p>
        </w:tc>
        <w:tc>
          <w:tcPr>
            <w:tcW w:w="500" w:type="dxa"/>
            <w:vAlign w:val="bottom"/>
          </w:tcPr>
          <w:p>
            <w:pPr>
              <w:jc w:val="right"/>
              <w:spacing w:after="0"/>
              <w:rPr>
                <w:sz w:val="20"/>
                <w:szCs w:val="20"/>
                <w:color w:val="auto"/>
              </w:rPr>
            </w:pPr>
            <w:r>
              <w:rPr>
                <w:rFonts w:ascii="Arial" w:cs="Arial" w:eastAsia="Arial" w:hAnsi="Arial"/>
                <w:sz w:val="13"/>
                <w:szCs w:val="13"/>
                <w:color w:val="auto"/>
                <w:w w:val="88"/>
              </w:rPr>
              <w:t>$  26,581</w:t>
            </w:r>
          </w:p>
        </w:tc>
        <w:tc>
          <w:tcPr>
            <w:tcW w:w="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  26,530</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  26,631</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11/10/2016</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308</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735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26,838</w:t>
            </w:r>
          </w:p>
        </w:tc>
        <w:tc>
          <w:tcPr>
            <w:tcW w:w="10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27,366</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7%</w:t>
            </w:r>
          </w:p>
        </w:tc>
      </w:tr>
      <w:tr>
        <w:trPr>
          <w:trHeight w:val="269"/>
        </w:trPr>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1/4/2017</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1,125</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2,887</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381"/>
        </w:trPr>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12.00%/1.00%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8/11/2017</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2/11/2023</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11,527</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11,499</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10,974</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12.00%/1.00%</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8/11/2017</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5/17/2022</w:t>
            </w:r>
          </w:p>
        </w:tc>
        <w:tc>
          <w:tcPr>
            <w:tcW w:w="540" w:type="dxa"/>
            <w:vAlign w:val="bottom"/>
            <w:gridSpan w:val="2"/>
          </w:tcPr>
          <w:p>
            <w:pPr>
              <w:ind w:left="3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8/11/2017</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944</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604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12,443</w:t>
            </w:r>
          </w:p>
        </w:tc>
        <w:tc>
          <w:tcPr>
            <w:tcW w:w="10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11,578</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245"/>
        </w:trPr>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11.25%/1.50%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9/18/2018</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3/18/2024</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10,339</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10,309</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10,339</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9/18/2018</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621</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1,022</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10,930</w:t>
            </w:r>
          </w:p>
        </w:tc>
        <w:tc>
          <w:tcPr>
            <w:tcW w:w="10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11,361</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245"/>
        </w:trPr>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10.50%/1.00%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10/1/2018</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4/1/2024</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13,981</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13,937</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13,981</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7/18/2016</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780</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1,307</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14,717</w:t>
            </w:r>
          </w:p>
        </w:tc>
        <w:tc>
          <w:tcPr>
            <w:tcW w:w="10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15,288</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w:t>
            </w:r>
          </w:p>
        </w:tc>
      </w:tr>
      <w:tr>
        <w:trPr>
          <w:trHeight w:val="269"/>
        </w:trPr>
        <w:tc>
          <w:tcPr>
            <w:tcW w:w="120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(L + 7.00%) / (1.75%)</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8.75%/0.00%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2/7/2020</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2/7/2025</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14,926</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14,846</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14,926</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w:t>
            </w:r>
          </w:p>
        </w:tc>
      </w:tr>
      <w:tr>
        <w:trPr>
          <w:trHeight w:val="381"/>
        </w:trPr>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13.00%/0.00%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9/8/2016</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12/29/2022</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2,500</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2,497</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2,500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9/8/2016</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562</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1,547</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3,059</w:t>
            </w:r>
          </w:p>
        </w:tc>
        <w:tc>
          <w:tcPr>
            <w:tcW w:w="10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4,047</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245"/>
        </w:trPr>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11.00%/0.00%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12/23/2016</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6/23/2023</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10,000</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9,978</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10,000</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12/23/2016</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646</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854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10,624</w:t>
            </w:r>
          </w:p>
        </w:tc>
        <w:tc>
          <w:tcPr>
            <w:tcW w:w="10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10,854</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245"/>
        </w:trPr>
        <w:tc>
          <w:tcPr>
            <w:tcW w:w="120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(L + 5.50%) / (2.00%)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7.50%/0.00%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5/7/2019</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5/3/2024</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12,889</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12,774</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12,889</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5/8/2019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596</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608</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13,370</w:t>
            </w:r>
          </w:p>
        </w:tc>
        <w:tc>
          <w:tcPr>
            <w:tcW w:w="10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13,497</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269"/>
        </w:trPr>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1/8/2018</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972</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1,913</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404"/>
        </w:trPr>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2/28/2017</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481</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743</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381"/>
        </w:trPr>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10.00%/1.00%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3/27/2018</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3/27/2025</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6,984</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6,939</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6,984</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3/27/2018</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565</w:t>
            </w:r>
          </w:p>
        </w:tc>
        <w:tc>
          <w:tcPr>
            <w:tcW w:w="7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712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3/27/2018</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354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7,504</w:t>
            </w:r>
          </w:p>
        </w:tc>
        <w:tc>
          <w:tcPr>
            <w:tcW w:w="10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8,050</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245"/>
        </w:trPr>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11.00%/0.00%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4/3/2018</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10/3/2024</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13,893</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13,808</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13,596</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4/3/2018</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668</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810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14,476</w:t>
            </w:r>
          </w:p>
        </w:tc>
        <w:tc>
          <w:tcPr>
            <w:tcW w:w="10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14,406</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w:t>
            </w:r>
          </w:p>
        </w:tc>
      </w:tr>
      <w:tr>
        <w:trPr>
          <w:trHeight w:val="245"/>
        </w:trPr>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4/1/2012</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1,008</w:t>
            </w:r>
          </w:p>
        </w:tc>
        <w:tc>
          <w:tcPr>
            <w:tcW w:w="100" w:type="dxa"/>
            <w:vAlign w:val="bottom"/>
          </w:tcPr>
          <w:p>
            <w:pPr>
              <w:spacing w:after="0"/>
              <w:rPr>
                <w:sz w:val="21"/>
                <w:szCs w:val="21"/>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3/5/2012</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566</w:t>
            </w:r>
          </w:p>
        </w:tc>
        <w:tc>
          <w:tcPr>
            <w:tcW w:w="100" w:type="dxa"/>
            <w:vAlign w:val="bottom"/>
          </w:tcPr>
          <w:p>
            <w:pPr>
              <w:spacing w:after="0"/>
              <w:rPr>
                <w:sz w:val="12"/>
                <w:szCs w:val="12"/>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1,574</w:t>
            </w:r>
          </w:p>
        </w:tc>
        <w:tc>
          <w:tcPr>
            <w:tcW w:w="100" w:type="dxa"/>
            <w:vAlign w:val="bottom"/>
          </w:tcPr>
          <w:p>
            <w:pPr>
              <w:spacing w:after="0"/>
              <w:rPr>
                <w:sz w:val="13"/>
                <w:szCs w:val="13"/>
                <w:color w:val="auto"/>
              </w:rPr>
            </w:pPr>
          </w:p>
        </w:tc>
        <w:tc>
          <w:tcPr>
            <w:tcW w:w="520" w:type="dxa"/>
            <w:vAlign w:val="bottom"/>
            <w:tcBorders>
              <w:top w:val="single" w:sz="8" w:color="auto"/>
            </w:tcBorders>
          </w:tcPr>
          <w:p>
            <w:pPr>
              <w:ind w:lef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245"/>
        </w:trPr>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12.25%/0.00%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12/19/2014</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4/7/2022</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12,000</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11,995</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12,000</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12/19/2014</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343</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463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12,338</w:t>
            </w:r>
          </w:p>
        </w:tc>
        <w:tc>
          <w:tcPr>
            <w:tcW w:w="10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12,463</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269"/>
        </w:trPr>
        <w:tc>
          <w:tcPr>
            <w:tcW w:w="120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(L + 6.50%) / (1.25%)</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7.75%/0.00%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2/28/2020</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12/23/2024</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10,000</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9,868</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9,924</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381"/>
        </w:trPr>
        <w:tc>
          <w:tcPr>
            <w:tcW w:w="120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(L + 8.50%) / (0.00%)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8.65%/0.00%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5/17/2019</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4/4/2026</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20,000</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19,840</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20,000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5/15/2019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632</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950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20,472</w:t>
            </w:r>
          </w:p>
        </w:tc>
        <w:tc>
          <w:tcPr>
            <w:tcW w:w="10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20,950</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w:t>
            </w:r>
          </w:p>
        </w:tc>
      </w:tr>
      <w:tr>
        <w:trPr>
          <w:trHeight w:val="245"/>
        </w:trPr>
        <w:tc>
          <w:tcPr>
            <w:tcW w:w="120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(L + 8.00%) / (1.00%)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9.00%/0.00%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2/27/2017</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2/3/2025</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20,000</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19,778</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19,703</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2/27/2017</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1,478</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1,853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-3105150</wp:posOffset>
            </wp:positionH>
            <wp:positionV relativeFrom="paragraph">
              <wp:posOffset>-6028690</wp:posOffset>
            </wp:positionV>
            <wp:extent cx="6978650" cy="939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78650" cy="9398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-5848985</wp:posOffset>
            </wp:positionV>
            <wp:extent cx="6978650" cy="857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-5661025</wp:posOffset>
            </wp:positionV>
            <wp:extent cx="6978650" cy="85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-5490210</wp:posOffset>
            </wp:positionV>
            <wp:extent cx="6978650" cy="85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-5318760</wp:posOffset>
            </wp:positionV>
            <wp:extent cx="6978650" cy="857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-5147945</wp:posOffset>
            </wp:positionV>
            <wp:extent cx="6978650" cy="857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-4959985</wp:posOffset>
            </wp:positionV>
            <wp:extent cx="6978650" cy="857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-4788535</wp:posOffset>
            </wp:positionV>
            <wp:extent cx="6978650" cy="85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-4600575</wp:posOffset>
            </wp:positionV>
            <wp:extent cx="6978650" cy="857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-4429760</wp:posOffset>
            </wp:positionV>
            <wp:extent cx="6978650" cy="85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-4241165</wp:posOffset>
            </wp:positionV>
            <wp:extent cx="6978650" cy="85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-4070350</wp:posOffset>
            </wp:positionV>
            <wp:extent cx="6978650" cy="857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-3899535</wp:posOffset>
            </wp:positionV>
            <wp:extent cx="6978650" cy="857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-3710940</wp:posOffset>
            </wp:positionV>
            <wp:extent cx="6978650" cy="857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-3540125</wp:posOffset>
            </wp:positionV>
            <wp:extent cx="6978650" cy="857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-3352165</wp:posOffset>
            </wp:positionV>
            <wp:extent cx="6978650" cy="857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-3180715</wp:posOffset>
            </wp:positionV>
            <wp:extent cx="6978650" cy="85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-2992755</wp:posOffset>
            </wp:positionV>
            <wp:extent cx="6978650" cy="857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-2821940</wp:posOffset>
            </wp:positionV>
            <wp:extent cx="6978650" cy="857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-2650490</wp:posOffset>
            </wp:positionV>
            <wp:extent cx="6978650" cy="85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-2479675</wp:posOffset>
            </wp:positionV>
            <wp:extent cx="6978650" cy="85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-2308225</wp:posOffset>
            </wp:positionV>
            <wp:extent cx="6978650" cy="857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-2137410</wp:posOffset>
            </wp:positionV>
            <wp:extent cx="6978650" cy="857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-1949450</wp:posOffset>
            </wp:positionV>
            <wp:extent cx="6978650"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-1778000</wp:posOffset>
            </wp:positionV>
            <wp:extent cx="6978650" cy="857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-1590040</wp:posOffset>
            </wp:positionV>
            <wp:extent cx="6978650" cy="857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-1419225</wp:posOffset>
            </wp:positionV>
            <wp:extent cx="6978650" cy="857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-1230630</wp:posOffset>
            </wp:positionV>
            <wp:extent cx="6978650" cy="857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-1059815</wp:posOffset>
            </wp:positionV>
            <wp:extent cx="6978650" cy="857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-871855</wp:posOffset>
            </wp:positionV>
            <wp:extent cx="6978650" cy="857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-700405</wp:posOffset>
            </wp:positionV>
            <wp:extent cx="6978650" cy="85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-529590</wp:posOffset>
            </wp:positionV>
            <wp:extent cx="6978650" cy="85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-341630</wp:posOffset>
            </wp:positionV>
            <wp:extent cx="6978650" cy="85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78650" cy="8572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-170180</wp:posOffset>
            </wp:positionV>
            <wp:extent cx="6978650" cy="857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78650" cy="857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960" w:space="60"/>
            <w:col w:w="6100"/>
          </w:cols>
          <w:pgMar w:left="320" w:top="458" w:right="459" w:bottom="72" w:gutter="0" w:footer="0" w:header="0"/>
          <w:type w:val="continuous"/>
        </w:sectPr>
      </w:pPr>
    </w:p>
    <w:tbl>
      <w:tblPr>
        <w:tblLayout w:type="fixed"/>
        <w:tblInd w:w="120" w:type="dxa"/>
        <w:tblCellMar>
          <w:top w:w="0" w:type="dxa"/>
          <w:left w:w="0" w:type="dxa"/>
          <w:bottom w:w="0" w:type="dxa"/>
          <w:right w:w="0" w:type="dxa"/>
        </w:tblCellMar>
      </w:tblPr>
      <w:tr>
        <w:trPr>
          <w:trHeight w:val="142"/>
        </w:trPr>
        <w:tc>
          <w:tcPr>
            <w:tcW w:w="570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21,256</w:t>
            </w:r>
          </w:p>
        </w:tc>
        <w:tc>
          <w:tcPr>
            <w:tcW w:w="100" w:type="dxa"/>
            <w:vAlign w:val="bottom"/>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21,556</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w:t>
            </w:r>
          </w:p>
        </w:tc>
      </w:tr>
      <w:tr>
        <w:trPr>
          <w:trHeight w:val="142"/>
        </w:trPr>
        <w:tc>
          <w:tcPr>
            <w:tcW w:w="5700" w:type="dxa"/>
            <w:vAlign w:val="bottom"/>
          </w:tcPr>
          <w:p>
            <w:pPr>
              <w:spacing w:after="0" w:line="142" w:lineRule="exact"/>
              <w:rPr>
                <w:sz w:val="20"/>
                <w:szCs w:val="20"/>
                <w:color w:val="auto"/>
              </w:rPr>
            </w:pPr>
            <w:r>
              <w:rPr>
                <w:rFonts w:ascii="Arial" w:cs="Arial" w:eastAsia="Arial" w:hAnsi="Arial"/>
                <w:sz w:val="13"/>
                <w:szCs w:val="13"/>
                <w:b w:val="1"/>
                <w:bCs w:val="1"/>
                <w:color w:val="auto"/>
              </w:rPr>
              <w:t>Total Non-control/Non-affiliate Investments</w:t>
            </w:r>
          </w:p>
        </w:tc>
        <w:tc>
          <w:tcPr>
            <w:tcW w:w="336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6"/>
              </w:rPr>
              <w:t>$ 644,455</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6"/>
              </w:rPr>
              <w:t>$ 613,564</w:t>
            </w:r>
          </w:p>
        </w:tc>
        <w:tc>
          <w:tcPr>
            <w:tcW w:w="2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158%</w:t>
            </w:r>
          </w:p>
        </w:tc>
      </w:tr>
      <w:tr>
        <w:trPr>
          <w:trHeight w:val="20"/>
        </w:trPr>
        <w:tc>
          <w:tcPr>
            <w:tcW w:w="5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29"/>
        </w:trPr>
        <w:tc>
          <w:tcPr>
            <w:tcW w:w="570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Investments</w:t>
            </w:r>
          </w:p>
        </w:tc>
        <w:tc>
          <w:tcPr>
            <w:tcW w:w="3980" w:type="dxa"/>
            <w:vAlign w:val="bottom"/>
            <w:gridSpan w:val="3"/>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rPr>
              <w:t>$ 716,419</w:t>
            </w:r>
          </w:p>
        </w:tc>
        <w:tc>
          <w:tcPr>
            <w:tcW w:w="74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3"/>
                <w:szCs w:val="13"/>
                <w:color w:val="auto"/>
                <w:w w:val="86"/>
              </w:rPr>
              <w:t>$ 715,405</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184%</w:t>
            </w:r>
          </w:p>
        </w:tc>
      </w:tr>
      <w:tr>
        <w:trPr>
          <w:trHeight w:val="20"/>
        </w:trPr>
        <w:tc>
          <w:tcPr>
            <w:tcW w:w="5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170815</wp:posOffset>
            </wp:positionV>
            <wp:extent cx="7696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289" w:lineRule="exact"/>
        <w:rPr>
          <w:sz w:val="20"/>
          <w:szCs w:val="20"/>
          <w:color w:val="auto"/>
        </w:rPr>
      </w:pPr>
    </w:p>
    <w:p>
      <w:pPr>
        <w:ind w:left="560" w:hanging="431"/>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Note 3 to the consolidated financial statements for portfolio composition by geographic location.</w:t>
      </w:r>
    </w:p>
    <w:p>
      <w:pPr>
        <w:spacing w:after="0" w:line="22" w:lineRule="exact"/>
        <w:rPr>
          <w:rFonts w:ascii="Arial" w:cs="Arial" w:eastAsia="Arial" w:hAnsi="Arial"/>
          <w:sz w:val="18"/>
          <w:szCs w:val="18"/>
          <w:color w:val="auto"/>
        </w:rPr>
      </w:pPr>
    </w:p>
    <w:p>
      <w:pPr>
        <w:ind w:left="560" w:hanging="431"/>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 ownership may be held in shares or units of companies related to the portfolio companies.</w:t>
      </w:r>
    </w:p>
    <w:p>
      <w:pPr>
        <w:spacing w:after="0" w:line="8" w:lineRule="exact"/>
        <w:rPr>
          <w:rFonts w:ascii="Arial" w:cs="Arial" w:eastAsia="Arial" w:hAnsi="Arial"/>
          <w:sz w:val="18"/>
          <w:szCs w:val="18"/>
          <w:color w:val="auto"/>
        </w:rPr>
      </w:pPr>
    </w:p>
    <w:p>
      <w:pPr>
        <w:ind w:left="560" w:hanging="431"/>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indicated. Equity investments are non-income producing unless otherwise noted.</w:t>
      </w:r>
    </w:p>
    <w:p>
      <w:pPr>
        <w:spacing w:after="0" w:line="31" w:lineRule="exact"/>
        <w:rPr>
          <w:rFonts w:ascii="Arial" w:cs="Arial" w:eastAsia="Arial" w:hAnsi="Arial"/>
          <w:sz w:val="16"/>
          <w:szCs w:val="16"/>
          <w:color w:val="auto"/>
        </w:rPr>
      </w:pPr>
    </w:p>
    <w:p>
      <w:pPr>
        <w:ind w:left="560" w:right="200" w:hanging="431"/>
        <w:spacing w:after="0" w:line="249"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Variable rate investments bear interest at a rate indexed to LIBOR (L), which is reset monthly, bimonthly, quarterly, or semi-annually. Certain variable rate investments also include a LIBOR interest rate floor. For each investment, the Company has provided the spread over the reference rate and the LIBOR floor, if any, as of September 30, 2020.</w:t>
      </w:r>
    </w:p>
    <w:p>
      <w:pPr>
        <w:spacing w:after="0" w:line="2" w:lineRule="exact"/>
        <w:rPr>
          <w:rFonts w:ascii="Arial" w:cs="Arial" w:eastAsia="Arial" w:hAnsi="Arial"/>
          <w:sz w:val="18"/>
          <w:szCs w:val="18"/>
          <w:color w:val="auto"/>
        </w:rPr>
      </w:pPr>
    </w:p>
    <w:p>
      <w:pPr>
        <w:ind w:left="560" w:right="980" w:hanging="431"/>
        <w:spacing w:after="0" w:line="249"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Rate includes the cash interest or dividend rate and paid-in-kind interest or dividend rate, if any, as of September 30, 2020. Generally, payment-in-kind interest can be paid-in-kind or all in cash.</w:t>
      </w:r>
    </w:p>
    <w:p>
      <w:pPr>
        <w:spacing w:after="0" w:line="1" w:lineRule="exact"/>
        <w:rPr>
          <w:rFonts w:ascii="Arial" w:cs="Arial" w:eastAsia="Arial" w:hAnsi="Arial"/>
          <w:sz w:val="18"/>
          <w:szCs w:val="18"/>
          <w:color w:val="auto"/>
        </w:rPr>
      </w:pPr>
    </w:p>
    <w:p>
      <w:pPr>
        <w:ind w:left="560" w:hanging="431"/>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date represents the date of the initial investment in the security.</w:t>
      </w:r>
    </w:p>
    <w:p>
      <w:pPr>
        <w:spacing w:after="0" w:line="8" w:lineRule="exact"/>
        <w:rPr>
          <w:rFonts w:ascii="Arial" w:cs="Arial" w:eastAsia="Arial" w:hAnsi="Arial"/>
          <w:sz w:val="18"/>
          <w:szCs w:val="18"/>
          <w:color w:val="auto"/>
        </w:rPr>
      </w:pPr>
    </w:p>
    <w:p>
      <w:pPr>
        <w:ind w:left="560" w:right="140" w:hanging="431"/>
        <w:spacing w:after="0" w:line="264" w:lineRule="auto"/>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1" w:lineRule="exact"/>
        <w:rPr>
          <w:rFonts w:ascii="Arial" w:cs="Arial" w:eastAsia="Arial" w:hAnsi="Arial"/>
          <w:sz w:val="17"/>
          <w:szCs w:val="17"/>
          <w:color w:val="auto"/>
        </w:rPr>
      </w:pPr>
    </w:p>
    <w:p>
      <w:pPr>
        <w:ind w:left="560" w:hanging="431"/>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is held by a Taxable Subsidiary of the Company.</w:t>
      </w:r>
    </w:p>
    <w:p>
      <w:pPr>
        <w:spacing w:after="0" w:line="8" w:lineRule="exact"/>
        <w:rPr>
          <w:rFonts w:ascii="Arial" w:cs="Arial" w:eastAsia="Arial" w:hAnsi="Arial"/>
          <w:sz w:val="18"/>
          <w:szCs w:val="18"/>
          <w:color w:val="auto"/>
        </w:rPr>
      </w:pPr>
    </w:p>
    <w:p>
      <w:pPr>
        <w:ind w:left="560" w:right="240" w:hanging="431"/>
        <w:spacing w:after="0" w:line="289" w:lineRule="auto"/>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disclosed commitment represents the unfunded amount as of September 30, 2020. The Company is earning 0.50% interest on the unfunded balance of the commitment. The interest rate disclosed represents the rate which will be earned if the commitment is funded.</w:t>
      </w:r>
    </w:p>
    <w:p>
      <w:pPr>
        <w:sectPr>
          <w:pgSz w:w="11900" w:h="16838" w:orient="portrait"/>
          <w:cols w:equalWidth="0" w:num="1">
            <w:col w:w="11120"/>
          </w:cols>
          <w:pgMar w:left="320" w:top="458" w:right="459" w:bottom="72" w:gutter="0" w:footer="0" w:header="0"/>
          <w:type w:val="continuous"/>
        </w:sectPr>
      </w:pP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20"/>
          </w:cols>
          <w:pgMar w:left="320" w:top="458" w:right="459" w:bottom="72"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shares)</w:t>
      </w:r>
    </w:p>
    <w:p>
      <w:pPr>
        <w:spacing w:after="0" w:line="142" w:lineRule="exact"/>
        <w:rPr>
          <w:sz w:val="20"/>
          <w:szCs w:val="20"/>
          <w:color w:val="auto"/>
        </w:rPr>
      </w:pPr>
    </w:p>
    <w:p>
      <w:pPr>
        <w:ind w:left="560" w:right="120" w:hanging="431"/>
        <w:spacing w:after="0" w:line="290"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left="560" w:right="40" w:hanging="431"/>
        <w:spacing w:after="0" w:line="249"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2" w:lineRule="exact"/>
        <w:rPr>
          <w:rFonts w:ascii="Arial" w:cs="Arial" w:eastAsia="Arial" w:hAnsi="Arial"/>
          <w:sz w:val="18"/>
          <w:szCs w:val="18"/>
          <w:color w:val="auto"/>
        </w:rPr>
      </w:pPr>
    </w:p>
    <w:p>
      <w:pPr>
        <w:ind w:left="560" w:right="280" w:hanging="431"/>
        <w:spacing w:after="0" w:line="281"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560" w:right="400" w:hanging="431"/>
        <w:spacing w:after="0" w:line="281"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ind w:left="560" w:hanging="431"/>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in portfolio company that has sold its operations and is in the process of winding down.</w:t>
      </w:r>
    </w:p>
    <w:p>
      <w:pPr>
        <w:spacing w:after="0" w:line="8" w:lineRule="exact"/>
        <w:rPr>
          <w:rFonts w:ascii="Arial" w:cs="Arial" w:eastAsia="Arial" w:hAnsi="Arial"/>
          <w:sz w:val="18"/>
          <w:szCs w:val="18"/>
          <w:color w:val="auto"/>
        </w:rPr>
      </w:pPr>
    </w:p>
    <w:p>
      <w:pPr>
        <w:ind w:left="560" w:hanging="431"/>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producing. Maturity date, if any, represents mandatory redemption date.</w:t>
      </w:r>
    </w:p>
    <w:p>
      <w:pPr>
        <w:spacing w:after="0" w:line="8" w:lineRule="exact"/>
        <w:rPr>
          <w:rFonts w:ascii="Arial" w:cs="Arial" w:eastAsia="Arial" w:hAnsi="Arial"/>
          <w:sz w:val="18"/>
          <w:szCs w:val="18"/>
          <w:color w:val="auto"/>
        </w:rPr>
      </w:pPr>
    </w:p>
    <w:p>
      <w:pPr>
        <w:ind w:left="560" w:hanging="431"/>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Investment was on non-accrual status as of September 30, 2020, meaning the Company has ceased recognizing interest income on the investment.</w:t>
      </w:r>
    </w:p>
    <w:p>
      <w:pPr>
        <w:spacing w:after="0" w:line="31" w:lineRule="exact"/>
        <w:rPr>
          <w:rFonts w:ascii="Arial" w:cs="Arial" w:eastAsia="Arial" w:hAnsi="Arial"/>
          <w:sz w:val="16"/>
          <w:szCs w:val="16"/>
          <w:color w:val="auto"/>
        </w:rPr>
      </w:pPr>
    </w:p>
    <w:p>
      <w:pPr>
        <w:ind w:left="560" w:right="180" w:hanging="431"/>
        <w:spacing w:after="0" w:line="249"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 entitles the Company to purchase 9.59% of the outstanding principal of Junior Subordinated Notes prior to exercise, and is non-income producing.</w:t>
      </w:r>
    </w:p>
    <w:p>
      <w:pPr>
        <w:spacing w:after="0" w:line="1" w:lineRule="exact"/>
        <w:rPr>
          <w:rFonts w:ascii="Arial" w:cs="Arial" w:eastAsia="Arial" w:hAnsi="Arial"/>
          <w:sz w:val="18"/>
          <w:szCs w:val="18"/>
          <w:color w:val="auto"/>
        </w:rPr>
      </w:pPr>
    </w:p>
    <w:p>
      <w:pPr>
        <w:ind w:left="560" w:hanging="431"/>
        <w:spacing w:after="0" w:line="249"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6.03%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Arial" w:cs="Arial" w:eastAsia="Arial" w:hAnsi="Arial"/>
          <w:sz w:val="18"/>
          <w:szCs w:val="18"/>
          <w:color w:val="auto"/>
        </w:rPr>
      </w:pPr>
    </w:p>
    <w:p>
      <w:pPr>
        <w:ind w:left="560" w:hanging="431"/>
        <w:spacing w:after="0" w:line="249"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3.79%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Arial" w:cs="Arial" w:eastAsia="Arial" w:hAnsi="Arial"/>
          <w:sz w:val="18"/>
          <w:szCs w:val="18"/>
          <w:color w:val="auto"/>
        </w:rPr>
      </w:pPr>
    </w:p>
    <w:p>
      <w:pPr>
        <w:jc w:val="both"/>
        <w:ind w:left="560" w:right="160" w:hanging="431"/>
        <w:spacing w:after="0" w:line="249"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2" w:lineRule="exact"/>
        <w:rPr>
          <w:rFonts w:ascii="Arial" w:cs="Arial" w:eastAsia="Arial" w:hAnsi="Arial"/>
          <w:sz w:val="18"/>
          <w:szCs w:val="18"/>
          <w:color w:val="auto"/>
        </w:rPr>
      </w:pPr>
    </w:p>
    <w:p>
      <w:pPr>
        <w:ind w:left="560" w:hanging="431"/>
        <w:spacing w:after="0" w:line="249"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4.50%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Arial" w:cs="Arial" w:eastAsia="Arial" w:hAnsi="Arial"/>
          <w:sz w:val="18"/>
          <w:szCs w:val="18"/>
          <w:color w:val="auto"/>
        </w:rPr>
      </w:pPr>
    </w:p>
    <w:p>
      <w:pPr>
        <w:ind w:left="560" w:hanging="431"/>
        <w:spacing w:after="0" w:line="249"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4.97%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Arial" w:cs="Arial" w:eastAsia="Arial" w:hAnsi="Arial"/>
          <w:sz w:val="18"/>
          <w:szCs w:val="18"/>
          <w:color w:val="auto"/>
        </w:rPr>
      </w:pPr>
    </w:p>
    <w:p>
      <w:pPr>
        <w:ind w:left="560" w:hanging="431"/>
        <w:spacing w:after="0" w:line="249"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3.35%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Arial" w:cs="Arial" w:eastAsia="Arial" w:hAnsi="Arial"/>
          <w:sz w:val="18"/>
          <w:szCs w:val="18"/>
          <w:color w:val="auto"/>
        </w:rPr>
      </w:pPr>
    </w:p>
    <w:p>
      <w:pPr>
        <w:ind w:left="560" w:hanging="431"/>
        <w:spacing w:after="0" w:line="249"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2.69%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Arial" w:cs="Arial" w:eastAsia="Arial" w:hAnsi="Arial"/>
          <w:sz w:val="18"/>
          <w:szCs w:val="18"/>
          <w:color w:val="auto"/>
        </w:rPr>
      </w:pPr>
    </w:p>
    <w:p>
      <w:pPr>
        <w:ind w:left="560" w:hanging="431"/>
        <w:spacing w:after="0" w:line="249"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3.97%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Arial" w:cs="Arial" w:eastAsia="Arial" w:hAnsi="Arial"/>
          <w:sz w:val="18"/>
          <w:szCs w:val="18"/>
          <w:color w:val="auto"/>
        </w:rPr>
      </w:pPr>
    </w:p>
    <w:p>
      <w:pPr>
        <w:ind w:left="560" w:hanging="431"/>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addition to the interest earned based on the stated interest rate of this security, the Company is entitled to receive an additional interest amount</w:t>
      </w:r>
    </w:p>
    <w:p>
      <w:pPr>
        <w:spacing w:after="0" w:line="32" w:lineRule="exact"/>
        <w:rPr>
          <w:sz w:val="20"/>
          <w:szCs w:val="20"/>
          <w:color w:val="auto"/>
        </w:rPr>
      </w:pPr>
    </w:p>
    <w:p>
      <w:pPr>
        <w:ind w:left="560"/>
        <w:spacing w:after="0" w:line="249" w:lineRule="auto"/>
        <w:rPr>
          <w:sz w:val="20"/>
          <w:szCs w:val="20"/>
          <w:color w:val="auto"/>
        </w:rPr>
      </w:pPr>
      <w:r>
        <w:rPr>
          <w:rFonts w:ascii="Arial" w:cs="Arial" w:eastAsia="Arial" w:hAnsi="Arial"/>
          <w:sz w:val="18"/>
          <w:szCs w:val="18"/>
          <w:color w:val="auto"/>
        </w:rPr>
        <w:t>of 4.50%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left="560" w:right="100" w:hanging="431"/>
        <w:spacing w:after="0" w:line="281" w:lineRule="auto"/>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addition to the interest earned based on the stated interest rate of this security, the Company is entitled to receive an additional interest amount of 2.87% on its “last out” tranche of the portfolio company’s senior term debt, which was previously syndicated into “first out” and “last out”</w:t>
      </w:r>
    </w:p>
    <w:p>
      <w:pPr>
        <w:ind w:left="560"/>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thereunder.</w:t>
      </w:r>
    </w:p>
    <w:p>
      <w:pPr>
        <w:spacing w:after="0" w:line="9"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color w:val="auto"/>
        </w:rPr>
        <w:t>(ab)</w:t>
      </w:r>
      <w:r>
        <w:rPr>
          <w:sz w:val="20"/>
          <w:szCs w:val="20"/>
          <w:color w:val="auto"/>
        </w:rPr>
        <w:tab/>
      </w:r>
      <w:r>
        <w:rPr>
          <w:rFonts w:ascii="Arial" w:cs="Arial" w:eastAsia="Arial" w:hAnsi="Arial"/>
          <w:sz w:val="16"/>
          <w:szCs w:val="16"/>
          <w:color w:val="auto"/>
        </w:rPr>
        <w:t>In addition to the interest earned based on the stated interest rate of this security, the Company is entitled to receive an additional interest amount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of 3.10% on its “last out” tranche of the portfolio company’s senior term debt, which was previously syndicated into “first out” and “last out”</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thereunder.</w:t>
      </w:r>
    </w:p>
    <w:p>
      <w:pPr>
        <w:spacing w:after="0" w:line="9"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color w:val="auto"/>
        </w:rPr>
        <w:t>(ac)</w:t>
      </w:r>
      <w:r>
        <w:rPr>
          <w:sz w:val="20"/>
          <w:szCs w:val="20"/>
          <w:color w:val="auto"/>
        </w:rPr>
        <w:tab/>
      </w:r>
      <w:r>
        <w:rPr>
          <w:rFonts w:ascii="Arial" w:cs="Arial" w:eastAsia="Arial" w:hAnsi="Arial"/>
          <w:sz w:val="16"/>
          <w:szCs w:val="16"/>
          <w:color w:val="auto"/>
        </w:rPr>
        <w:t>The disclosed commitment represents the unfunded amount as of September 30, 2020. The Company is earning 1.00% interest on the unfunded</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balance of the commitment. The interest rate disclosed represents the rate earned on the outstanding, funded balance of the commitment.</w:t>
      </w:r>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ectPr>
          <w:pgSz w:w="11900" w:h="16838" w:orient="portrait"/>
          <w:cols w:equalWidth="0" w:num="1">
            <w:col w:w="11060"/>
          </w:cols>
          <w:pgMar w:left="320" w:top="458" w:right="519" w:bottom="382" w:gutter="0" w:footer="0" w:header="0"/>
        </w:sectPr>
      </w:pP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60"/>
          </w:cols>
          <w:pgMar w:left="320" w:top="458" w:right="519" w:bottom="382"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24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Variable Index</w:t>
            </w: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Rate (e)</w:t>
            </w: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w w:val="99"/>
              </w:rPr>
              <w:t>Investment</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3"/>
                <w:szCs w:val="13"/>
                <w:b w:val="1"/>
                <w:bCs w:val="1"/>
                <w:color w:val="auto"/>
              </w:rPr>
              <w:t>Principal</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Fair</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1"/>
              </w:rPr>
              <w:t>Percent of</w:t>
            </w:r>
          </w:p>
        </w:tc>
      </w:tr>
      <w:tr>
        <w:trPr>
          <w:trHeight w:val="168"/>
        </w:trPr>
        <w:tc>
          <w:tcPr>
            <w:tcW w:w="1080" w:type="dxa"/>
            <w:vAlign w:val="bottom"/>
            <w:tcBorders>
              <w:bottom w:val="single" w:sz="8" w:color="auto"/>
            </w:tcBorders>
          </w:tcPr>
          <w:p>
            <w:pPr>
              <w:spacing w:after="0" w:line="148" w:lineRule="exact"/>
              <w:rPr>
                <w:sz w:val="20"/>
                <w:szCs w:val="20"/>
                <w:color w:val="auto"/>
              </w:rPr>
            </w:pPr>
            <w:r>
              <w:rPr>
                <w:rFonts w:ascii="Arial" w:cs="Arial" w:eastAsia="Arial" w:hAnsi="Arial"/>
                <w:sz w:val="13"/>
                <w:szCs w:val="13"/>
                <w:b w:val="1"/>
                <w:bCs w:val="1"/>
                <w:color w:val="auto"/>
                <w:w w:val="86"/>
              </w:rPr>
              <w:t>Investment Type (c)</w:t>
            </w:r>
          </w:p>
        </w:tc>
        <w:tc>
          <w:tcPr>
            <w:tcW w:w="2160" w:type="dxa"/>
            <w:vAlign w:val="bottom"/>
            <w:gridSpan w:val="2"/>
          </w:tcPr>
          <w:p>
            <w:pPr>
              <w:spacing w:after="0"/>
              <w:rPr>
                <w:sz w:val="14"/>
                <w:szCs w:val="14"/>
                <w:color w:val="auto"/>
              </w:rPr>
            </w:pPr>
          </w:p>
        </w:tc>
        <w:tc>
          <w:tcPr>
            <w:tcW w:w="1880" w:type="dxa"/>
            <w:vAlign w:val="bottom"/>
            <w:gridSpan w:val="3"/>
          </w:tcPr>
          <w:p>
            <w:pPr>
              <w:ind w:left="620"/>
              <w:spacing w:after="0" w:line="148" w:lineRule="exact"/>
              <w:rPr>
                <w:sz w:val="20"/>
                <w:szCs w:val="20"/>
                <w:color w:val="auto"/>
              </w:rPr>
            </w:pPr>
            <w:r>
              <w:rPr>
                <w:rFonts w:ascii="Arial" w:cs="Arial" w:eastAsia="Arial" w:hAnsi="Arial"/>
                <w:sz w:val="13"/>
                <w:szCs w:val="13"/>
                <w:b w:val="1"/>
                <w:bCs w:val="1"/>
                <w:color w:val="auto"/>
              </w:rPr>
              <w:t>Industry</w:t>
            </w:r>
          </w:p>
        </w:tc>
        <w:tc>
          <w:tcPr>
            <w:tcW w:w="114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89"/>
              </w:rPr>
              <w:t>Spread / Floor (d)</w:t>
            </w:r>
          </w:p>
        </w:tc>
        <w:tc>
          <w:tcPr>
            <w:tcW w:w="86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91"/>
              </w:rPr>
              <w:t>Cash/PIK</w:t>
            </w:r>
          </w:p>
        </w:tc>
        <w:tc>
          <w:tcPr>
            <w:tcW w:w="700" w:type="dxa"/>
            <w:vAlign w:val="bottom"/>
            <w:gridSpan w:val="2"/>
          </w:tcPr>
          <w:p>
            <w:pPr>
              <w:ind w:left="100"/>
              <w:spacing w:after="0" w:line="148" w:lineRule="exact"/>
              <w:rPr>
                <w:sz w:val="20"/>
                <w:szCs w:val="20"/>
                <w:color w:val="auto"/>
              </w:rPr>
            </w:pPr>
            <w:r>
              <w:rPr>
                <w:rFonts w:ascii="Arial" w:cs="Arial" w:eastAsia="Arial" w:hAnsi="Arial"/>
                <w:sz w:val="13"/>
                <w:szCs w:val="13"/>
                <w:b w:val="1"/>
                <w:bCs w:val="1"/>
                <w:color w:val="auto"/>
              </w:rPr>
              <w:t>Date (f)</w:t>
            </w:r>
          </w:p>
        </w:tc>
        <w:tc>
          <w:tcPr>
            <w:tcW w:w="680" w:type="dxa"/>
            <w:vAlign w:val="bottom"/>
            <w:gridSpan w:val="2"/>
          </w:tcPr>
          <w:p>
            <w:pPr>
              <w:ind w:left="40"/>
              <w:spacing w:after="0" w:line="148" w:lineRule="exact"/>
              <w:rPr>
                <w:sz w:val="20"/>
                <w:szCs w:val="20"/>
                <w:color w:val="auto"/>
              </w:rPr>
            </w:pPr>
            <w:r>
              <w:rPr>
                <w:rFonts w:ascii="Arial" w:cs="Arial" w:eastAsia="Arial" w:hAnsi="Arial"/>
                <w:sz w:val="13"/>
                <w:szCs w:val="13"/>
                <w:b w:val="1"/>
                <w:bCs w:val="1"/>
                <w:color w:val="auto"/>
              </w:rPr>
              <w:t>Maturity</w:t>
            </w:r>
          </w:p>
        </w:tc>
        <w:tc>
          <w:tcPr>
            <w:tcW w:w="620" w:type="dxa"/>
            <w:vAlign w:val="bottom"/>
            <w:gridSpan w:val="3"/>
          </w:tcPr>
          <w:p>
            <w:pPr>
              <w:ind w:left="20"/>
              <w:spacing w:after="0" w:line="148"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4"/>
                <w:szCs w:val="14"/>
                <w:color w:val="auto"/>
              </w:rPr>
            </w:pPr>
          </w:p>
        </w:tc>
        <w:tc>
          <w:tcPr>
            <w:tcW w:w="48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w w:val="82"/>
              </w:rPr>
              <w:t>Cost</w:t>
            </w:r>
          </w:p>
        </w:tc>
        <w:tc>
          <w:tcPr>
            <w:tcW w:w="62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Value (g)</w:t>
            </w:r>
          </w:p>
        </w:tc>
        <w:tc>
          <w:tcPr>
            <w:tcW w:w="70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auto"/>
                <w:w w:val="77"/>
              </w:rPr>
              <w:t>Net Assets</w:t>
            </w:r>
          </w:p>
        </w:tc>
      </w:tr>
      <w:tr>
        <w:trPr>
          <w:trHeight w:val="95"/>
        </w:trPr>
        <w:tc>
          <w:tcPr>
            <w:tcW w:w="3240" w:type="dxa"/>
            <w:vAlign w:val="bottom"/>
            <w:tcBorders>
              <w:top w:val="single" w:sz="8" w:color="CCEEFF"/>
            </w:tcBorders>
            <w:gridSpan w:val="3"/>
            <w:shd w:val="clear" w:color="auto" w:fill="CCEEFF"/>
          </w:tcPr>
          <w:p>
            <w:pPr>
              <w:spacing w:after="0" w:line="95" w:lineRule="exact"/>
              <w:rPr>
                <w:sz w:val="20"/>
                <w:szCs w:val="20"/>
                <w:color w:val="auto"/>
              </w:rPr>
            </w:pPr>
            <w:r>
              <w:rPr>
                <w:rFonts w:ascii="Arial" w:cs="Arial" w:eastAsia="Arial" w:hAnsi="Arial"/>
                <w:sz w:val="10"/>
                <w:szCs w:val="10"/>
                <w:b w:val="1"/>
                <w:bCs w:val="1"/>
                <w:color w:val="auto"/>
              </w:rPr>
              <w:t>Control Investments (t)</w:t>
            </w:r>
          </w:p>
        </w:tc>
        <w:tc>
          <w:tcPr>
            <w:tcW w:w="1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0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r>
      <w:tr>
        <w:trPr>
          <w:trHeight w:val="27"/>
        </w:trPr>
        <w:tc>
          <w:tcPr>
            <w:tcW w:w="10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35"/>
        </w:trPr>
        <w:tc>
          <w:tcPr>
            <w:tcW w:w="32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FDS Avionics Corp. (dba Flight Display Systems)</w:t>
            </w:r>
          </w:p>
        </w:tc>
        <w:tc>
          <w:tcPr>
            <w:tcW w:w="1880" w:type="dxa"/>
            <w:vAlign w:val="bottom"/>
            <w:gridSpan w:val="3"/>
          </w:tcPr>
          <w:p>
            <w:pPr>
              <w:spacing w:after="0" w:line="135" w:lineRule="exact"/>
              <w:rPr>
                <w:sz w:val="20"/>
                <w:szCs w:val="20"/>
                <w:color w:val="auto"/>
              </w:rPr>
            </w:pPr>
            <w:r>
              <w:rPr>
                <w:rFonts w:ascii="Arial" w:cs="Arial" w:eastAsia="Arial" w:hAnsi="Arial"/>
                <w:sz w:val="13"/>
                <w:szCs w:val="13"/>
                <w:color w:val="auto"/>
                <w:w w:val="87"/>
              </w:rPr>
              <w:t>Aerospace &amp; Defense Manufacturing</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24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6.00%/9.00%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11/5/2014</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6"/>
              </w:rPr>
              <w:t>12/31/2021</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4,420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8"/>
              </w:rPr>
              <w:t>4,418</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4,277</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24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Revolving Loan ($30 commitment)</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6.00%/9.00%</w:t>
            </w: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4/12/2018</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6"/>
              </w:rPr>
              <w:t>12/31/2021</w:t>
            </w:r>
          </w:p>
        </w:tc>
        <w:tc>
          <w:tcPr>
            <w:tcW w:w="10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261</w:t>
            </w: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261</w:t>
            </w:r>
          </w:p>
        </w:tc>
        <w:tc>
          <w:tcPr>
            <w:tcW w:w="6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261</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24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(7,478 shares) (j)</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11/10/2017</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748</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24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Preferred Equity (2,550 shares)</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w w:val="89"/>
              </w:rPr>
              <w:t>12/26/2019</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8"/>
              </w:rPr>
              <w:t>2,550</w:t>
            </w:r>
          </w:p>
        </w:tc>
        <w:tc>
          <w:tcPr>
            <w:tcW w:w="6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915</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8"/>
              </w:rPr>
              <w:t>7,977</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5,403</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w:t>
            </w:r>
          </w:p>
        </w:tc>
      </w:tr>
      <w:tr>
        <w:trPr>
          <w:trHeight w:val="135"/>
        </w:trPr>
        <w:tc>
          <w:tcPr>
            <w:tcW w:w="32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US GreenFiber, LLC</w:t>
            </w:r>
          </w:p>
        </w:tc>
        <w:tc>
          <w:tcPr>
            <w:tcW w:w="1880" w:type="dxa"/>
            <w:vAlign w:val="bottom"/>
            <w:gridSpan w:val="3"/>
          </w:tcPr>
          <w:p>
            <w:pPr>
              <w:spacing w:after="0" w:line="135" w:lineRule="exact"/>
              <w:rPr>
                <w:sz w:val="20"/>
                <w:szCs w:val="20"/>
                <w:color w:val="auto"/>
              </w:rPr>
            </w:pPr>
            <w:r>
              <w:rPr>
                <w:rFonts w:ascii="Arial" w:cs="Arial" w:eastAsia="Arial" w:hAnsi="Arial"/>
                <w:sz w:val="13"/>
                <w:szCs w:val="13"/>
                <w:color w:val="auto"/>
                <w:w w:val="99"/>
              </w:rPr>
              <w:t>Building Products Manufacturing</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24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7.00%/6.00%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7/3/2014</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8/30/2024</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14,498</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0"/>
              </w:rPr>
              <w:t>14,494</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11,757</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24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7.50%/7.50%</w:t>
            </w: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11/9/2018</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8/30/2024</w:t>
            </w:r>
          </w:p>
        </w:tc>
        <w:tc>
          <w:tcPr>
            <w:tcW w:w="10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4,660</w:t>
            </w: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8"/>
              </w:rPr>
              <w:t>4,660</w:t>
            </w: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4,660</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24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(2,522 units) (h)(j)</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7/3/2014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586</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24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Common Equity (425,508 units) (j)</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8/30/2019</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1"/>
                <w:szCs w:val="11"/>
                <w:color w:val="auto"/>
              </w:rPr>
            </w:pPr>
          </w:p>
        </w:tc>
        <w:tc>
          <w:tcPr>
            <w:tcW w:w="5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0"/>
              </w:rPr>
              <w:t>19,741</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16,417</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w:t>
            </w:r>
          </w:p>
        </w:tc>
      </w:tr>
      <w:tr>
        <w:trPr>
          <w:trHeight w:val="142"/>
        </w:trPr>
        <w:tc>
          <w:tcPr>
            <w:tcW w:w="324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Total Control Investments</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27,718</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21,820</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5%</w:t>
            </w: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2"/>
        </w:trPr>
        <w:tc>
          <w:tcPr>
            <w:tcW w:w="1280" w:type="dxa"/>
            <w:vAlign w:val="bottom"/>
            <w:tcBorders>
              <w:bottom w:val="single" w:sz="8" w:color="auto"/>
              <w:right w:val="single" w:sz="8" w:color="CCEEFF"/>
            </w:tcBorders>
            <w:gridSpan w:val="2"/>
            <w:shd w:val="clear" w:color="auto" w:fill="CCEEFF"/>
          </w:tcPr>
          <w:p>
            <w:pPr>
              <w:spacing w:after="0" w:line="115" w:lineRule="exact"/>
              <w:rPr>
                <w:sz w:val="20"/>
                <w:szCs w:val="20"/>
                <w:color w:val="auto"/>
              </w:rPr>
            </w:pPr>
            <w:r>
              <w:rPr>
                <w:rFonts w:ascii="Arial" w:cs="Arial" w:eastAsia="Arial" w:hAnsi="Arial"/>
                <w:sz w:val="13"/>
                <w:szCs w:val="13"/>
                <w:b w:val="1"/>
                <w:bCs w:val="1"/>
                <w:color w:val="auto"/>
                <w:w w:val="86"/>
              </w:rPr>
              <w:t>Affiliate Investments (l)</w:t>
            </w:r>
          </w:p>
        </w:tc>
        <w:tc>
          <w:tcPr>
            <w:tcW w:w="1960" w:type="dxa"/>
            <w:vAlign w:val="bottom"/>
            <w:tcBorders>
              <w:bottom w:val="single" w:sz="8" w:color="CCEEFF"/>
            </w:tcBorders>
            <w:shd w:val="clear" w:color="auto" w:fill="CCEEFF"/>
          </w:tcPr>
          <w:p>
            <w:pPr>
              <w:spacing w:after="0"/>
              <w:rPr>
                <w:sz w:val="10"/>
                <w:szCs w:val="10"/>
                <w:color w:val="auto"/>
              </w:rPr>
            </w:pPr>
          </w:p>
        </w:tc>
        <w:tc>
          <w:tcPr>
            <w:tcW w:w="17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r>
      <w:tr>
        <w:trPr>
          <w:trHeight w:val="135"/>
        </w:trPr>
        <w:tc>
          <w:tcPr>
            <w:tcW w:w="32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FAR Research Inc. (n)</w:t>
            </w:r>
          </w:p>
        </w:tc>
        <w:tc>
          <w:tcPr>
            <w:tcW w:w="1880" w:type="dxa"/>
            <w:vAlign w:val="bottom"/>
            <w:gridSpan w:val="3"/>
          </w:tcPr>
          <w:p>
            <w:pPr>
              <w:spacing w:after="0" w:line="135" w:lineRule="exact"/>
              <w:rPr>
                <w:sz w:val="20"/>
                <w:szCs w:val="20"/>
                <w:color w:val="auto"/>
              </w:rPr>
            </w:pPr>
            <w:r>
              <w:rPr>
                <w:rFonts w:ascii="Arial" w:cs="Arial" w:eastAsia="Arial" w:hAnsi="Arial"/>
                <w:sz w:val="13"/>
                <w:szCs w:val="13"/>
                <w:color w:val="auto"/>
              </w:rPr>
              <w:t>Specialty Chemicals</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24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(1,396 units)</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3/31/2014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w:t>
            </w:r>
          </w:p>
        </w:tc>
      </w:tr>
      <w:tr>
        <w:trPr>
          <w:trHeight w:val="242"/>
        </w:trPr>
        <w:tc>
          <w:tcPr>
            <w:tcW w:w="3240" w:type="dxa"/>
            <w:vAlign w:val="bottom"/>
            <w:gridSpan w:val="3"/>
          </w:tcPr>
          <w:p>
            <w:pPr>
              <w:spacing w:after="0"/>
              <w:rPr>
                <w:sz w:val="20"/>
                <w:szCs w:val="20"/>
                <w:color w:val="auto"/>
              </w:rPr>
            </w:pPr>
            <w:r>
              <w:rPr>
                <w:rFonts w:ascii="Arial" w:cs="Arial" w:eastAsia="Arial" w:hAnsi="Arial"/>
                <w:sz w:val="13"/>
                <w:szCs w:val="13"/>
                <w:i w:val="1"/>
                <w:iCs w:val="1"/>
                <w:color w:val="auto"/>
              </w:rPr>
              <w:t>Fiber Materials, Inc.</w:t>
            </w:r>
          </w:p>
        </w:tc>
        <w:tc>
          <w:tcPr>
            <w:tcW w:w="1880" w:type="dxa"/>
            <w:vAlign w:val="bottom"/>
            <w:gridSpan w:val="3"/>
          </w:tcPr>
          <w:p>
            <w:pPr>
              <w:spacing w:after="0"/>
              <w:rPr>
                <w:sz w:val="20"/>
                <w:szCs w:val="20"/>
                <w:color w:val="auto"/>
              </w:rPr>
            </w:pPr>
            <w:r>
              <w:rPr>
                <w:rFonts w:ascii="Arial" w:cs="Arial" w:eastAsia="Arial" w:hAnsi="Arial"/>
                <w:sz w:val="13"/>
                <w:szCs w:val="13"/>
                <w:color w:val="auto"/>
                <w:w w:val="87"/>
              </w:rPr>
              <w:t>Aerospace &amp; Defense Manufacturing</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35"/>
        </w:trPr>
        <w:tc>
          <w:tcPr>
            <w:tcW w:w="324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(10 units)</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11/30/2016</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645</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10,449</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r>
      <w:tr>
        <w:trPr>
          <w:trHeight w:val="242"/>
        </w:trPr>
        <w:tc>
          <w:tcPr>
            <w:tcW w:w="3240" w:type="dxa"/>
            <w:vAlign w:val="bottom"/>
            <w:gridSpan w:val="3"/>
          </w:tcPr>
          <w:p>
            <w:pPr>
              <w:spacing w:after="0"/>
              <w:rPr>
                <w:sz w:val="20"/>
                <w:szCs w:val="20"/>
                <w:color w:val="auto"/>
              </w:rPr>
            </w:pPr>
            <w:r>
              <w:rPr>
                <w:rFonts w:ascii="Arial" w:cs="Arial" w:eastAsia="Arial" w:hAnsi="Arial"/>
                <w:sz w:val="13"/>
                <w:szCs w:val="13"/>
                <w:i w:val="1"/>
                <w:iCs w:val="1"/>
                <w:color w:val="auto"/>
              </w:rPr>
              <w:t>Medsurant Holdings, LLC</w:t>
            </w:r>
          </w:p>
        </w:tc>
        <w:tc>
          <w:tcPr>
            <w:tcW w:w="1880" w:type="dxa"/>
            <w:vAlign w:val="bottom"/>
            <w:gridSpan w:val="3"/>
          </w:tcPr>
          <w:p>
            <w:pPr>
              <w:spacing w:after="0"/>
              <w:rPr>
                <w:sz w:val="20"/>
                <w:szCs w:val="20"/>
                <w:color w:val="auto"/>
              </w:rPr>
            </w:pPr>
            <w:r>
              <w:rPr>
                <w:rFonts w:ascii="Arial" w:cs="Arial" w:eastAsia="Arial" w:hAnsi="Arial"/>
                <w:sz w:val="13"/>
                <w:szCs w:val="13"/>
                <w:color w:val="auto"/>
              </w:rPr>
              <w:t>Healthcare Services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35"/>
        </w:trPr>
        <w:tc>
          <w:tcPr>
            <w:tcW w:w="324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13.00%/0.00%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12/18/2015</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6/30/2020</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8,823</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8"/>
              </w:rPr>
              <w:t>8,814</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8,823</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24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Preferred Equity (126,662 units) (h)</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4/12/2011</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8"/>
              </w:rPr>
              <w:t>1,346</w:t>
            </w: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1,780</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24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Warrant (505,176 units) (h)(m)</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4/12/2011</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8"/>
              </w:rPr>
              <w:t>4,516</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6,377</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14,676</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16,980</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4%</w:t>
            </w:r>
          </w:p>
        </w:tc>
      </w:tr>
      <w:tr>
        <w:trPr>
          <w:trHeight w:val="135"/>
        </w:trPr>
        <w:tc>
          <w:tcPr>
            <w:tcW w:w="32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Microbiology Research Associates, Inc.</w:t>
            </w:r>
          </w:p>
        </w:tc>
        <w:tc>
          <w:tcPr>
            <w:tcW w:w="18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Healthcare Services</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24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Subordinated Debt</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11.00%/1.50%</w:t>
            </w: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5/13/2015</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3/13/2022</w:t>
            </w:r>
          </w:p>
        </w:tc>
        <w:tc>
          <w:tcPr>
            <w:tcW w:w="10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8,930</w:t>
            </w: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8"/>
              </w:rPr>
              <w:t>8,921</w:t>
            </w: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8,930</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24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(1,625,731 units) (j)</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5/13/2015</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8"/>
              </w:rPr>
              <w:t>1,939</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2,681</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10,860</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11,611</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3%</w:t>
            </w:r>
          </w:p>
        </w:tc>
      </w:tr>
      <w:tr>
        <w:trPr>
          <w:trHeight w:val="135"/>
        </w:trPr>
        <w:tc>
          <w:tcPr>
            <w:tcW w:w="32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Mirage Trailers LLC</w:t>
            </w:r>
          </w:p>
        </w:tc>
        <w:tc>
          <w:tcPr>
            <w:tcW w:w="18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Utility Equipment Manufacturing</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24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3"/>
                <w:szCs w:val="13"/>
                <w:color w:val="auto"/>
                <w:w w:val="90"/>
              </w:rPr>
              <w:t>(L + 8.50%) / (1.00%)</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10.20%/4.50%</w:t>
            </w: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w w:val="89"/>
              </w:rPr>
              <w:t>11/25/2015</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6"/>
              </w:rPr>
              <w:t>11/25/2020</w:t>
            </w:r>
          </w:p>
        </w:tc>
        <w:tc>
          <w:tcPr>
            <w:tcW w:w="10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6,250</w:t>
            </w: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8"/>
              </w:rPr>
              <w:t>6,253</w:t>
            </w: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6,250</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24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(2,500,000 shares) (o)</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11/25/2015</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8"/>
              </w:rPr>
              <w:t>2,184</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968</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8,437</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7,218</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2%</w:t>
            </w:r>
          </w:p>
        </w:tc>
      </w:tr>
      <w:tr>
        <w:trPr>
          <w:trHeight w:val="135"/>
        </w:trPr>
        <w:tc>
          <w:tcPr>
            <w:tcW w:w="32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Pfanstiehl, Inc.</w:t>
            </w:r>
          </w:p>
        </w:tc>
        <w:tc>
          <w:tcPr>
            <w:tcW w:w="18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Healthcare Products</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24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Subordinated Debt</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10.50%/0.00%</w:t>
            </w: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3/29/2013</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9/29/2022</w:t>
            </w:r>
          </w:p>
        </w:tc>
        <w:tc>
          <w:tcPr>
            <w:tcW w:w="10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6,208</w:t>
            </w: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8"/>
              </w:rPr>
              <w:t>6,201</w:t>
            </w: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6,208</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24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(8,500 units) (j)</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3/29/2013</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850</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26,614</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7,051</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32,822</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8%</w:t>
            </w:r>
          </w:p>
        </w:tc>
      </w:tr>
      <w:tr>
        <w:trPr>
          <w:trHeight w:val="135"/>
        </w:trPr>
        <w:tc>
          <w:tcPr>
            <w:tcW w:w="32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Pinnergy, Ltd.</w:t>
            </w:r>
          </w:p>
        </w:tc>
        <w:tc>
          <w:tcPr>
            <w:tcW w:w="18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Oil &amp; Gas Services</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24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Common Equity - Class A-2 (42,500 units) (k)</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w w:val="89"/>
              </w:rPr>
              <w:t>10/13/2016</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8"/>
              </w:rPr>
              <w:t>3,000</w:t>
            </w:r>
          </w:p>
        </w:tc>
        <w:tc>
          <w:tcPr>
            <w:tcW w:w="6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29,831</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24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 Class B (1,000 units) (k)</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10/13/2016</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8"/>
              </w:rPr>
              <w:t>3,000</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3,147</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6,000</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32,978</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8%</w:t>
            </w:r>
          </w:p>
        </w:tc>
      </w:tr>
      <w:tr>
        <w:trPr>
          <w:trHeight w:val="135"/>
        </w:trPr>
        <w:tc>
          <w:tcPr>
            <w:tcW w:w="32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8"/>
              </w:rPr>
              <w:t>Steward Holding LLC (dba Steward Advanced Materials)</w:t>
            </w:r>
          </w:p>
        </w:tc>
        <w:tc>
          <w:tcPr>
            <w:tcW w:w="18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w w:val="87"/>
              </w:rPr>
              <w:t>Aerospace &amp; Defense Manufacturing</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24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12.00%/1.50%</w:t>
            </w: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w w:val="89"/>
              </w:rPr>
              <w:t>11/12/2015</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5/12/2021</w:t>
            </w:r>
          </w:p>
        </w:tc>
        <w:tc>
          <w:tcPr>
            <w:tcW w:w="10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7,667</w:t>
            </w: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8"/>
              </w:rPr>
              <w:t>7,659</w:t>
            </w: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7,667</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24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(1,000,000 units)</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11/12/2015</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8"/>
              </w:rPr>
              <w:t>1,000</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1,802</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9"/>
        </w:trPr>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8,659</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9,469</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2%</w:t>
            </w:r>
          </w:p>
        </w:tc>
      </w:tr>
      <w:tr>
        <w:trPr>
          <w:trHeight w:val="135"/>
        </w:trPr>
        <w:tc>
          <w:tcPr>
            <w:tcW w:w="32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Affiliate Investments</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0"/>
              </w:rPr>
              <w:t>56,328</w:t>
            </w:r>
          </w:p>
        </w:tc>
        <w:tc>
          <w:tcPr>
            <w:tcW w:w="60" w:type="dxa"/>
            <w:vAlign w:val="bottom"/>
            <w:shd w:val="clear" w:color="auto" w:fill="CCEEFF"/>
          </w:tcPr>
          <w:p>
            <w:pPr>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121,555</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30%</w:t>
            </w: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8"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96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Variable Index</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Rate (e)</w:t>
            </w: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w w:val="99"/>
              </w:rPr>
              <w:t>Investment</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Principal</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Fair</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1"/>
              </w:rPr>
              <w:t>Percent of</w:t>
            </w:r>
          </w:p>
        </w:tc>
      </w:tr>
      <w:tr>
        <w:trPr>
          <w:trHeight w:val="168"/>
        </w:trPr>
        <w:tc>
          <w:tcPr>
            <w:tcW w:w="1080" w:type="dxa"/>
            <w:vAlign w:val="bottom"/>
            <w:tcBorders>
              <w:bottom w:val="single" w:sz="8" w:color="auto"/>
            </w:tcBorders>
          </w:tcPr>
          <w:p>
            <w:pPr>
              <w:spacing w:after="0" w:line="148" w:lineRule="exact"/>
              <w:rPr>
                <w:sz w:val="20"/>
                <w:szCs w:val="20"/>
                <w:color w:val="auto"/>
              </w:rPr>
            </w:pPr>
            <w:r>
              <w:rPr>
                <w:rFonts w:ascii="Arial" w:cs="Arial" w:eastAsia="Arial" w:hAnsi="Arial"/>
                <w:sz w:val="13"/>
                <w:szCs w:val="13"/>
                <w:b w:val="1"/>
                <w:bCs w:val="1"/>
                <w:color w:val="auto"/>
                <w:w w:val="86"/>
              </w:rPr>
              <w:t>Investment Type (c)</w:t>
            </w:r>
          </w:p>
        </w:tc>
        <w:tc>
          <w:tcPr>
            <w:tcW w:w="1880" w:type="dxa"/>
            <w:vAlign w:val="bottom"/>
            <w:gridSpan w:val="2"/>
          </w:tcPr>
          <w:p>
            <w:pPr>
              <w:spacing w:after="0"/>
              <w:rPr>
                <w:sz w:val="14"/>
                <w:szCs w:val="14"/>
                <w:color w:val="auto"/>
              </w:rPr>
            </w:pPr>
          </w:p>
        </w:tc>
        <w:tc>
          <w:tcPr>
            <w:tcW w:w="2000" w:type="dxa"/>
            <w:vAlign w:val="bottom"/>
            <w:gridSpan w:val="2"/>
          </w:tcPr>
          <w:p>
            <w:pPr>
              <w:ind w:left="720"/>
              <w:spacing w:after="0" w:line="148" w:lineRule="exact"/>
              <w:rPr>
                <w:sz w:val="20"/>
                <w:szCs w:val="20"/>
                <w:color w:val="auto"/>
              </w:rPr>
            </w:pPr>
            <w:r>
              <w:rPr>
                <w:rFonts w:ascii="Arial" w:cs="Arial" w:eastAsia="Arial" w:hAnsi="Arial"/>
                <w:sz w:val="13"/>
                <w:szCs w:val="13"/>
                <w:b w:val="1"/>
                <w:bCs w:val="1"/>
                <w:color w:val="auto"/>
              </w:rPr>
              <w:t>Industry</w:t>
            </w:r>
          </w:p>
        </w:tc>
        <w:tc>
          <w:tcPr>
            <w:tcW w:w="128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89"/>
              </w:rPr>
              <w:t>Spread / Floor (d)</w:t>
            </w:r>
          </w:p>
        </w:tc>
        <w:tc>
          <w:tcPr>
            <w:tcW w:w="88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1"/>
              </w:rPr>
              <w:t>Cash/PIK</w:t>
            </w:r>
          </w:p>
        </w:tc>
        <w:tc>
          <w:tcPr>
            <w:tcW w:w="700" w:type="dxa"/>
            <w:vAlign w:val="bottom"/>
            <w:gridSpan w:val="2"/>
          </w:tcPr>
          <w:p>
            <w:pPr>
              <w:ind w:left="100"/>
              <w:spacing w:after="0" w:line="148" w:lineRule="exact"/>
              <w:rPr>
                <w:sz w:val="20"/>
                <w:szCs w:val="20"/>
                <w:color w:val="auto"/>
              </w:rPr>
            </w:pPr>
            <w:r>
              <w:rPr>
                <w:rFonts w:ascii="Arial" w:cs="Arial" w:eastAsia="Arial" w:hAnsi="Arial"/>
                <w:sz w:val="13"/>
                <w:szCs w:val="13"/>
                <w:b w:val="1"/>
                <w:bCs w:val="1"/>
                <w:color w:val="auto"/>
              </w:rPr>
              <w:t>Date (f)</w:t>
            </w:r>
          </w:p>
        </w:tc>
        <w:tc>
          <w:tcPr>
            <w:tcW w:w="680" w:type="dxa"/>
            <w:vAlign w:val="bottom"/>
            <w:gridSpan w:val="2"/>
          </w:tcPr>
          <w:p>
            <w:pPr>
              <w:ind w:left="40"/>
              <w:spacing w:after="0" w:line="148" w:lineRule="exact"/>
              <w:rPr>
                <w:sz w:val="20"/>
                <w:szCs w:val="20"/>
                <w:color w:val="auto"/>
              </w:rPr>
            </w:pPr>
            <w:r>
              <w:rPr>
                <w:rFonts w:ascii="Arial" w:cs="Arial" w:eastAsia="Arial" w:hAnsi="Arial"/>
                <w:sz w:val="13"/>
                <w:szCs w:val="13"/>
                <w:b w:val="1"/>
                <w:bCs w:val="1"/>
                <w:color w:val="auto"/>
              </w:rPr>
              <w:t>Maturity</w:t>
            </w:r>
          </w:p>
        </w:tc>
        <w:tc>
          <w:tcPr>
            <w:tcW w:w="62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89"/>
              </w:rPr>
              <w:t>Amount</w:t>
            </w:r>
          </w:p>
        </w:tc>
        <w:tc>
          <w:tcPr>
            <w:tcW w:w="56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rPr>
              <w:t>Cost</w:t>
            </w:r>
          </w:p>
        </w:tc>
        <w:tc>
          <w:tcPr>
            <w:tcW w:w="620" w:type="dxa"/>
            <w:vAlign w:val="bottom"/>
            <w:gridSpan w:val="2"/>
          </w:tcPr>
          <w:p>
            <w:pPr>
              <w:jc w:val="right"/>
              <w:ind w:right="140"/>
              <w:spacing w:after="0" w:line="148" w:lineRule="exact"/>
              <w:rPr>
                <w:sz w:val="20"/>
                <w:szCs w:val="20"/>
                <w:color w:val="auto"/>
              </w:rPr>
            </w:pPr>
            <w:r>
              <w:rPr>
                <w:rFonts w:ascii="Arial" w:cs="Arial" w:eastAsia="Arial" w:hAnsi="Arial"/>
                <w:sz w:val="13"/>
                <w:szCs w:val="13"/>
                <w:b w:val="1"/>
                <w:bCs w:val="1"/>
                <w:color w:val="auto"/>
                <w:w w:val="83"/>
              </w:rPr>
              <w:t>Value (g)</w:t>
            </w:r>
          </w:p>
        </w:tc>
        <w:tc>
          <w:tcPr>
            <w:tcW w:w="70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auto"/>
                <w:w w:val="77"/>
              </w:rPr>
              <w:t>Net Assets</w:t>
            </w:r>
          </w:p>
        </w:tc>
      </w:tr>
      <w:tr>
        <w:trPr>
          <w:trHeight w:val="108"/>
        </w:trPr>
        <w:tc>
          <w:tcPr>
            <w:tcW w:w="2340" w:type="dxa"/>
            <w:vAlign w:val="bottom"/>
            <w:tcBorders>
              <w:top w:val="single" w:sz="8" w:color="CCEEFF"/>
              <w:bottom w:val="single" w:sz="8" w:color="auto"/>
            </w:tcBorders>
            <w:gridSpan w:val="2"/>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Non-control/Non-affiliate Investments</w:t>
            </w:r>
          </w:p>
        </w:tc>
        <w:tc>
          <w:tcPr>
            <w:tcW w:w="620" w:type="dxa"/>
            <w:vAlign w:val="bottom"/>
            <w:tcBorders>
              <w:top w:val="single" w:sz="8" w:color="CCEEFF"/>
              <w:bottom w:val="single" w:sz="8" w:color="CCEEFF"/>
            </w:tcBorders>
            <w:shd w:val="clear" w:color="auto" w:fill="CCEEFF"/>
          </w:tcPr>
          <w:p>
            <w:pPr>
              <w:spacing w:after="0"/>
              <w:rPr>
                <w:sz w:val="9"/>
                <w:szCs w:val="9"/>
                <w:color w:val="auto"/>
              </w:rPr>
            </w:pPr>
          </w:p>
        </w:tc>
        <w:tc>
          <w:tcPr>
            <w:tcW w:w="192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20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78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50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420" w:type="dxa"/>
            <w:vAlign w:val="bottom"/>
            <w:tcBorders>
              <w:top w:val="single" w:sz="8" w:color="auto"/>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480" w:type="dxa"/>
            <w:vAlign w:val="bottom"/>
            <w:tcBorders>
              <w:top w:val="single" w:sz="8" w:color="auto"/>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r>
      <w:tr>
        <w:trPr>
          <w:trHeight w:val="128"/>
        </w:trPr>
        <w:tc>
          <w:tcPr>
            <w:tcW w:w="2960" w:type="dxa"/>
            <w:vAlign w:val="bottom"/>
            <w:gridSpan w:val="3"/>
          </w:tcPr>
          <w:p>
            <w:pPr>
              <w:spacing w:after="0" w:line="128" w:lineRule="exact"/>
              <w:rPr>
                <w:sz w:val="20"/>
                <w:szCs w:val="20"/>
                <w:color w:val="auto"/>
              </w:rPr>
            </w:pPr>
            <w:r>
              <w:rPr>
                <w:rFonts w:ascii="Arial" w:cs="Arial" w:eastAsia="Arial" w:hAnsi="Arial"/>
                <w:sz w:val="13"/>
                <w:szCs w:val="13"/>
                <w:i w:val="1"/>
                <w:iCs w:val="1"/>
                <w:color w:val="auto"/>
              </w:rPr>
              <w:t>Accent Food Services, LLC</w:t>
            </w:r>
          </w:p>
        </w:tc>
        <w:tc>
          <w:tcPr>
            <w:tcW w:w="2000" w:type="dxa"/>
            <w:vAlign w:val="bottom"/>
            <w:gridSpan w:val="2"/>
          </w:tcPr>
          <w:p>
            <w:pPr>
              <w:spacing w:after="0" w:line="128" w:lineRule="exact"/>
              <w:rPr>
                <w:sz w:val="20"/>
                <w:szCs w:val="20"/>
                <w:color w:val="auto"/>
              </w:rPr>
            </w:pPr>
            <w:r>
              <w:rPr>
                <w:rFonts w:ascii="Arial" w:cs="Arial" w:eastAsia="Arial" w:hAnsi="Arial"/>
                <w:sz w:val="13"/>
                <w:szCs w:val="13"/>
                <w:color w:val="auto"/>
                <w:w w:val="99"/>
              </w:rPr>
              <w:t>Vending Equipment Manufacturing</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96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 (k)(p)</w:t>
            </w: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10.00%/5.00%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11/30/2016</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5/30/2022</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8"/>
              </w:rPr>
              <w:t>$  33,842</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5"/>
              </w:rPr>
              <w:t>$33,760</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0"/>
              </w:rPr>
              <w:t>$ 31,626</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296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Subordinated Debt (j)(p)</w:t>
            </w: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8"/>
              </w:rPr>
              <w:t>000%/17.00%</w:t>
            </w: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6/28/2019</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5/30/2022</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1,567</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1,567</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1,441</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96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(7,885 units) (h)(j)</w:t>
            </w: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11/30/2016</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800</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227</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36,127</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33,294</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8%</w:t>
            </w:r>
          </w:p>
        </w:tc>
      </w:tr>
      <w:tr>
        <w:trPr>
          <w:trHeight w:val="135"/>
        </w:trPr>
        <w:tc>
          <w:tcPr>
            <w:tcW w:w="29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Allied 100 Group, Inc.</w:t>
            </w:r>
          </w:p>
        </w:tc>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Healthcare Products</w:t>
            </w: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296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Subordinated Debt (k)</w:t>
            </w: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11.25%/0.00%</w:t>
            </w: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7/31/2019</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5/26/2023</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21,500</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21,405</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21,405</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96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(1,250,000 units) (j)</w:t>
            </w: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11/26/2014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1,250</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1,465</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22,655</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22,870</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6%</w:t>
            </w:r>
          </w:p>
        </w:tc>
      </w:tr>
      <w:tr>
        <w:trPr>
          <w:trHeight w:val="135"/>
        </w:trPr>
        <w:tc>
          <w:tcPr>
            <w:tcW w:w="29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Alzheimer’s Research and Treatment Center, LLC</w:t>
            </w:r>
          </w:p>
        </w:tc>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Healthcare Services</w:t>
            </w: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296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First Lien Debt (j)(w)</w:t>
            </w: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90"/>
              </w:rPr>
              <w:t>(L + 5.75%) / (2.00%)</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7.75%/0.00%</w:t>
            </w: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w w:val="89"/>
              </w:rPr>
              <w:t>10/23/2018</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6"/>
              </w:rPr>
              <w:t>10/23/2023</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6,500</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6,461</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6,500</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96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(1,000 units) (h)(j)</w:t>
            </w: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10/23/2018</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1,000</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1,406</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7,461</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7,906</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2%</w:t>
            </w:r>
          </w:p>
        </w:tc>
      </w:tr>
      <w:tr>
        <w:trPr>
          <w:trHeight w:val="120"/>
        </w:trPr>
        <w:tc>
          <w:tcPr>
            <w:tcW w:w="29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i w:val="1"/>
                <w:iCs w:val="1"/>
                <w:color w:val="auto"/>
                <w:w w:val="97"/>
              </w:rPr>
              <w:t>American AllWaste LLC (dba WasteWater Transport</w:t>
            </w:r>
          </w:p>
        </w:tc>
        <w:tc>
          <w:tcPr>
            <w:tcW w:w="20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Environmental Industries</w:t>
            </w: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49"/>
        </w:trPr>
        <w:tc>
          <w:tcPr>
            <w:tcW w:w="2960" w:type="dxa"/>
            <w:vAlign w:val="bottom"/>
            <w:gridSpan w:val="3"/>
            <w:shd w:val="clear" w:color="auto" w:fill="CCEEFF"/>
          </w:tcPr>
          <w:p>
            <w:pPr>
              <w:ind w:left="140"/>
              <w:spacing w:after="0"/>
              <w:rPr>
                <w:sz w:val="20"/>
                <w:szCs w:val="20"/>
                <w:color w:val="auto"/>
              </w:rPr>
            </w:pPr>
            <w:r>
              <w:rPr>
                <w:rFonts w:ascii="Arial" w:cs="Arial" w:eastAsia="Arial" w:hAnsi="Arial"/>
                <w:sz w:val="13"/>
                <w:szCs w:val="13"/>
                <w:i w:val="1"/>
                <w:iCs w:val="1"/>
                <w:color w:val="auto"/>
              </w:rPr>
              <w:t>Services)</w:t>
            </w:r>
          </w:p>
        </w:tc>
        <w:tc>
          <w:tcPr>
            <w:tcW w:w="1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35"/>
        </w:trPr>
        <w:tc>
          <w:tcPr>
            <w:tcW w:w="296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Second Lien Debt (j)</w:t>
            </w: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9"/>
              </w:rPr>
              <w:t>(L + 11.00%) / (2.00%)</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13.00%/0.00%</w:t>
            </w: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5/31/2018</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6"/>
              </w:rPr>
              <w:t>11/30/2023</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17,503</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17,411</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17,503</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96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Preferred Equity (500 units) (h)(j)</w:t>
            </w: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5/31/2018</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500</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540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296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Preferred Equity (207 units) (h)(j)</w:t>
            </w: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8/6/2019</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250</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18,161</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18,293</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w:t>
            </w:r>
          </w:p>
        </w:tc>
      </w:tr>
      <w:tr>
        <w:trPr>
          <w:trHeight w:val="135"/>
        </w:trPr>
        <w:tc>
          <w:tcPr>
            <w:tcW w:w="29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Argo Turboserve Corporation</w:t>
            </w:r>
          </w:p>
        </w:tc>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Business Services</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96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 (j)</w:t>
            </w: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90"/>
              </w:rPr>
              <w:t>(L + 9.75%) / (2.00%)</w:t>
            </w: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11.84%/0.00%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12/26/2018</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6/28/2023</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14,156</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14,098</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14,156</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r>
      <w:tr>
        <w:trPr>
          <w:trHeight w:val="242"/>
        </w:trPr>
        <w:tc>
          <w:tcPr>
            <w:tcW w:w="2960" w:type="dxa"/>
            <w:vAlign w:val="bottom"/>
            <w:gridSpan w:val="3"/>
          </w:tcPr>
          <w:p>
            <w:pPr>
              <w:spacing w:after="0"/>
              <w:rPr>
                <w:sz w:val="20"/>
                <w:szCs w:val="20"/>
                <w:color w:val="auto"/>
              </w:rPr>
            </w:pPr>
            <w:r>
              <w:rPr>
                <w:rFonts w:ascii="Arial" w:cs="Arial" w:eastAsia="Arial" w:hAnsi="Arial"/>
                <w:sz w:val="13"/>
                <w:szCs w:val="13"/>
                <w:i w:val="1"/>
                <w:iCs w:val="1"/>
                <w:color w:val="auto"/>
              </w:rPr>
              <w:t>AVC Investors, LLC (dba Auveco)</w:t>
            </w:r>
          </w:p>
        </w:tc>
        <w:tc>
          <w:tcPr>
            <w:tcW w:w="2000" w:type="dxa"/>
            <w:vAlign w:val="bottom"/>
            <w:gridSpan w:val="2"/>
          </w:tcPr>
          <w:p>
            <w:pPr>
              <w:spacing w:after="0"/>
              <w:rPr>
                <w:sz w:val="20"/>
                <w:szCs w:val="20"/>
                <w:color w:val="auto"/>
              </w:rPr>
            </w:pPr>
            <w:r>
              <w:rPr>
                <w:rFonts w:ascii="Arial" w:cs="Arial" w:eastAsia="Arial" w:hAnsi="Arial"/>
                <w:sz w:val="13"/>
                <w:szCs w:val="13"/>
                <w:color w:val="auto"/>
              </w:rPr>
              <w:t>Specialty Distribution</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35"/>
        </w:trPr>
        <w:tc>
          <w:tcPr>
            <w:tcW w:w="296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11.50%/0.00%.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1/3/2018</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7/3/2023</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22,500</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22,427</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22,500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296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Common Equity (5,000 units) (j)</w:t>
            </w: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1/3/2018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490</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776</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22,917</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23,276</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w:t>
            </w:r>
          </w:p>
        </w:tc>
      </w:tr>
      <w:tr>
        <w:trPr>
          <w:trHeight w:val="135"/>
        </w:trPr>
        <w:tc>
          <w:tcPr>
            <w:tcW w:w="29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B&amp;B Roadway and Security Solutions, LLC</w:t>
            </w:r>
          </w:p>
        </w:tc>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Component Manufacturing</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96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10.50%/3.50%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2/27/2018</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8/27/2023</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10,493</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10,456</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9,569</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296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Common Equity (50,000 units) (h)(j)</w:t>
            </w: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2/27/2018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500</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10,956</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9,769</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r>
      <w:tr>
        <w:trPr>
          <w:trHeight w:val="135"/>
        </w:trPr>
        <w:tc>
          <w:tcPr>
            <w:tcW w:w="29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Bandon Fitness (Texas), Inc.</w:t>
            </w:r>
          </w:p>
        </w:tc>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Retail</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96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First Lien Debt (j)(z)</w:t>
            </w: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90"/>
              </w:rPr>
              <w:t>(L + 6.00%) / (2.25%)</w:t>
            </w: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8.25%/0.00%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8/9/2019</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8/9/2024</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13,250</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12,785</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12,785</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296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Common Equity (497,549 units) (j)</w:t>
            </w: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8/9/2019</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849</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849</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13,634</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13,634</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r>
      <w:tr>
        <w:trPr>
          <w:trHeight w:val="135"/>
        </w:trPr>
        <w:tc>
          <w:tcPr>
            <w:tcW w:w="29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BCC Group Holdings, Inc.</w:t>
            </w:r>
          </w:p>
        </w:tc>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Information Technology Services</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96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Subordinated Debt</w:t>
            </w: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11.00%/1.00%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1/28/2019</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4/11/2023</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18,167</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18,027</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18,167</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296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Common Equity(451 shares)</w:t>
            </w: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1/28/2019</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232</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167</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96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Preferred Equity (14 shares)</w:t>
            </w: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1/28/2019</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143</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143</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18,402</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18,477</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4%</w:t>
            </w:r>
          </w:p>
        </w:tc>
      </w:tr>
      <w:tr>
        <w:trPr>
          <w:trHeight w:val="135"/>
        </w:trPr>
        <w:tc>
          <w:tcPr>
            <w:tcW w:w="29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BCM One Group Holdings, Inc.</w:t>
            </w:r>
          </w:p>
        </w:tc>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Information Technology Services</w:t>
            </w: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296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Subordinated Debt (k)</w:t>
            </w: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11.00%/0.00%</w:t>
            </w: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1/3/2019</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7/3/2024</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27,000</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26,888</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27,000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96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(2,286 shares)</w:t>
            </w: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1/3/2019</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332</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296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Preferred Equity (133 shares)</w:t>
            </w: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1/3/2019</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1,330</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1,330</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28,220</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28,662</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w:t>
            </w:r>
          </w:p>
        </w:tc>
      </w:tr>
      <w:tr>
        <w:trPr>
          <w:trHeight w:val="135"/>
        </w:trPr>
        <w:tc>
          <w:tcPr>
            <w:tcW w:w="29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Bedford Precision Parts LLC</w:t>
            </w:r>
          </w:p>
        </w:tc>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Specialty Distribution</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96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First Lien Debt (j)(s)</w:t>
            </w: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90"/>
              </w:rPr>
              <w:t>(L + 6.25%) / (2.00%)</w:t>
            </w: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8.25%/0.00%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3/12/2019</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3/12/2024</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5,000</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4,969</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5,000</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296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Common Equity (500,000 units)(h)(j)</w:t>
            </w: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3/12/2019</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500</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445</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5,469</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5,445</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w:t>
            </w:r>
          </w:p>
        </w:tc>
      </w:tr>
      <w:tr>
        <w:trPr>
          <w:trHeight w:val="135"/>
        </w:trPr>
        <w:tc>
          <w:tcPr>
            <w:tcW w:w="29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w w:val="95"/>
              </w:rPr>
              <w:t>Cardboard Box LLC (dba Anthony’s Coal Fired Pizza)</w:t>
            </w:r>
          </w:p>
        </w:tc>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Restaurants</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96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(521,021 units) (j)</w:t>
            </w: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12/15/2015</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521</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296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Preferred Equity (99,889 units)(j)</w:t>
            </w: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12/6/2019</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49</w:t>
            </w:r>
          </w:p>
        </w:tc>
        <w:tc>
          <w:tcPr>
            <w:tcW w:w="14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146</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570</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259</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w:t>
            </w:r>
          </w:p>
        </w:tc>
      </w:tr>
      <w:tr>
        <w:trPr>
          <w:trHeight w:val="135"/>
        </w:trPr>
        <w:tc>
          <w:tcPr>
            <w:tcW w:w="29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Control Scan, Inc.</w:t>
            </w:r>
          </w:p>
        </w:tc>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Information Technology Services</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96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Subordinated Debt (j)</w:t>
            </w: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11.00%/0.00%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7/28/2017</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1/28/2023</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6,750</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6,731</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6,750</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296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Common Equity (3,704 shares)(j)</w:t>
            </w: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7/28/2017</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624</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96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Preferred Equity (100 shares) (j)</w:t>
            </w: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7/28/2017</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996</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996</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7,731</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8,370</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2%</w:t>
            </w:r>
          </w:p>
        </w:tc>
      </w:tr>
      <w:tr>
        <w:trPr>
          <w:trHeight w:val="135"/>
        </w:trPr>
        <w:tc>
          <w:tcPr>
            <w:tcW w:w="29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CRS Solutions Holdings, LLC (dba CRS Texas)</w:t>
            </w:r>
          </w:p>
        </w:tc>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Business Services</w:t>
            </w: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296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10.50%/1.00%</w:t>
            </w: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3/14/2018</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9/14/2023</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9,166</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9,136</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9,166</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96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(750,000 units) (h)(j)</w:t>
            </w: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3/14/2018</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750</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822</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9,886</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9,988</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2%</w:t>
            </w:r>
          </w:p>
        </w:tc>
      </w:tr>
      <w:tr>
        <w:trPr>
          <w:trHeight w:val="135"/>
        </w:trPr>
        <w:tc>
          <w:tcPr>
            <w:tcW w:w="29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Diversified Search LLC</w:t>
            </w:r>
          </w:p>
        </w:tc>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Business Services</w:t>
            </w: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296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First Lien Debt (k)(r)</w:t>
            </w: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90"/>
              </w:rPr>
              <w:t>(L + 5.75%) / (1.75%)</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7.69%/0.00%</w:t>
            </w: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2/7/2019</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2/7/2024</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15,155</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14,939</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15,155</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96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(573 units) (h)(j)</w:t>
            </w: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2/7/2019</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593</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724</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15,532</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15,879</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4%</w:t>
            </w:r>
          </w:p>
        </w:tc>
      </w:tr>
      <w:tr>
        <w:trPr>
          <w:trHeight w:val="135"/>
        </w:trPr>
        <w:tc>
          <w:tcPr>
            <w:tcW w:w="29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EBL, LLC (EbLens)</w:t>
            </w:r>
          </w:p>
        </w:tc>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Retail</w:t>
            </w: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296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Second Lien Debt (j)</w:t>
            </w: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12.00%/1.00%</w:t>
            </w: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7/13/2017</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1/13/2023</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9,484</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9,433</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9,484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96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(75,000 units) (j)</w:t>
            </w: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7/13/2017</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750</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669</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1"/>
        </w:trPr>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10,183</w:t>
            </w:r>
          </w:p>
        </w:tc>
        <w:tc>
          <w:tcPr>
            <w:tcW w:w="14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10,153</w:t>
            </w:r>
          </w:p>
        </w:tc>
        <w:tc>
          <w:tcPr>
            <w:tcW w:w="14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r>
    </w:tbl>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8"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Consolidated Schedule of Investments</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120"/>
          </w:cols>
          <w:pgMar w:left="320" w:top="458" w:right="459" w:bottom="1440" w:gutter="0" w:footer="0" w:header="0"/>
        </w:sectPr>
      </w:pPr>
    </w:p>
    <w:p>
      <w:pPr>
        <w:spacing w:after="0" w:line="23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Portfolio Company (a)(b)</w:t>
      </w:r>
    </w:p>
    <w:p>
      <w:pPr>
        <w:ind w:left="120"/>
        <w:spacing w:after="0" w:line="237" w:lineRule="auto"/>
        <w:rPr>
          <w:sz w:val="20"/>
          <w:szCs w:val="20"/>
          <w:color w:val="auto"/>
        </w:rPr>
      </w:pPr>
      <w:r>
        <w:rPr>
          <w:rFonts w:ascii="Arial" w:cs="Arial" w:eastAsia="Arial" w:hAnsi="Arial"/>
          <w:sz w:val="13"/>
          <w:szCs w:val="13"/>
          <w:b w:val="1"/>
          <w:bCs w:val="1"/>
          <w:u w:val="single" w:color="auto"/>
          <w:color w:val="auto"/>
        </w:rPr>
        <w:t>Investment Type (c)</w:t>
      </w:r>
    </w:p>
    <w:p>
      <w:pPr>
        <w:ind w:left="120"/>
        <w:spacing w:after="0" w:line="238" w:lineRule="auto"/>
        <w:rPr>
          <w:sz w:val="20"/>
          <w:szCs w:val="20"/>
          <w:color w:val="auto"/>
        </w:rPr>
      </w:pPr>
      <w:r>
        <w:rPr>
          <w:rFonts w:ascii="Arial" w:cs="Arial" w:eastAsia="Arial" w:hAnsi="Arial"/>
          <w:sz w:val="13"/>
          <w:szCs w:val="13"/>
          <w:i w:val="1"/>
          <w:iCs w:val="1"/>
          <w:color w:val="auto"/>
        </w:rPr>
        <w:t>French Transit, LLC</w:t>
      </w:r>
    </w:p>
    <w:p>
      <w:pPr>
        <w:ind w:left="380"/>
        <w:spacing w:after="0" w:line="216" w:lineRule="auto"/>
        <w:rPr>
          <w:sz w:val="20"/>
          <w:szCs w:val="20"/>
          <w:color w:val="auto"/>
        </w:rPr>
      </w:pPr>
      <w:r>
        <w:rPr>
          <w:rFonts w:ascii="Arial" w:cs="Arial" w:eastAsia="Arial" w:hAnsi="Arial"/>
          <w:sz w:val="13"/>
          <w:szCs w:val="13"/>
          <w:color w:val="auto"/>
        </w:rPr>
        <w:t>First Lien Debt (j)</w:t>
      </w:r>
    </w:p>
    <w:p>
      <w:pPr>
        <w:jc w:val="right"/>
        <w:spacing w:after="0" w:line="223" w:lineRule="auto"/>
        <w:rPr>
          <w:sz w:val="20"/>
          <w:szCs w:val="20"/>
          <w:color w:val="auto"/>
        </w:rPr>
      </w:pPr>
      <w:r>
        <w:rPr>
          <w:rFonts w:ascii="Arial" w:cs="Arial" w:eastAsia="Arial" w:hAnsi="Arial"/>
          <w:sz w:val="13"/>
          <w:szCs w:val="13"/>
          <w:color w:val="auto"/>
        </w:rPr>
        <w:t>Revolving Loan ($1,000 commitment) (j)(u)</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1740" w:type="dxa"/>
            <w:vAlign w:val="bottom"/>
            <w:gridSpan w:val="2"/>
          </w:tcPr>
          <w:p>
            <w:pPr>
              <w:jc w:val="center"/>
              <w:ind w:left="217"/>
              <w:spacing w:after="0"/>
              <w:rPr>
                <w:sz w:val="20"/>
                <w:szCs w:val="20"/>
                <w:color w:val="auto"/>
              </w:rPr>
            </w:pPr>
            <w:r>
              <w:rPr>
                <w:rFonts w:ascii="Arial" w:cs="Arial" w:eastAsia="Arial" w:hAnsi="Arial"/>
                <w:sz w:val="13"/>
                <w:szCs w:val="13"/>
                <w:b w:val="1"/>
                <w:bCs w:val="1"/>
                <w:color w:val="auto"/>
                <w:w w:val="88"/>
              </w:rPr>
              <w:t>Variable Index</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Rate (e)</w:t>
            </w: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w w:val="99"/>
              </w:rPr>
              <w:t>Investment</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Principal</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Fair</w:t>
            </w:r>
          </w:p>
        </w:tc>
        <w:tc>
          <w:tcPr>
            <w:tcW w:w="560" w:type="dxa"/>
            <w:vAlign w:val="bottom"/>
          </w:tcPr>
          <w:p>
            <w:pPr>
              <w:spacing w:after="0"/>
              <w:rPr>
                <w:sz w:val="20"/>
                <w:szCs w:val="20"/>
                <w:color w:val="auto"/>
              </w:rPr>
            </w:pPr>
            <w:r>
              <w:rPr>
                <w:rFonts w:ascii="Arial" w:cs="Arial" w:eastAsia="Arial" w:hAnsi="Arial"/>
                <w:sz w:val="13"/>
                <w:szCs w:val="13"/>
                <w:b w:val="1"/>
                <w:bCs w:val="1"/>
                <w:color w:val="auto"/>
                <w:w w:val="84"/>
              </w:rPr>
              <w:t>Percent of</w:t>
            </w:r>
          </w:p>
        </w:tc>
        <w:tc>
          <w:tcPr>
            <w:tcW w:w="0" w:type="dxa"/>
            <w:vAlign w:val="bottom"/>
          </w:tcPr>
          <w:p>
            <w:pPr>
              <w:spacing w:after="0"/>
              <w:rPr>
                <w:sz w:val="1"/>
                <w:szCs w:val="1"/>
                <w:color w:val="auto"/>
              </w:rPr>
            </w:pPr>
          </w:p>
        </w:tc>
      </w:tr>
      <w:tr>
        <w:trPr>
          <w:trHeight w:val="162"/>
        </w:trPr>
        <w:tc>
          <w:tcPr>
            <w:tcW w:w="1660" w:type="dxa"/>
            <w:vAlign w:val="bottom"/>
          </w:tcPr>
          <w:p>
            <w:pPr>
              <w:ind w:left="740"/>
              <w:spacing w:after="0"/>
              <w:rPr>
                <w:sz w:val="20"/>
                <w:szCs w:val="20"/>
                <w:color w:val="auto"/>
              </w:rPr>
            </w:pPr>
            <w:r>
              <w:rPr>
                <w:rFonts w:ascii="Arial" w:cs="Arial" w:eastAsia="Arial" w:hAnsi="Arial"/>
                <w:sz w:val="13"/>
                <w:szCs w:val="13"/>
                <w:b w:val="1"/>
                <w:bCs w:val="1"/>
                <w:color w:val="auto"/>
              </w:rPr>
              <w:t>Industry</w:t>
            </w:r>
          </w:p>
        </w:tc>
        <w:tc>
          <w:tcPr>
            <w:tcW w:w="1640" w:type="dxa"/>
            <w:vAlign w:val="bottom"/>
          </w:tcPr>
          <w:p>
            <w:pPr>
              <w:jc w:val="center"/>
              <w:ind w:left="317"/>
              <w:spacing w:after="0"/>
              <w:rPr>
                <w:sz w:val="20"/>
                <w:szCs w:val="20"/>
                <w:color w:val="auto"/>
              </w:rPr>
            </w:pPr>
            <w:r>
              <w:rPr>
                <w:rFonts w:ascii="Arial" w:cs="Arial" w:eastAsia="Arial" w:hAnsi="Arial"/>
                <w:sz w:val="13"/>
                <w:szCs w:val="13"/>
                <w:b w:val="1"/>
                <w:bCs w:val="1"/>
                <w:color w:val="auto"/>
                <w:w w:val="87"/>
              </w:rPr>
              <w:t>Spread / Floor (d)</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4"/>
              </w:rPr>
              <w:t>Cash/PIK</w:t>
            </w:r>
          </w:p>
        </w:tc>
        <w:tc>
          <w:tcPr>
            <w:tcW w:w="100" w:type="dxa"/>
            <w:vAlign w:val="bottom"/>
          </w:tcPr>
          <w:p>
            <w:pPr>
              <w:spacing w:after="0"/>
              <w:rPr>
                <w:sz w:val="14"/>
                <w:szCs w:val="1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b w:val="1"/>
                <w:bCs w:val="1"/>
                <w:color w:val="auto"/>
              </w:rPr>
              <w:t>Date (f)</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Maturity</w:t>
            </w:r>
          </w:p>
        </w:tc>
        <w:tc>
          <w:tcPr>
            <w:tcW w:w="1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Value (g)</w:t>
            </w:r>
          </w:p>
        </w:tc>
        <w:tc>
          <w:tcPr>
            <w:tcW w:w="560" w:type="dxa"/>
            <w:vAlign w:val="bottom"/>
          </w:tcPr>
          <w:p>
            <w:pPr>
              <w:spacing w:after="0"/>
              <w:rPr>
                <w:sz w:val="20"/>
                <w:szCs w:val="20"/>
                <w:color w:val="auto"/>
              </w:rPr>
            </w:pPr>
            <w:r>
              <w:rPr>
                <w:rFonts w:ascii="Arial" w:cs="Arial" w:eastAsia="Arial" w:hAnsi="Arial"/>
                <w:sz w:val="13"/>
                <w:szCs w:val="13"/>
                <w:b w:val="1"/>
                <w:bCs w:val="1"/>
                <w:color w:val="auto"/>
                <w:w w:val="80"/>
              </w:rPr>
              <w:t>Net Assets</w:t>
            </w: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660" w:type="dxa"/>
            <w:vAlign w:val="bottom"/>
          </w:tcPr>
          <w:p>
            <w:pPr>
              <w:ind w:left="20"/>
              <w:spacing w:after="0"/>
              <w:rPr>
                <w:sz w:val="20"/>
                <w:szCs w:val="20"/>
                <w:color w:val="auto"/>
              </w:rPr>
            </w:pPr>
            <w:r>
              <w:rPr>
                <w:rFonts w:ascii="Arial" w:cs="Arial" w:eastAsia="Arial" w:hAnsi="Arial"/>
                <w:sz w:val="13"/>
                <w:szCs w:val="13"/>
                <w:color w:val="auto"/>
              </w:rPr>
              <w:t>Consumer Products</w:t>
            </w:r>
          </w:p>
        </w:tc>
        <w:tc>
          <w:tcPr>
            <w:tcW w:w="1640" w:type="dxa"/>
            <w:vAlign w:val="bottom"/>
            <w:vMerge w:val="restart"/>
          </w:tcPr>
          <w:p>
            <w:pPr>
              <w:jc w:val="center"/>
              <w:ind w:left="317"/>
              <w:spacing w:after="0"/>
              <w:rPr>
                <w:sz w:val="20"/>
                <w:szCs w:val="20"/>
                <w:color w:val="auto"/>
              </w:rPr>
            </w:pPr>
            <w:r>
              <w:rPr>
                <w:rFonts w:ascii="Arial" w:cs="Arial" w:eastAsia="Arial" w:hAnsi="Arial"/>
                <w:sz w:val="13"/>
                <w:szCs w:val="13"/>
                <w:color w:val="auto"/>
                <w:w w:val="88"/>
              </w:rPr>
              <w:t>(L + 9.00%) / (2.25%)</w:t>
            </w:r>
          </w:p>
        </w:tc>
        <w:tc>
          <w:tcPr>
            <w:tcW w:w="100" w:type="dxa"/>
            <w:vAlign w:val="bottom"/>
            <w:vMerge w:val="restart"/>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7"/>
              </w:rPr>
              <w:t>11.25%/0.00%</w:t>
            </w:r>
          </w:p>
        </w:tc>
        <w:tc>
          <w:tcPr>
            <w:tcW w:w="100" w:type="dxa"/>
            <w:vAlign w:val="bottom"/>
          </w:tcPr>
          <w:p>
            <w:pPr>
              <w:spacing w:after="0"/>
              <w:rPr>
                <w:sz w:val="13"/>
                <w:szCs w:val="13"/>
                <w:color w:val="auto"/>
              </w:rPr>
            </w:pPr>
          </w:p>
        </w:tc>
        <w:tc>
          <w:tcPr>
            <w:tcW w:w="60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6/21/2019</w:t>
            </w:r>
          </w:p>
        </w:tc>
        <w:tc>
          <w:tcPr>
            <w:tcW w:w="1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w w:val="96"/>
              </w:rPr>
              <w:t>6/21/2024</w:t>
            </w:r>
          </w:p>
        </w:tc>
        <w:tc>
          <w:tcPr>
            <w:tcW w:w="100" w:type="dxa"/>
            <w:vAlign w:val="bottom"/>
            <w:vMerge w:val="restart"/>
          </w:tcPr>
          <w:p>
            <w:pPr>
              <w:spacing w:after="0"/>
              <w:rPr>
                <w:sz w:val="13"/>
                <w:szCs w:val="13"/>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98"/>
              </w:rPr>
              <w:t>$   8,000</w:t>
            </w:r>
          </w:p>
        </w:tc>
        <w:tc>
          <w:tcPr>
            <w:tcW w:w="120" w:type="dxa"/>
            <w:vAlign w:val="bottom"/>
            <w:vMerge w:val="restart"/>
          </w:tcPr>
          <w:p>
            <w:pPr>
              <w:spacing w:after="0"/>
              <w:rPr>
                <w:sz w:val="13"/>
                <w:szCs w:val="13"/>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w w:val="92"/>
              </w:rPr>
              <w:t>$ 7,964</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  8,000</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66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740" w:type="dxa"/>
            <w:vAlign w:val="bottom"/>
            <w:gridSpan w:val="2"/>
          </w:tcPr>
          <w:p>
            <w:pPr>
              <w:jc w:val="center"/>
              <w:ind w:left="217"/>
              <w:spacing w:after="0"/>
              <w:rPr>
                <w:sz w:val="20"/>
                <w:szCs w:val="20"/>
                <w:color w:val="auto"/>
              </w:rPr>
            </w:pPr>
            <w:r>
              <w:rPr>
                <w:rFonts w:ascii="Arial" w:cs="Arial" w:eastAsia="Arial" w:hAnsi="Arial"/>
                <w:sz w:val="13"/>
                <w:szCs w:val="13"/>
                <w:color w:val="auto"/>
                <w:w w:val="91"/>
              </w:rPr>
              <w:t>(L + 9.00%) / (2.25%)</w:t>
            </w:r>
          </w:p>
        </w:tc>
        <w:tc>
          <w:tcPr>
            <w:tcW w:w="820" w:type="dxa"/>
            <w:vAlign w:val="bottom"/>
          </w:tcPr>
          <w:p>
            <w:pPr>
              <w:jc w:val="center"/>
              <w:spacing w:after="0"/>
              <w:rPr>
                <w:sz w:val="20"/>
                <w:szCs w:val="20"/>
                <w:color w:val="auto"/>
              </w:rPr>
            </w:pPr>
            <w:r>
              <w:rPr>
                <w:rFonts w:ascii="Arial" w:cs="Arial" w:eastAsia="Arial" w:hAnsi="Arial"/>
                <w:sz w:val="13"/>
                <w:szCs w:val="13"/>
                <w:color w:val="auto"/>
                <w:w w:val="87"/>
              </w:rPr>
              <w:t>11.25%/0.00%</w:t>
            </w:r>
          </w:p>
        </w:tc>
        <w:tc>
          <w:tcPr>
            <w:tcW w:w="100" w:type="dxa"/>
            <w:vAlign w:val="bottom"/>
          </w:tcPr>
          <w:p>
            <w:pPr>
              <w:spacing w:after="0"/>
              <w:rPr>
                <w:sz w:val="12"/>
                <w:szCs w:val="1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w w:val="82"/>
              </w:rPr>
              <w:t>6/21/2019</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6/21/2024</w:t>
            </w: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(4)</w:t>
            </w: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-264795</wp:posOffset>
            </wp:positionV>
            <wp:extent cx="6978650" cy="939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78650" cy="93980"/>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-85090</wp:posOffset>
            </wp:positionV>
            <wp:extent cx="6978650" cy="857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78650" cy="857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620" w:space="260"/>
            <w:col w:w="8240"/>
          </w:cols>
          <w:pgMar w:left="320" w:top="458" w:right="459" w:bottom="1440" w:gutter="0" w:footer="0" w:header="0"/>
          <w:type w:val="continuous"/>
        </w:sectPr>
      </w:pPr>
    </w:p>
    <w:tbl>
      <w:tblPr>
        <w:tblLayout w:type="fixed"/>
        <w:tblInd w:w="120" w:type="dxa"/>
        <w:tblCellMar>
          <w:top w:w="0" w:type="dxa"/>
          <w:left w:w="0" w:type="dxa"/>
          <w:bottom w:w="0" w:type="dxa"/>
          <w:right w:w="0" w:type="dxa"/>
        </w:tblCellMar>
      </w:tblPr>
      <w:tr>
        <w:trPr>
          <w:trHeight w:val="142"/>
        </w:trPr>
        <w:tc>
          <w:tcPr>
            <w:tcW w:w="27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7,960</w:t>
            </w:r>
          </w:p>
        </w:tc>
        <w:tc>
          <w:tcPr>
            <w:tcW w:w="18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8,000</w:t>
            </w:r>
          </w:p>
        </w:tc>
        <w:tc>
          <w:tcPr>
            <w:tcW w:w="32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2%</w:t>
            </w:r>
          </w:p>
        </w:tc>
      </w:tr>
      <w:tr>
        <w:trPr>
          <w:trHeight w:val="135"/>
        </w:trPr>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Global Plasma Solutions, Inc.</w:t>
            </w:r>
          </w:p>
        </w:tc>
        <w:tc>
          <w:tcPr>
            <w:tcW w:w="338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Component Manufacturing</w:t>
            </w: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35"/>
        </w:trPr>
        <w:tc>
          <w:tcPr>
            <w:tcW w:w="2720" w:type="dxa"/>
            <w:vAlign w:val="bottom"/>
          </w:tcPr>
          <w:p>
            <w:pPr>
              <w:ind w:left="260"/>
              <w:spacing w:after="0" w:line="135" w:lineRule="exact"/>
              <w:rPr>
                <w:sz w:val="20"/>
                <w:szCs w:val="20"/>
                <w:color w:val="auto"/>
              </w:rPr>
            </w:pPr>
            <w:r>
              <w:rPr>
                <w:rFonts w:ascii="Arial" w:cs="Arial" w:eastAsia="Arial" w:hAnsi="Arial"/>
                <w:sz w:val="13"/>
                <w:szCs w:val="13"/>
                <w:color w:val="auto"/>
              </w:rPr>
              <w:t>First Lien Debt (j)(v)</w:t>
            </w:r>
          </w:p>
        </w:tc>
        <w:tc>
          <w:tcPr>
            <w:tcW w:w="3380" w:type="dxa"/>
            <w:vAlign w:val="bottom"/>
          </w:tcPr>
          <w:p>
            <w:pPr>
              <w:ind w:left="2140"/>
              <w:spacing w:after="0" w:line="135" w:lineRule="exact"/>
              <w:rPr>
                <w:sz w:val="20"/>
                <w:szCs w:val="20"/>
                <w:color w:val="auto"/>
              </w:rPr>
            </w:pPr>
            <w:r>
              <w:rPr>
                <w:rFonts w:ascii="Arial" w:cs="Arial" w:eastAsia="Arial" w:hAnsi="Arial"/>
                <w:sz w:val="13"/>
                <w:szCs w:val="13"/>
                <w:color w:val="auto"/>
                <w:w w:val="98"/>
              </w:rPr>
              <w:t>(L + 5.00%) / (2.00%)</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0"/>
              </w:rPr>
              <w:t>7.10%/0.00%</w:t>
            </w: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rPr>
              <w:t>9/21/2018</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9/21/2023</w:t>
            </w:r>
          </w:p>
        </w:tc>
        <w:tc>
          <w:tcPr>
            <w:tcW w:w="6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7,071</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7,013</w:t>
            </w: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7,071</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72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Preferred Equity (947 shares) (j)</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9/21/2018</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360</w:t>
            </w:r>
          </w:p>
        </w:tc>
        <w:tc>
          <w:tcPr>
            <w:tcW w:w="98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399</w:t>
            </w:r>
          </w:p>
        </w:tc>
        <w:tc>
          <w:tcPr>
            <w:tcW w:w="520" w:type="dxa"/>
            <w:vAlign w:val="bottom"/>
            <w:shd w:val="clear" w:color="auto" w:fill="CCEEFF"/>
          </w:tcPr>
          <w:p>
            <w:pPr>
              <w:spacing w:after="0"/>
              <w:rPr>
                <w:sz w:val="11"/>
                <w:szCs w:val="11"/>
                <w:color w:val="auto"/>
              </w:rPr>
            </w:pPr>
          </w:p>
        </w:tc>
      </w:tr>
      <w:tr>
        <w:trPr>
          <w:trHeight w:val="142"/>
        </w:trPr>
        <w:tc>
          <w:tcPr>
            <w:tcW w:w="2720" w:type="dxa"/>
            <w:vAlign w:val="bottom"/>
          </w:tcPr>
          <w:p>
            <w:pPr>
              <w:ind w:left="260"/>
              <w:spacing w:after="0" w:line="135" w:lineRule="exact"/>
              <w:rPr>
                <w:sz w:val="20"/>
                <w:szCs w:val="20"/>
                <w:color w:val="auto"/>
              </w:rPr>
            </w:pPr>
            <w:r>
              <w:rPr>
                <w:rFonts w:ascii="Arial" w:cs="Arial" w:eastAsia="Arial" w:hAnsi="Arial"/>
                <w:sz w:val="13"/>
                <w:szCs w:val="13"/>
                <w:color w:val="auto"/>
              </w:rPr>
              <w:t>Common Equity (947 shares) (j)</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rPr>
              <w:t>9/21/2018</w:t>
            </w: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80" w:type="dxa"/>
            <w:vAlign w:val="bottom"/>
          </w:tcPr>
          <w:p>
            <w:pPr>
              <w:spacing w:after="0"/>
              <w:rPr>
                <w:sz w:val="12"/>
                <w:szCs w:val="12"/>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161</w:t>
            </w:r>
          </w:p>
        </w:tc>
        <w:tc>
          <w:tcPr>
            <w:tcW w:w="520" w:type="dxa"/>
            <w:vAlign w:val="bottom"/>
          </w:tcPr>
          <w:p>
            <w:pPr>
              <w:spacing w:after="0"/>
              <w:rPr>
                <w:sz w:val="12"/>
                <w:szCs w:val="12"/>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7,388</w:t>
            </w:r>
          </w:p>
        </w:tc>
        <w:tc>
          <w:tcPr>
            <w:tcW w:w="18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7,631</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35"/>
        </w:trPr>
        <w:tc>
          <w:tcPr>
            <w:tcW w:w="2720" w:type="dxa"/>
            <w:vAlign w:val="bottom"/>
          </w:tcPr>
          <w:p>
            <w:pPr>
              <w:spacing w:after="0" w:line="135" w:lineRule="exact"/>
              <w:rPr>
                <w:sz w:val="20"/>
                <w:szCs w:val="20"/>
                <w:color w:val="auto"/>
              </w:rPr>
            </w:pPr>
            <w:r>
              <w:rPr>
                <w:rFonts w:ascii="Arial" w:cs="Arial" w:eastAsia="Arial" w:hAnsi="Arial"/>
                <w:sz w:val="13"/>
                <w:szCs w:val="13"/>
                <w:i w:val="1"/>
                <w:iCs w:val="1"/>
                <w:color w:val="auto"/>
              </w:rPr>
              <w:t>Gurobi Optimization, LLC</w:t>
            </w:r>
          </w:p>
        </w:tc>
        <w:tc>
          <w:tcPr>
            <w:tcW w:w="3380" w:type="dxa"/>
            <w:vAlign w:val="bottom"/>
          </w:tcPr>
          <w:p>
            <w:pPr>
              <w:ind w:left="60"/>
              <w:spacing w:after="0" w:line="135" w:lineRule="exact"/>
              <w:rPr>
                <w:sz w:val="20"/>
                <w:szCs w:val="20"/>
                <w:color w:val="auto"/>
              </w:rPr>
            </w:pPr>
            <w:r>
              <w:rPr>
                <w:rFonts w:ascii="Arial" w:cs="Arial" w:eastAsia="Arial" w:hAnsi="Arial"/>
                <w:sz w:val="13"/>
                <w:szCs w:val="13"/>
                <w:color w:val="auto"/>
              </w:rPr>
              <w:t>Information Technology Services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72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(5 shares)</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5"/>
              </w:rPr>
              <w:t>12/19/2017</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1,500</w:t>
            </w: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3,382</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r>
      <w:tr>
        <w:trPr>
          <w:trHeight w:val="242"/>
        </w:trPr>
        <w:tc>
          <w:tcPr>
            <w:tcW w:w="2720" w:type="dxa"/>
            <w:vAlign w:val="bottom"/>
          </w:tcPr>
          <w:p>
            <w:pPr>
              <w:spacing w:after="0"/>
              <w:rPr>
                <w:sz w:val="20"/>
                <w:szCs w:val="20"/>
                <w:color w:val="auto"/>
              </w:rPr>
            </w:pPr>
            <w:r>
              <w:rPr>
                <w:rFonts w:ascii="Arial" w:cs="Arial" w:eastAsia="Arial" w:hAnsi="Arial"/>
                <w:sz w:val="13"/>
                <w:szCs w:val="13"/>
                <w:i w:val="1"/>
                <w:iCs w:val="1"/>
                <w:color w:val="auto"/>
              </w:rPr>
              <w:t>Haematologic Technologies, Inc.</w:t>
            </w:r>
          </w:p>
        </w:tc>
        <w:tc>
          <w:tcPr>
            <w:tcW w:w="3380" w:type="dxa"/>
            <w:vAlign w:val="bottom"/>
          </w:tcPr>
          <w:p>
            <w:pPr>
              <w:ind w:left="60"/>
              <w:spacing w:after="0"/>
              <w:rPr>
                <w:sz w:val="20"/>
                <w:szCs w:val="20"/>
                <w:color w:val="auto"/>
              </w:rPr>
            </w:pPr>
            <w:r>
              <w:rPr>
                <w:rFonts w:ascii="Arial" w:cs="Arial" w:eastAsia="Arial" w:hAnsi="Arial"/>
                <w:sz w:val="13"/>
                <w:szCs w:val="13"/>
                <w:color w:val="auto"/>
              </w:rPr>
              <w:t>Healthcare Services</w:t>
            </w: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135"/>
        </w:trPr>
        <w:tc>
          <w:tcPr>
            <w:tcW w:w="272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First Lien Debt (x)</w:t>
            </w:r>
          </w:p>
        </w:tc>
        <w:tc>
          <w:tcPr>
            <w:tcW w:w="3380" w:type="dxa"/>
            <w:vAlign w:val="bottom"/>
            <w:shd w:val="clear" w:color="auto" w:fill="CCEEFF"/>
          </w:tcPr>
          <w:p>
            <w:pPr>
              <w:ind w:left="2140"/>
              <w:spacing w:after="0" w:line="135" w:lineRule="exact"/>
              <w:rPr>
                <w:sz w:val="20"/>
                <w:szCs w:val="20"/>
                <w:color w:val="auto"/>
              </w:rPr>
            </w:pPr>
            <w:r>
              <w:rPr>
                <w:rFonts w:ascii="Arial" w:cs="Arial" w:eastAsia="Arial" w:hAnsi="Arial"/>
                <w:sz w:val="13"/>
                <w:szCs w:val="13"/>
                <w:color w:val="auto"/>
                <w:w w:val="98"/>
              </w:rPr>
              <w:t>(L + 7.25%) / (2.00%)</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9.25%/0.00%</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5"/>
              </w:rPr>
              <w:t>10/11/2019</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5"/>
              </w:rPr>
              <w:t>10/11/2024</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5,500</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5,461</w:t>
            </w: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5,461</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42"/>
        </w:trPr>
        <w:tc>
          <w:tcPr>
            <w:tcW w:w="2720" w:type="dxa"/>
            <w:vAlign w:val="bottom"/>
          </w:tcPr>
          <w:p>
            <w:pPr>
              <w:ind w:left="260"/>
              <w:spacing w:after="0" w:line="135" w:lineRule="exact"/>
              <w:rPr>
                <w:sz w:val="20"/>
                <w:szCs w:val="20"/>
                <w:color w:val="auto"/>
              </w:rPr>
            </w:pPr>
            <w:r>
              <w:rPr>
                <w:rFonts w:ascii="Arial" w:cs="Arial" w:eastAsia="Arial" w:hAnsi="Arial"/>
                <w:sz w:val="13"/>
                <w:szCs w:val="13"/>
                <w:color w:val="auto"/>
              </w:rPr>
              <w:t>Common Equity (500 units) (j)</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w w:val="95"/>
              </w:rPr>
              <w:t>10/11/2019</w:t>
            </w: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500</w:t>
            </w:r>
          </w:p>
        </w:tc>
        <w:tc>
          <w:tcPr>
            <w:tcW w:w="180" w:type="dxa"/>
            <w:vAlign w:val="bottom"/>
          </w:tcPr>
          <w:p>
            <w:pPr>
              <w:spacing w:after="0"/>
              <w:rPr>
                <w:sz w:val="12"/>
                <w:szCs w:val="12"/>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500</w:t>
            </w:r>
          </w:p>
        </w:tc>
        <w:tc>
          <w:tcPr>
            <w:tcW w:w="520" w:type="dxa"/>
            <w:vAlign w:val="bottom"/>
          </w:tcPr>
          <w:p>
            <w:pPr>
              <w:spacing w:after="0"/>
              <w:rPr>
                <w:sz w:val="12"/>
                <w:szCs w:val="12"/>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5,961</w:t>
            </w:r>
          </w:p>
        </w:tc>
        <w:tc>
          <w:tcPr>
            <w:tcW w:w="18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5,961</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r>
      <w:tr>
        <w:trPr>
          <w:trHeight w:val="120"/>
        </w:trPr>
        <w:tc>
          <w:tcPr>
            <w:tcW w:w="2720" w:type="dxa"/>
            <w:vAlign w:val="bottom"/>
          </w:tcPr>
          <w:p>
            <w:pPr>
              <w:spacing w:after="0" w:line="121" w:lineRule="exact"/>
              <w:rPr>
                <w:sz w:val="20"/>
                <w:szCs w:val="20"/>
                <w:color w:val="auto"/>
              </w:rPr>
            </w:pPr>
            <w:r>
              <w:rPr>
                <w:rFonts w:ascii="Arial" w:cs="Arial" w:eastAsia="Arial" w:hAnsi="Arial"/>
                <w:sz w:val="13"/>
                <w:szCs w:val="13"/>
                <w:i w:val="1"/>
                <w:iCs w:val="1"/>
                <w:color w:val="auto"/>
              </w:rPr>
              <w:t>Hilco Plastics Holdings, LLC (dba Hilco</w:t>
            </w:r>
          </w:p>
        </w:tc>
        <w:tc>
          <w:tcPr>
            <w:tcW w:w="3380" w:type="dxa"/>
            <w:vAlign w:val="bottom"/>
          </w:tcPr>
          <w:p>
            <w:pPr>
              <w:ind w:left="60"/>
              <w:spacing w:after="0" w:line="121" w:lineRule="exact"/>
              <w:rPr>
                <w:sz w:val="20"/>
                <w:szCs w:val="20"/>
                <w:color w:val="auto"/>
              </w:rPr>
            </w:pPr>
            <w:r>
              <w:rPr>
                <w:rFonts w:ascii="Arial" w:cs="Arial" w:eastAsia="Arial" w:hAnsi="Arial"/>
                <w:sz w:val="13"/>
                <w:szCs w:val="13"/>
                <w:color w:val="auto"/>
              </w:rPr>
              <w:t>Component Manufacturing</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9"/>
        </w:trPr>
        <w:tc>
          <w:tcPr>
            <w:tcW w:w="2720" w:type="dxa"/>
            <w:vAlign w:val="bottom"/>
          </w:tcPr>
          <w:p>
            <w:pPr>
              <w:ind w:left="140"/>
              <w:spacing w:after="0"/>
              <w:rPr>
                <w:sz w:val="20"/>
                <w:szCs w:val="20"/>
                <w:color w:val="auto"/>
              </w:rPr>
            </w:pPr>
            <w:r>
              <w:rPr>
                <w:rFonts w:ascii="Arial" w:cs="Arial" w:eastAsia="Arial" w:hAnsi="Arial"/>
                <w:sz w:val="13"/>
                <w:szCs w:val="13"/>
                <w:i w:val="1"/>
                <w:iCs w:val="1"/>
                <w:color w:val="auto"/>
              </w:rPr>
              <w:t>Technologies)</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272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11.50%/1.50%</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9/23/2016</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5"/>
              </w:rPr>
              <w:t>12/31/2019</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10,116</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10,116</w:t>
            </w: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9,057</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35"/>
        </w:trPr>
        <w:tc>
          <w:tcPr>
            <w:tcW w:w="2720" w:type="dxa"/>
            <w:vAlign w:val="bottom"/>
          </w:tcPr>
          <w:p>
            <w:pPr>
              <w:ind w:left="260"/>
              <w:spacing w:after="0" w:line="135" w:lineRule="exact"/>
              <w:rPr>
                <w:sz w:val="20"/>
                <w:szCs w:val="20"/>
                <w:color w:val="auto"/>
              </w:rPr>
            </w:pPr>
            <w:r>
              <w:rPr>
                <w:rFonts w:ascii="Arial" w:cs="Arial" w:eastAsia="Arial" w:hAnsi="Arial"/>
                <w:sz w:val="13"/>
                <w:szCs w:val="13"/>
                <w:color w:val="auto"/>
              </w:rPr>
              <w:t>Revolving Loan (j)</w:t>
            </w:r>
          </w:p>
        </w:tc>
        <w:tc>
          <w:tcPr>
            <w:tcW w:w="3380" w:type="dxa"/>
            <w:vAlign w:val="bottom"/>
          </w:tcPr>
          <w:p>
            <w:pPr>
              <w:ind w:left="2140"/>
              <w:spacing w:after="0" w:line="135" w:lineRule="exact"/>
              <w:rPr>
                <w:sz w:val="20"/>
                <w:szCs w:val="20"/>
                <w:color w:val="auto"/>
              </w:rPr>
            </w:pPr>
            <w:r>
              <w:rPr>
                <w:rFonts w:ascii="Arial" w:cs="Arial" w:eastAsia="Arial" w:hAnsi="Arial"/>
                <w:sz w:val="13"/>
                <w:szCs w:val="13"/>
                <w:color w:val="auto"/>
                <w:w w:val="98"/>
              </w:rPr>
              <w:t>(L + 6.50%) / (0.00%)</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0"/>
              </w:rPr>
              <w:t>8.26%/0.00%</w:t>
            </w: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w w:val="95"/>
              </w:rPr>
              <w:t>12/20/2019</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5"/>
              </w:rPr>
              <w:t>12/15/2019</w:t>
            </w:r>
          </w:p>
        </w:tc>
        <w:tc>
          <w:tcPr>
            <w:tcW w:w="6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5,962</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5,962</w:t>
            </w: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5,962</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72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First Lien Debt (j)</w:t>
            </w:r>
          </w:p>
        </w:tc>
        <w:tc>
          <w:tcPr>
            <w:tcW w:w="3380" w:type="dxa"/>
            <w:vAlign w:val="bottom"/>
            <w:shd w:val="clear" w:color="auto" w:fill="CCEEFF"/>
          </w:tcPr>
          <w:p>
            <w:pPr>
              <w:ind w:left="2140"/>
              <w:spacing w:after="0" w:line="135" w:lineRule="exact"/>
              <w:rPr>
                <w:sz w:val="20"/>
                <w:szCs w:val="20"/>
                <w:color w:val="auto"/>
              </w:rPr>
            </w:pPr>
            <w:r>
              <w:rPr>
                <w:rFonts w:ascii="Arial" w:cs="Arial" w:eastAsia="Arial" w:hAnsi="Arial"/>
                <w:sz w:val="13"/>
                <w:szCs w:val="13"/>
                <w:color w:val="auto"/>
                <w:w w:val="98"/>
              </w:rPr>
              <w:t>(L + 6.95%) / (0.00%)</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8.66%/0.00%</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5"/>
              </w:rPr>
              <w:t>12/20/2019</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5"/>
              </w:rPr>
              <w:t>12/15/2019</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4,812</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4,812</w:t>
            </w: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4,812</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35"/>
        </w:trPr>
        <w:tc>
          <w:tcPr>
            <w:tcW w:w="2720" w:type="dxa"/>
            <w:vAlign w:val="bottom"/>
          </w:tcPr>
          <w:p>
            <w:pPr>
              <w:ind w:left="260"/>
              <w:spacing w:after="0" w:line="135" w:lineRule="exact"/>
              <w:rPr>
                <w:sz w:val="20"/>
                <w:szCs w:val="20"/>
                <w:color w:val="auto"/>
              </w:rPr>
            </w:pPr>
            <w:r>
              <w:rPr>
                <w:rFonts w:ascii="Arial" w:cs="Arial" w:eastAsia="Arial" w:hAnsi="Arial"/>
                <w:sz w:val="13"/>
                <w:szCs w:val="13"/>
                <w:color w:val="auto"/>
              </w:rPr>
              <w:t>First Lien Debt (j)</w:t>
            </w:r>
          </w:p>
        </w:tc>
        <w:tc>
          <w:tcPr>
            <w:tcW w:w="3380" w:type="dxa"/>
            <w:vAlign w:val="bottom"/>
          </w:tcPr>
          <w:p>
            <w:pPr>
              <w:ind w:left="2140"/>
              <w:spacing w:after="0" w:line="135" w:lineRule="exact"/>
              <w:rPr>
                <w:sz w:val="20"/>
                <w:szCs w:val="20"/>
                <w:color w:val="auto"/>
              </w:rPr>
            </w:pPr>
            <w:r>
              <w:rPr>
                <w:rFonts w:ascii="Arial" w:cs="Arial" w:eastAsia="Arial" w:hAnsi="Arial"/>
                <w:sz w:val="13"/>
                <w:szCs w:val="13"/>
                <w:color w:val="auto"/>
                <w:w w:val="98"/>
              </w:rPr>
              <w:t>(L + 6.95%) / (0.00%)</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0"/>
              </w:rPr>
              <w:t>8.64%/0.00%</w:t>
            </w: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w w:val="95"/>
              </w:rPr>
              <w:t>12/20/2019</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5"/>
              </w:rPr>
              <w:t>12/15/2019</w:t>
            </w:r>
          </w:p>
        </w:tc>
        <w:tc>
          <w:tcPr>
            <w:tcW w:w="6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1,815</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1,815</w:t>
            </w: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1,815</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72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Preferred Equity (1,000,000 units) (h)(j)</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4/18/2018</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1"/>
                <w:szCs w:val="11"/>
                <w:color w:val="auto"/>
              </w:rPr>
            </w:pPr>
          </w:p>
        </w:tc>
      </w:tr>
      <w:tr>
        <w:trPr>
          <w:trHeight w:val="142"/>
        </w:trPr>
        <w:tc>
          <w:tcPr>
            <w:tcW w:w="2720" w:type="dxa"/>
            <w:vAlign w:val="bottom"/>
          </w:tcPr>
          <w:p>
            <w:pPr>
              <w:ind w:left="260"/>
              <w:spacing w:after="0" w:line="135" w:lineRule="exact"/>
              <w:rPr>
                <w:sz w:val="20"/>
                <w:szCs w:val="20"/>
                <w:color w:val="auto"/>
              </w:rPr>
            </w:pPr>
            <w:r>
              <w:rPr>
                <w:rFonts w:ascii="Arial" w:cs="Arial" w:eastAsia="Arial" w:hAnsi="Arial"/>
                <w:sz w:val="13"/>
                <w:szCs w:val="13"/>
                <w:color w:val="auto"/>
              </w:rPr>
              <w:t>Common Equity (72,507 units) (h)(j)</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rPr>
              <w:t>9/23/2016</w:t>
            </w: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473</w:t>
            </w:r>
          </w:p>
        </w:tc>
        <w:tc>
          <w:tcPr>
            <w:tcW w:w="18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24,178</w:t>
            </w:r>
          </w:p>
        </w:tc>
        <w:tc>
          <w:tcPr>
            <w:tcW w:w="98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21,646</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r>
      <w:tr>
        <w:trPr>
          <w:trHeight w:val="135"/>
        </w:trPr>
        <w:tc>
          <w:tcPr>
            <w:tcW w:w="2720" w:type="dxa"/>
            <w:vAlign w:val="bottom"/>
          </w:tcPr>
          <w:p>
            <w:pPr>
              <w:spacing w:after="0" w:line="135" w:lineRule="exact"/>
              <w:rPr>
                <w:sz w:val="20"/>
                <w:szCs w:val="20"/>
                <w:color w:val="auto"/>
              </w:rPr>
            </w:pPr>
            <w:r>
              <w:rPr>
                <w:rFonts w:ascii="Arial" w:cs="Arial" w:eastAsia="Arial" w:hAnsi="Arial"/>
                <w:sz w:val="13"/>
                <w:szCs w:val="13"/>
                <w:i w:val="1"/>
                <w:iCs w:val="1"/>
                <w:color w:val="auto"/>
              </w:rPr>
              <w:t>Hoonuit, LLC</w:t>
            </w:r>
          </w:p>
        </w:tc>
        <w:tc>
          <w:tcPr>
            <w:tcW w:w="3380" w:type="dxa"/>
            <w:vAlign w:val="bottom"/>
          </w:tcPr>
          <w:p>
            <w:pPr>
              <w:ind w:left="60"/>
              <w:spacing w:after="0" w:line="135" w:lineRule="exact"/>
              <w:rPr>
                <w:sz w:val="20"/>
                <w:szCs w:val="20"/>
                <w:color w:val="auto"/>
              </w:rPr>
            </w:pPr>
            <w:r>
              <w:rPr>
                <w:rFonts w:ascii="Arial" w:cs="Arial" w:eastAsia="Arial" w:hAnsi="Arial"/>
                <w:sz w:val="13"/>
                <w:szCs w:val="13"/>
                <w:color w:val="auto"/>
              </w:rPr>
              <w:t>Information Technology Services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72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First Lien Debt</w:t>
            </w:r>
          </w:p>
        </w:tc>
        <w:tc>
          <w:tcPr>
            <w:tcW w:w="3380" w:type="dxa"/>
            <w:vAlign w:val="bottom"/>
            <w:shd w:val="clear" w:color="auto" w:fill="CCEEFF"/>
          </w:tcPr>
          <w:p>
            <w:pPr>
              <w:ind w:left="2140"/>
              <w:spacing w:after="0" w:line="135" w:lineRule="exact"/>
              <w:rPr>
                <w:sz w:val="20"/>
                <w:szCs w:val="20"/>
                <w:color w:val="auto"/>
              </w:rPr>
            </w:pPr>
            <w:r>
              <w:rPr>
                <w:rFonts w:ascii="Arial" w:cs="Arial" w:eastAsia="Arial" w:hAnsi="Arial"/>
                <w:sz w:val="13"/>
                <w:szCs w:val="13"/>
                <w:color w:val="auto"/>
                <w:w w:val="98"/>
              </w:rPr>
              <w:t>(L + 9.25%) / (2.25%)</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11.50%/0.00%</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6/7/2019</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6/7/2024</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7,165</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7,121</w:t>
            </w: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7,165</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42"/>
        </w:trPr>
        <w:tc>
          <w:tcPr>
            <w:tcW w:w="2720" w:type="dxa"/>
            <w:vAlign w:val="bottom"/>
          </w:tcPr>
          <w:p>
            <w:pPr>
              <w:ind w:left="260"/>
              <w:spacing w:after="0" w:line="135" w:lineRule="exact"/>
              <w:rPr>
                <w:sz w:val="20"/>
                <w:szCs w:val="20"/>
                <w:color w:val="auto"/>
              </w:rPr>
            </w:pPr>
            <w:r>
              <w:rPr>
                <w:rFonts w:ascii="Arial" w:cs="Arial" w:eastAsia="Arial" w:hAnsi="Arial"/>
                <w:sz w:val="13"/>
                <w:szCs w:val="13"/>
                <w:color w:val="auto"/>
              </w:rPr>
              <w:t>Preferred Equity (610 units) (h)(j)</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rPr>
              <w:t>6/20/2019</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1/1/2022</w:t>
            </w:r>
          </w:p>
        </w:tc>
        <w:tc>
          <w:tcPr>
            <w:tcW w:w="600" w:type="dxa"/>
            <w:vAlign w:val="bottom"/>
          </w:tcPr>
          <w:p>
            <w:pPr>
              <w:spacing w:after="0"/>
              <w:rPr>
                <w:sz w:val="12"/>
                <w:szCs w:val="12"/>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250</w:t>
            </w:r>
          </w:p>
        </w:tc>
        <w:tc>
          <w:tcPr>
            <w:tcW w:w="180" w:type="dxa"/>
            <w:vAlign w:val="bottom"/>
          </w:tcPr>
          <w:p>
            <w:pPr>
              <w:spacing w:after="0"/>
              <w:rPr>
                <w:sz w:val="12"/>
                <w:szCs w:val="12"/>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279</w:t>
            </w:r>
          </w:p>
        </w:tc>
        <w:tc>
          <w:tcPr>
            <w:tcW w:w="520" w:type="dxa"/>
            <w:vAlign w:val="bottom"/>
          </w:tcPr>
          <w:p>
            <w:pPr>
              <w:spacing w:after="0"/>
              <w:rPr>
                <w:sz w:val="12"/>
                <w:szCs w:val="12"/>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7,371</w:t>
            </w:r>
          </w:p>
        </w:tc>
        <w:tc>
          <w:tcPr>
            <w:tcW w:w="18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7,444</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35"/>
        </w:trPr>
        <w:tc>
          <w:tcPr>
            <w:tcW w:w="2720" w:type="dxa"/>
            <w:vAlign w:val="bottom"/>
          </w:tcPr>
          <w:p>
            <w:pPr>
              <w:spacing w:after="0" w:line="135" w:lineRule="exact"/>
              <w:rPr>
                <w:sz w:val="20"/>
                <w:szCs w:val="20"/>
                <w:color w:val="auto"/>
              </w:rPr>
            </w:pPr>
            <w:r>
              <w:rPr>
                <w:rFonts w:ascii="Arial" w:cs="Arial" w:eastAsia="Arial" w:hAnsi="Arial"/>
                <w:sz w:val="13"/>
                <w:szCs w:val="13"/>
                <w:i w:val="1"/>
                <w:iCs w:val="1"/>
                <w:color w:val="auto"/>
              </w:rPr>
              <w:t>Hub Acquisition Sub, LLC (dba Hub Pen)</w:t>
            </w:r>
          </w:p>
        </w:tc>
        <w:tc>
          <w:tcPr>
            <w:tcW w:w="3380" w:type="dxa"/>
            <w:vAlign w:val="bottom"/>
          </w:tcPr>
          <w:p>
            <w:pPr>
              <w:ind w:left="60"/>
              <w:spacing w:after="0" w:line="135" w:lineRule="exact"/>
              <w:rPr>
                <w:sz w:val="20"/>
                <w:szCs w:val="20"/>
                <w:color w:val="auto"/>
              </w:rPr>
            </w:pPr>
            <w:r>
              <w:rPr>
                <w:rFonts w:ascii="Arial" w:cs="Arial" w:eastAsia="Arial" w:hAnsi="Arial"/>
                <w:sz w:val="13"/>
                <w:szCs w:val="13"/>
                <w:color w:val="auto"/>
              </w:rPr>
              <w:t>Promotional products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72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12.25%/0.00%</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3/23/2016</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9/23/2021</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25,000</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24,947</w:t>
            </w:r>
          </w:p>
        </w:tc>
        <w:tc>
          <w:tcPr>
            <w:tcW w:w="98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25,000</w:t>
            </w:r>
          </w:p>
        </w:tc>
        <w:tc>
          <w:tcPr>
            <w:tcW w:w="520" w:type="dxa"/>
            <w:vAlign w:val="bottom"/>
            <w:shd w:val="clear" w:color="auto" w:fill="CCEEFF"/>
          </w:tcPr>
          <w:p>
            <w:pPr>
              <w:spacing w:after="0"/>
              <w:rPr>
                <w:sz w:val="11"/>
                <w:szCs w:val="11"/>
                <w:color w:val="auto"/>
              </w:rPr>
            </w:pPr>
          </w:p>
        </w:tc>
      </w:tr>
      <w:tr>
        <w:trPr>
          <w:trHeight w:val="142"/>
        </w:trPr>
        <w:tc>
          <w:tcPr>
            <w:tcW w:w="2720" w:type="dxa"/>
            <w:vAlign w:val="bottom"/>
          </w:tcPr>
          <w:p>
            <w:pPr>
              <w:ind w:left="260"/>
              <w:spacing w:after="0" w:line="135" w:lineRule="exact"/>
              <w:rPr>
                <w:sz w:val="20"/>
                <w:szCs w:val="20"/>
                <w:color w:val="auto"/>
              </w:rPr>
            </w:pPr>
            <w:r>
              <w:rPr>
                <w:rFonts w:ascii="Arial" w:cs="Arial" w:eastAsia="Arial" w:hAnsi="Arial"/>
                <w:sz w:val="13"/>
                <w:szCs w:val="13"/>
                <w:color w:val="auto"/>
              </w:rPr>
              <w:t>Common Equity (7,500 units)</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rPr>
              <w:t>3/23/2016</w:t>
            </w: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263</w:t>
            </w:r>
          </w:p>
        </w:tc>
        <w:tc>
          <w:tcPr>
            <w:tcW w:w="18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1,488</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25,210</w:t>
            </w:r>
          </w:p>
        </w:tc>
        <w:tc>
          <w:tcPr>
            <w:tcW w:w="98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26,488</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r>
      <w:tr>
        <w:trPr>
          <w:trHeight w:val="135"/>
        </w:trPr>
        <w:tc>
          <w:tcPr>
            <w:tcW w:w="2720" w:type="dxa"/>
            <w:vAlign w:val="bottom"/>
          </w:tcPr>
          <w:p>
            <w:pPr>
              <w:spacing w:after="0" w:line="135" w:lineRule="exact"/>
              <w:rPr>
                <w:sz w:val="20"/>
                <w:szCs w:val="20"/>
                <w:color w:val="auto"/>
              </w:rPr>
            </w:pPr>
            <w:r>
              <w:rPr>
                <w:rFonts w:ascii="Arial" w:cs="Arial" w:eastAsia="Arial" w:hAnsi="Arial"/>
                <w:sz w:val="13"/>
                <w:szCs w:val="13"/>
                <w:i w:val="1"/>
                <w:iCs w:val="1"/>
                <w:color w:val="auto"/>
              </w:rPr>
              <w:t>Hunter Defense Technologies Inc.</w:t>
            </w:r>
          </w:p>
        </w:tc>
        <w:tc>
          <w:tcPr>
            <w:tcW w:w="3380" w:type="dxa"/>
            <w:vAlign w:val="bottom"/>
          </w:tcPr>
          <w:p>
            <w:pPr>
              <w:ind w:left="60"/>
              <w:spacing w:after="0" w:line="135" w:lineRule="exact"/>
              <w:rPr>
                <w:sz w:val="20"/>
                <w:szCs w:val="20"/>
                <w:color w:val="auto"/>
              </w:rPr>
            </w:pPr>
            <w:r>
              <w:rPr>
                <w:rFonts w:ascii="Arial" w:cs="Arial" w:eastAsia="Arial" w:hAnsi="Arial"/>
                <w:sz w:val="13"/>
                <w:szCs w:val="13"/>
                <w:color w:val="auto"/>
              </w:rPr>
              <w:t>Aerospace &amp; Defense Manufacturing</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72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First Lien Debt (j)</w:t>
            </w:r>
          </w:p>
        </w:tc>
        <w:tc>
          <w:tcPr>
            <w:tcW w:w="3380" w:type="dxa"/>
            <w:vAlign w:val="bottom"/>
            <w:shd w:val="clear" w:color="auto" w:fill="CCEEFF"/>
          </w:tcPr>
          <w:p>
            <w:pPr>
              <w:ind w:left="2140"/>
              <w:spacing w:after="0" w:line="135" w:lineRule="exact"/>
              <w:rPr>
                <w:sz w:val="20"/>
                <w:szCs w:val="20"/>
                <w:color w:val="auto"/>
              </w:rPr>
            </w:pPr>
            <w:r>
              <w:rPr>
                <w:rFonts w:ascii="Arial" w:cs="Arial" w:eastAsia="Arial" w:hAnsi="Arial"/>
                <w:sz w:val="13"/>
                <w:szCs w:val="13"/>
                <w:color w:val="auto"/>
                <w:w w:val="98"/>
              </w:rPr>
              <w:t>(L + 7.00%) / (1.00%)</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8.94%/0.00%</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9/27/2018</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3/29/2023</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9,246</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9,174</w:t>
            </w: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9,246</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242"/>
        </w:trPr>
        <w:tc>
          <w:tcPr>
            <w:tcW w:w="2720" w:type="dxa"/>
            <w:vAlign w:val="bottom"/>
          </w:tcPr>
          <w:p>
            <w:pPr>
              <w:spacing w:after="0"/>
              <w:rPr>
                <w:sz w:val="20"/>
                <w:szCs w:val="20"/>
                <w:color w:val="auto"/>
              </w:rPr>
            </w:pPr>
            <w:r>
              <w:rPr>
                <w:rFonts w:ascii="Arial" w:cs="Arial" w:eastAsia="Arial" w:hAnsi="Arial"/>
                <w:sz w:val="13"/>
                <w:szCs w:val="13"/>
                <w:i w:val="1"/>
                <w:iCs w:val="1"/>
                <w:color w:val="auto"/>
              </w:rPr>
              <w:t>IBH Holdings, LLC (fka Inflexxion, Inc.)</w:t>
            </w:r>
          </w:p>
        </w:tc>
        <w:tc>
          <w:tcPr>
            <w:tcW w:w="3380" w:type="dxa"/>
            <w:vAlign w:val="bottom"/>
          </w:tcPr>
          <w:p>
            <w:pPr>
              <w:ind w:left="60"/>
              <w:spacing w:after="0"/>
              <w:rPr>
                <w:sz w:val="20"/>
                <w:szCs w:val="20"/>
                <w:color w:val="auto"/>
              </w:rPr>
            </w:pPr>
            <w:r>
              <w:rPr>
                <w:rFonts w:ascii="Arial" w:cs="Arial" w:eastAsia="Arial" w:hAnsi="Arial"/>
                <w:sz w:val="13"/>
                <w:szCs w:val="13"/>
                <w:color w:val="auto"/>
              </w:rPr>
              <w:t>Business Services</w:t>
            </w: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135"/>
        </w:trPr>
        <w:tc>
          <w:tcPr>
            <w:tcW w:w="272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(150,000 units)</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6/20/2018</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r>
      <w:tr>
        <w:trPr>
          <w:trHeight w:val="228"/>
        </w:trPr>
        <w:tc>
          <w:tcPr>
            <w:tcW w:w="2720" w:type="dxa"/>
            <w:vAlign w:val="bottom"/>
          </w:tcPr>
          <w:p>
            <w:pPr>
              <w:spacing w:after="0"/>
              <w:rPr>
                <w:sz w:val="20"/>
                <w:szCs w:val="20"/>
                <w:color w:val="auto"/>
              </w:rPr>
            </w:pPr>
            <w:r>
              <w:rPr>
                <w:rFonts w:ascii="Arial" w:cs="Arial" w:eastAsia="Arial" w:hAnsi="Arial"/>
                <w:sz w:val="13"/>
                <w:szCs w:val="13"/>
                <w:i w:val="1"/>
                <w:iCs w:val="1"/>
                <w:color w:val="auto"/>
                <w:w w:val="90"/>
              </w:rPr>
              <w:t>K2 Merger Agreement Agent, LLC (fka K2 Industrial</w:t>
            </w:r>
          </w:p>
        </w:tc>
        <w:tc>
          <w:tcPr>
            <w:tcW w:w="3380" w:type="dxa"/>
            <w:vAlign w:val="bottom"/>
          </w:tcPr>
          <w:p>
            <w:pPr>
              <w:ind w:left="60"/>
              <w:spacing w:after="0"/>
              <w:rPr>
                <w:sz w:val="20"/>
                <w:szCs w:val="20"/>
                <w:color w:val="auto"/>
              </w:rPr>
            </w:pPr>
            <w:r>
              <w:rPr>
                <w:rFonts w:ascii="Arial" w:cs="Arial" w:eastAsia="Arial" w:hAnsi="Arial"/>
                <w:sz w:val="13"/>
                <w:szCs w:val="13"/>
                <w:color w:val="auto"/>
              </w:rPr>
              <w:t>Industrial Cleaning &amp; Coatings</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49"/>
        </w:trPr>
        <w:tc>
          <w:tcPr>
            <w:tcW w:w="2720" w:type="dxa"/>
            <w:vAlign w:val="bottom"/>
          </w:tcPr>
          <w:p>
            <w:pPr>
              <w:spacing w:after="0"/>
              <w:rPr>
                <w:sz w:val="20"/>
                <w:szCs w:val="20"/>
                <w:color w:val="auto"/>
              </w:rPr>
            </w:pPr>
            <w:r>
              <w:rPr>
                <w:rFonts w:ascii="Arial" w:cs="Arial" w:eastAsia="Arial" w:hAnsi="Arial"/>
                <w:sz w:val="13"/>
                <w:szCs w:val="13"/>
                <w:i w:val="1"/>
                <w:iCs w:val="1"/>
                <w:color w:val="auto"/>
              </w:rPr>
              <w:t>Services, Inc.) (n)</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272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0.00%/10.00%</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1/28/2019</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1/28/2021</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2,309</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2,309</w:t>
            </w: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2,309</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r>
      <w:tr>
        <w:trPr>
          <w:trHeight w:val="242"/>
        </w:trPr>
        <w:tc>
          <w:tcPr>
            <w:tcW w:w="2720" w:type="dxa"/>
            <w:vAlign w:val="bottom"/>
          </w:tcPr>
          <w:p>
            <w:pPr>
              <w:spacing w:after="0"/>
              <w:rPr>
                <w:sz w:val="20"/>
                <w:szCs w:val="20"/>
                <w:color w:val="auto"/>
              </w:rPr>
            </w:pPr>
            <w:r>
              <w:rPr>
                <w:rFonts w:ascii="Arial" w:cs="Arial" w:eastAsia="Arial" w:hAnsi="Arial"/>
                <w:sz w:val="13"/>
                <w:szCs w:val="13"/>
                <w:i w:val="1"/>
                <w:iCs w:val="1"/>
                <w:color w:val="auto"/>
                <w:w w:val="97"/>
              </w:rPr>
              <w:t>The Kyjen Company, LLC (dba Outward Hound)</w:t>
            </w:r>
          </w:p>
        </w:tc>
        <w:tc>
          <w:tcPr>
            <w:tcW w:w="3380" w:type="dxa"/>
            <w:vAlign w:val="bottom"/>
          </w:tcPr>
          <w:p>
            <w:pPr>
              <w:ind w:left="60"/>
              <w:spacing w:after="0"/>
              <w:rPr>
                <w:sz w:val="20"/>
                <w:szCs w:val="20"/>
                <w:color w:val="auto"/>
              </w:rPr>
            </w:pPr>
            <w:r>
              <w:rPr>
                <w:rFonts w:ascii="Arial" w:cs="Arial" w:eastAsia="Arial" w:hAnsi="Arial"/>
                <w:sz w:val="13"/>
                <w:szCs w:val="13"/>
                <w:color w:val="auto"/>
              </w:rPr>
              <w:t>Consumer Products</w:t>
            </w: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135"/>
        </w:trPr>
        <w:tc>
          <w:tcPr>
            <w:tcW w:w="272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12.00%/0.00%</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12/8/2017</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6/8/2024</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15,000</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14,948</w:t>
            </w:r>
          </w:p>
        </w:tc>
        <w:tc>
          <w:tcPr>
            <w:tcW w:w="98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13,024</w:t>
            </w:r>
          </w:p>
        </w:tc>
        <w:tc>
          <w:tcPr>
            <w:tcW w:w="520" w:type="dxa"/>
            <w:vAlign w:val="bottom"/>
            <w:shd w:val="clear" w:color="auto" w:fill="CCEEFF"/>
          </w:tcPr>
          <w:p>
            <w:pPr>
              <w:spacing w:after="0"/>
              <w:rPr>
                <w:sz w:val="11"/>
                <w:szCs w:val="11"/>
                <w:color w:val="auto"/>
              </w:rPr>
            </w:pPr>
          </w:p>
        </w:tc>
      </w:tr>
      <w:tr>
        <w:trPr>
          <w:trHeight w:val="135"/>
        </w:trPr>
        <w:tc>
          <w:tcPr>
            <w:tcW w:w="2720" w:type="dxa"/>
            <w:vAlign w:val="bottom"/>
          </w:tcPr>
          <w:p>
            <w:pPr>
              <w:ind w:left="260"/>
              <w:spacing w:after="0" w:line="135" w:lineRule="exact"/>
              <w:rPr>
                <w:sz w:val="20"/>
                <w:szCs w:val="20"/>
                <w:color w:val="auto"/>
              </w:rPr>
            </w:pPr>
            <w:r>
              <w:rPr>
                <w:rFonts w:ascii="Arial" w:cs="Arial" w:eastAsia="Arial" w:hAnsi="Arial"/>
                <w:sz w:val="13"/>
                <w:szCs w:val="13"/>
                <w:color w:val="auto"/>
              </w:rPr>
              <w:t>Common Equity (765 shares) (j)</w:t>
            </w:r>
          </w:p>
        </w:tc>
        <w:tc>
          <w:tcPr>
            <w:tcW w:w="3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rPr>
              <w:t>12/8/2017</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765</w:t>
            </w:r>
          </w:p>
        </w:tc>
        <w:tc>
          <w:tcPr>
            <w:tcW w:w="180" w:type="dxa"/>
            <w:vAlign w:val="bottom"/>
          </w:tcPr>
          <w:p>
            <w:pPr>
              <w:spacing w:after="0"/>
              <w:rPr>
                <w:sz w:val="11"/>
                <w:szCs w:val="11"/>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609</w:t>
            </w:r>
          </w:p>
        </w:tc>
        <w:tc>
          <w:tcPr>
            <w:tcW w:w="520" w:type="dxa"/>
            <w:vAlign w:val="bottom"/>
          </w:tcPr>
          <w:p>
            <w:pPr>
              <w:spacing w:after="0"/>
              <w:rPr>
                <w:sz w:val="11"/>
                <w:szCs w:val="11"/>
                <w:color w:val="auto"/>
              </w:rPr>
            </w:pPr>
          </w:p>
        </w:tc>
      </w:tr>
      <w:tr>
        <w:trPr>
          <w:trHeight w:val="27"/>
        </w:trPr>
        <w:tc>
          <w:tcPr>
            <w:tcW w:w="27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15,713</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13,633</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2720" w:type="dxa"/>
            <w:vAlign w:val="bottom"/>
          </w:tcPr>
          <w:p>
            <w:pPr>
              <w:spacing w:after="0" w:line="135" w:lineRule="exact"/>
              <w:rPr>
                <w:sz w:val="20"/>
                <w:szCs w:val="20"/>
                <w:color w:val="auto"/>
              </w:rPr>
            </w:pPr>
            <w:r>
              <w:rPr>
                <w:rFonts w:ascii="Arial" w:cs="Arial" w:eastAsia="Arial" w:hAnsi="Arial"/>
                <w:sz w:val="13"/>
                <w:szCs w:val="13"/>
                <w:i w:val="1"/>
                <w:iCs w:val="1"/>
                <w:color w:val="auto"/>
              </w:rPr>
              <w:t>LNG Indy, LLC (dba Kinetrex Energy)</w:t>
            </w:r>
          </w:p>
        </w:tc>
        <w:tc>
          <w:tcPr>
            <w:tcW w:w="3380" w:type="dxa"/>
            <w:vAlign w:val="bottom"/>
          </w:tcPr>
          <w:p>
            <w:pPr>
              <w:ind w:left="60"/>
              <w:spacing w:after="0" w:line="135" w:lineRule="exact"/>
              <w:rPr>
                <w:sz w:val="20"/>
                <w:szCs w:val="20"/>
                <w:color w:val="auto"/>
              </w:rPr>
            </w:pPr>
            <w:r>
              <w:rPr>
                <w:rFonts w:ascii="Arial" w:cs="Arial" w:eastAsia="Arial" w:hAnsi="Arial"/>
                <w:sz w:val="13"/>
                <w:szCs w:val="13"/>
                <w:color w:val="auto"/>
              </w:rPr>
              <w:t>Oil &amp; Gas Distribution</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72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11.50%/0.00%</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5"/>
              </w:rPr>
              <w:t>12/28/2016</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5"/>
              </w:rPr>
              <w:t>11/12/2021</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5,000</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4,991</w:t>
            </w: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5,000</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42"/>
        </w:trPr>
        <w:tc>
          <w:tcPr>
            <w:tcW w:w="2720" w:type="dxa"/>
            <w:vAlign w:val="bottom"/>
          </w:tcPr>
          <w:p>
            <w:pPr>
              <w:ind w:left="260"/>
              <w:spacing w:after="0" w:line="135" w:lineRule="exact"/>
              <w:rPr>
                <w:sz w:val="20"/>
                <w:szCs w:val="20"/>
                <w:color w:val="auto"/>
              </w:rPr>
            </w:pPr>
            <w:r>
              <w:rPr>
                <w:rFonts w:ascii="Arial" w:cs="Arial" w:eastAsia="Arial" w:hAnsi="Arial"/>
                <w:sz w:val="13"/>
                <w:szCs w:val="13"/>
                <w:color w:val="auto"/>
              </w:rPr>
              <w:t>Common Equity (1,000 units)</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w w:val="95"/>
              </w:rPr>
              <w:t>12/28/2016</w:t>
            </w: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1,000</w:t>
            </w:r>
          </w:p>
        </w:tc>
        <w:tc>
          <w:tcPr>
            <w:tcW w:w="18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1,264</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5,991</w:t>
            </w: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6,264</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35"/>
        </w:trPr>
        <w:tc>
          <w:tcPr>
            <w:tcW w:w="2720" w:type="dxa"/>
            <w:vAlign w:val="bottom"/>
          </w:tcPr>
          <w:p>
            <w:pPr>
              <w:spacing w:after="0" w:line="135" w:lineRule="exact"/>
              <w:rPr>
                <w:sz w:val="20"/>
                <w:szCs w:val="20"/>
                <w:color w:val="auto"/>
              </w:rPr>
            </w:pPr>
            <w:r>
              <w:rPr>
                <w:rFonts w:ascii="Arial" w:cs="Arial" w:eastAsia="Arial" w:hAnsi="Arial"/>
                <w:sz w:val="13"/>
                <w:szCs w:val="13"/>
                <w:i w:val="1"/>
                <w:iCs w:val="1"/>
                <w:color w:val="auto"/>
              </w:rPr>
              <w:t>Marco Group International OpCo, LLC</w:t>
            </w:r>
          </w:p>
        </w:tc>
        <w:tc>
          <w:tcPr>
            <w:tcW w:w="3380" w:type="dxa"/>
            <w:vAlign w:val="bottom"/>
          </w:tcPr>
          <w:p>
            <w:pPr>
              <w:ind w:left="60"/>
              <w:spacing w:after="0" w:line="135" w:lineRule="exact"/>
              <w:rPr>
                <w:sz w:val="20"/>
                <w:szCs w:val="20"/>
                <w:color w:val="auto"/>
              </w:rPr>
            </w:pPr>
            <w:r>
              <w:rPr>
                <w:rFonts w:ascii="Arial" w:cs="Arial" w:eastAsia="Arial" w:hAnsi="Arial"/>
                <w:sz w:val="13"/>
                <w:szCs w:val="13"/>
                <w:color w:val="auto"/>
              </w:rPr>
              <w:t>Industrial Cleaning &amp; Coatings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72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10.50%/0.75%</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7/21/2017</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1/21/2023</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12,225</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12,192</w:t>
            </w:r>
          </w:p>
        </w:tc>
        <w:tc>
          <w:tcPr>
            <w:tcW w:w="98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12,120</w:t>
            </w:r>
          </w:p>
        </w:tc>
        <w:tc>
          <w:tcPr>
            <w:tcW w:w="520" w:type="dxa"/>
            <w:vAlign w:val="bottom"/>
            <w:shd w:val="clear" w:color="auto" w:fill="CCEEFF"/>
          </w:tcPr>
          <w:p>
            <w:pPr>
              <w:spacing w:after="0"/>
              <w:rPr>
                <w:sz w:val="11"/>
                <w:szCs w:val="11"/>
                <w:color w:val="auto"/>
              </w:rPr>
            </w:pPr>
          </w:p>
        </w:tc>
      </w:tr>
      <w:tr>
        <w:trPr>
          <w:trHeight w:val="142"/>
        </w:trPr>
        <w:tc>
          <w:tcPr>
            <w:tcW w:w="2720" w:type="dxa"/>
            <w:vAlign w:val="bottom"/>
          </w:tcPr>
          <w:p>
            <w:pPr>
              <w:ind w:left="260"/>
              <w:spacing w:after="0" w:line="135" w:lineRule="exact"/>
              <w:rPr>
                <w:sz w:val="20"/>
                <w:szCs w:val="20"/>
                <w:color w:val="auto"/>
              </w:rPr>
            </w:pPr>
            <w:r>
              <w:rPr>
                <w:rFonts w:ascii="Arial" w:cs="Arial" w:eastAsia="Arial" w:hAnsi="Arial"/>
                <w:sz w:val="13"/>
                <w:szCs w:val="13"/>
                <w:color w:val="auto"/>
              </w:rPr>
              <w:t>Common Equity (960,482 units) (h)(j)</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rPr>
              <w:t>7/21/2017</w:t>
            </w: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960</w:t>
            </w:r>
          </w:p>
        </w:tc>
        <w:tc>
          <w:tcPr>
            <w:tcW w:w="18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1,063</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13,152</w:t>
            </w:r>
          </w:p>
        </w:tc>
        <w:tc>
          <w:tcPr>
            <w:tcW w:w="98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13,183</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2720" w:type="dxa"/>
            <w:vAlign w:val="bottom"/>
          </w:tcPr>
          <w:p>
            <w:pPr>
              <w:spacing w:after="0" w:line="135" w:lineRule="exact"/>
              <w:rPr>
                <w:sz w:val="20"/>
                <w:szCs w:val="20"/>
                <w:color w:val="auto"/>
              </w:rPr>
            </w:pPr>
            <w:r>
              <w:rPr>
                <w:rFonts w:ascii="Arial" w:cs="Arial" w:eastAsia="Arial" w:hAnsi="Arial"/>
                <w:sz w:val="13"/>
                <w:szCs w:val="13"/>
                <w:i w:val="1"/>
                <w:iCs w:val="1"/>
                <w:color w:val="auto"/>
              </w:rPr>
              <w:t>Mesa Line Services, LLC</w:t>
            </w:r>
          </w:p>
        </w:tc>
        <w:tc>
          <w:tcPr>
            <w:tcW w:w="3380" w:type="dxa"/>
            <w:vAlign w:val="bottom"/>
          </w:tcPr>
          <w:p>
            <w:pPr>
              <w:ind w:left="60"/>
              <w:spacing w:after="0" w:line="135" w:lineRule="exact"/>
              <w:rPr>
                <w:sz w:val="20"/>
                <w:szCs w:val="20"/>
                <w:color w:val="auto"/>
              </w:rPr>
            </w:pPr>
            <w:r>
              <w:rPr>
                <w:rFonts w:ascii="Arial" w:cs="Arial" w:eastAsia="Arial" w:hAnsi="Arial"/>
                <w:sz w:val="13"/>
                <w:szCs w:val="13"/>
                <w:color w:val="auto"/>
              </w:rPr>
              <w:t>Utilities: Services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72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 (j)</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10.50%/1.75%</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5"/>
              </w:rPr>
              <w:t>11/30/2017</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8/1/2024</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17,221</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17,133</w:t>
            </w:r>
          </w:p>
        </w:tc>
        <w:tc>
          <w:tcPr>
            <w:tcW w:w="98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17,221</w:t>
            </w:r>
          </w:p>
        </w:tc>
        <w:tc>
          <w:tcPr>
            <w:tcW w:w="520" w:type="dxa"/>
            <w:vAlign w:val="bottom"/>
            <w:shd w:val="clear" w:color="auto" w:fill="CCEEFF"/>
          </w:tcPr>
          <w:p>
            <w:pPr>
              <w:spacing w:after="0"/>
              <w:rPr>
                <w:sz w:val="11"/>
                <w:szCs w:val="11"/>
                <w:color w:val="auto"/>
              </w:rPr>
            </w:pPr>
          </w:p>
        </w:tc>
      </w:tr>
      <w:tr>
        <w:trPr>
          <w:trHeight w:val="135"/>
        </w:trPr>
        <w:tc>
          <w:tcPr>
            <w:tcW w:w="2720" w:type="dxa"/>
            <w:vAlign w:val="bottom"/>
          </w:tcPr>
          <w:p>
            <w:pPr>
              <w:ind w:left="260"/>
              <w:spacing w:after="0" w:line="135" w:lineRule="exact"/>
              <w:rPr>
                <w:sz w:val="20"/>
                <w:szCs w:val="20"/>
                <w:color w:val="auto"/>
              </w:rPr>
            </w:pPr>
            <w:r>
              <w:rPr>
                <w:rFonts w:ascii="Arial" w:cs="Arial" w:eastAsia="Arial" w:hAnsi="Arial"/>
                <w:sz w:val="13"/>
                <w:szCs w:val="13"/>
                <w:color w:val="auto"/>
              </w:rPr>
              <w:t>Common Equity (981 shares) (j)</w:t>
            </w:r>
          </w:p>
        </w:tc>
        <w:tc>
          <w:tcPr>
            <w:tcW w:w="3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w w:val="95"/>
              </w:rPr>
              <w:t>11/30/2017</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1,148</w:t>
            </w:r>
          </w:p>
        </w:tc>
        <w:tc>
          <w:tcPr>
            <w:tcW w:w="180" w:type="dxa"/>
            <w:vAlign w:val="bottom"/>
          </w:tcPr>
          <w:p>
            <w:pPr>
              <w:spacing w:after="0"/>
              <w:rPr>
                <w:sz w:val="11"/>
                <w:szCs w:val="11"/>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961</w:t>
            </w:r>
          </w:p>
        </w:tc>
        <w:tc>
          <w:tcPr>
            <w:tcW w:w="520" w:type="dxa"/>
            <w:vAlign w:val="bottom"/>
          </w:tcPr>
          <w:p>
            <w:pPr>
              <w:spacing w:after="0"/>
              <w:rPr>
                <w:sz w:val="11"/>
                <w:szCs w:val="11"/>
                <w:color w:val="auto"/>
              </w:rPr>
            </w:pPr>
          </w:p>
        </w:tc>
      </w:tr>
      <w:tr>
        <w:trPr>
          <w:trHeight w:val="27"/>
        </w:trPr>
        <w:tc>
          <w:tcPr>
            <w:tcW w:w="27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18,281</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18,182</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r>
      <w:tr>
        <w:trPr>
          <w:trHeight w:val="135"/>
        </w:trPr>
        <w:tc>
          <w:tcPr>
            <w:tcW w:w="2720" w:type="dxa"/>
            <w:vAlign w:val="bottom"/>
          </w:tcPr>
          <w:p>
            <w:pPr>
              <w:spacing w:after="0" w:line="135" w:lineRule="exact"/>
              <w:rPr>
                <w:sz w:val="20"/>
                <w:szCs w:val="20"/>
                <w:color w:val="auto"/>
              </w:rPr>
            </w:pPr>
            <w:r>
              <w:rPr>
                <w:rFonts w:ascii="Arial" w:cs="Arial" w:eastAsia="Arial" w:hAnsi="Arial"/>
                <w:sz w:val="13"/>
                <w:szCs w:val="13"/>
                <w:i w:val="1"/>
                <w:iCs w:val="1"/>
                <w:color w:val="auto"/>
              </w:rPr>
              <w:t>Midwest Transit Equipment, Inc.</w:t>
            </w:r>
          </w:p>
        </w:tc>
        <w:tc>
          <w:tcPr>
            <w:tcW w:w="3380" w:type="dxa"/>
            <w:vAlign w:val="bottom"/>
          </w:tcPr>
          <w:p>
            <w:pPr>
              <w:ind w:left="60"/>
              <w:spacing w:after="0" w:line="135" w:lineRule="exact"/>
              <w:rPr>
                <w:sz w:val="20"/>
                <w:szCs w:val="20"/>
                <w:color w:val="auto"/>
              </w:rPr>
            </w:pPr>
            <w:r>
              <w:rPr>
                <w:rFonts w:ascii="Arial" w:cs="Arial" w:eastAsia="Arial" w:hAnsi="Arial"/>
                <w:sz w:val="13"/>
                <w:szCs w:val="13"/>
                <w:color w:val="auto"/>
              </w:rPr>
              <w:t>Transportation services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72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Warrant (14,384 shares) (j)(m)</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6/23/2017</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361</w:t>
            </w: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1,244</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20"/>
        </w:trPr>
        <w:tc>
          <w:tcPr>
            <w:tcW w:w="2720" w:type="dxa"/>
            <w:vAlign w:val="bottom"/>
          </w:tcPr>
          <w:p>
            <w:pPr>
              <w:ind w:left="260"/>
              <w:spacing w:after="0" w:line="121" w:lineRule="exact"/>
              <w:rPr>
                <w:sz w:val="20"/>
                <w:szCs w:val="20"/>
                <w:color w:val="auto"/>
              </w:rPr>
            </w:pPr>
            <w:r>
              <w:rPr>
                <w:rFonts w:ascii="Arial" w:cs="Arial" w:eastAsia="Arial" w:hAnsi="Arial"/>
                <w:sz w:val="13"/>
                <w:szCs w:val="13"/>
                <w:color w:val="auto"/>
                <w:w w:val="91"/>
              </w:rPr>
              <w:t>Warrant (9.59% of Junior Subordinated Notes)</w:t>
            </w:r>
          </w:p>
        </w:tc>
        <w:tc>
          <w:tcPr>
            <w:tcW w:w="3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56"/>
        </w:trPr>
        <w:tc>
          <w:tcPr>
            <w:tcW w:w="2720" w:type="dxa"/>
            <w:vAlign w:val="bottom"/>
          </w:tcPr>
          <w:p>
            <w:pPr>
              <w:ind w:left="380"/>
              <w:spacing w:after="0"/>
              <w:rPr>
                <w:sz w:val="20"/>
                <w:szCs w:val="20"/>
                <w:color w:val="auto"/>
              </w:rPr>
            </w:pPr>
            <w:r>
              <w:rPr>
                <w:rFonts w:ascii="Arial" w:cs="Arial" w:eastAsia="Arial" w:hAnsi="Arial"/>
                <w:sz w:val="13"/>
                <w:szCs w:val="13"/>
                <w:color w:val="auto"/>
              </w:rPr>
              <w:t>(j)(q)</w:t>
            </w:r>
          </w:p>
        </w:tc>
        <w:tc>
          <w:tcPr>
            <w:tcW w:w="3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auto"/>
              </w:rPr>
              <w:t>6/23/2017</w:t>
            </w: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381</w:t>
            </w:r>
          </w:p>
        </w:tc>
        <w:tc>
          <w:tcPr>
            <w:tcW w:w="180" w:type="dxa"/>
            <w:vAlign w:val="bottom"/>
          </w:tcPr>
          <w:p>
            <w:pPr>
              <w:spacing w:after="0"/>
              <w:rPr>
                <w:sz w:val="13"/>
                <w:szCs w:val="13"/>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color w:val="auto"/>
              </w:rPr>
              <w:t>467</w:t>
            </w:r>
          </w:p>
        </w:tc>
        <w:tc>
          <w:tcPr>
            <w:tcW w:w="520" w:type="dxa"/>
            <w:vAlign w:val="bottom"/>
          </w:tcPr>
          <w:p>
            <w:pPr>
              <w:spacing w:after="0"/>
              <w:rPr>
                <w:sz w:val="13"/>
                <w:szCs w:val="13"/>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742</w:t>
            </w:r>
          </w:p>
        </w:tc>
        <w:tc>
          <w:tcPr>
            <w:tcW w:w="18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1,711</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r>
      <w:tr>
        <w:trPr>
          <w:trHeight w:val="120"/>
        </w:trPr>
        <w:tc>
          <w:tcPr>
            <w:tcW w:w="2720" w:type="dxa"/>
            <w:vAlign w:val="bottom"/>
          </w:tcPr>
          <w:p>
            <w:pPr>
              <w:spacing w:after="0" w:line="121" w:lineRule="exact"/>
              <w:rPr>
                <w:sz w:val="20"/>
                <w:szCs w:val="20"/>
                <w:color w:val="auto"/>
              </w:rPr>
            </w:pPr>
            <w:r>
              <w:rPr>
                <w:rFonts w:ascii="Arial" w:cs="Arial" w:eastAsia="Arial" w:hAnsi="Arial"/>
                <w:sz w:val="13"/>
                <w:szCs w:val="13"/>
                <w:i w:val="1"/>
                <w:iCs w:val="1"/>
                <w:color w:val="auto"/>
              </w:rPr>
              <w:t>NGT Acquisition Holdings, LLC (dba Techniks</w:t>
            </w:r>
          </w:p>
        </w:tc>
        <w:tc>
          <w:tcPr>
            <w:tcW w:w="3380" w:type="dxa"/>
            <w:vAlign w:val="bottom"/>
          </w:tcPr>
          <w:p>
            <w:pPr>
              <w:ind w:left="60"/>
              <w:spacing w:after="0" w:line="121" w:lineRule="exact"/>
              <w:rPr>
                <w:sz w:val="20"/>
                <w:szCs w:val="20"/>
                <w:color w:val="auto"/>
              </w:rPr>
            </w:pPr>
            <w:r>
              <w:rPr>
                <w:rFonts w:ascii="Arial" w:cs="Arial" w:eastAsia="Arial" w:hAnsi="Arial"/>
                <w:sz w:val="13"/>
                <w:szCs w:val="13"/>
                <w:color w:val="auto"/>
              </w:rPr>
              <w:t>Component Manufacturing</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9"/>
        </w:trPr>
        <w:tc>
          <w:tcPr>
            <w:tcW w:w="2720" w:type="dxa"/>
            <w:vAlign w:val="bottom"/>
          </w:tcPr>
          <w:p>
            <w:pPr>
              <w:ind w:left="140"/>
              <w:spacing w:after="0"/>
              <w:rPr>
                <w:sz w:val="20"/>
                <w:szCs w:val="20"/>
                <w:color w:val="auto"/>
              </w:rPr>
            </w:pPr>
            <w:r>
              <w:rPr>
                <w:rFonts w:ascii="Arial" w:cs="Arial" w:eastAsia="Arial" w:hAnsi="Arial"/>
                <w:sz w:val="13"/>
                <w:szCs w:val="13"/>
                <w:i w:val="1"/>
                <w:iCs w:val="1"/>
                <w:color w:val="auto"/>
              </w:rPr>
              <w:t>Industries)</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272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(378 units) (j)</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5/24/2017</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98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155</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r>
      <w:tr>
        <w:trPr>
          <w:trHeight w:val="228"/>
        </w:trPr>
        <w:tc>
          <w:tcPr>
            <w:tcW w:w="2720" w:type="dxa"/>
            <w:vAlign w:val="bottom"/>
          </w:tcPr>
          <w:p>
            <w:pPr>
              <w:spacing w:after="0"/>
              <w:rPr>
                <w:sz w:val="20"/>
                <w:szCs w:val="20"/>
                <w:color w:val="auto"/>
              </w:rPr>
            </w:pPr>
            <w:r>
              <w:rPr>
                <w:rFonts w:ascii="Arial" w:cs="Arial" w:eastAsia="Arial" w:hAnsi="Arial"/>
                <w:sz w:val="13"/>
                <w:szCs w:val="13"/>
                <w:i w:val="1"/>
                <w:iCs w:val="1"/>
                <w:color w:val="auto"/>
              </w:rPr>
              <w:t>OMC Investors, LLC (dba Ohio Medical</w:t>
            </w:r>
          </w:p>
        </w:tc>
        <w:tc>
          <w:tcPr>
            <w:tcW w:w="3380" w:type="dxa"/>
            <w:vAlign w:val="bottom"/>
          </w:tcPr>
          <w:p>
            <w:pPr>
              <w:ind w:left="60"/>
              <w:spacing w:after="0"/>
              <w:rPr>
                <w:sz w:val="20"/>
                <w:szCs w:val="20"/>
                <w:color w:val="auto"/>
              </w:rPr>
            </w:pPr>
            <w:r>
              <w:rPr>
                <w:rFonts w:ascii="Arial" w:cs="Arial" w:eastAsia="Arial" w:hAnsi="Arial"/>
                <w:sz w:val="13"/>
                <w:szCs w:val="13"/>
                <w:color w:val="auto"/>
              </w:rPr>
              <w:t>Healthcare Products</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49"/>
        </w:trPr>
        <w:tc>
          <w:tcPr>
            <w:tcW w:w="2720" w:type="dxa"/>
            <w:vAlign w:val="bottom"/>
          </w:tcPr>
          <w:p>
            <w:pPr>
              <w:ind w:left="140"/>
              <w:spacing w:after="0"/>
              <w:rPr>
                <w:sz w:val="20"/>
                <w:szCs w:val="20"/>
                <w:color w:val="auto"/>
              </w:rPr>
            </w:pPr>
            <w:r>
              <w:rPr>
                <w:rFonts w:ascii="Arial" w:cs="Arial" w:eastAsia="Arial" w:hAnsi="Arial"/>
                <w:sz w:val="13"/>
                <w:szCs w:val="13"/>
                <w:i w:val="1"/>
                <w:iCs w:val="1"/>
                <w:color w:val="auto"/>
              </w:rPr>
              <w:t>Corporation)</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272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12.00%/0.00%</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1/15/2016</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7/15/2021</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10,000</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9,972</w:t>
            </w:r>
          </w:p>
        </w:tc>
        <w:tc>
          <w:tcPr>
            <w:tcW w:w="98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10,000</w:t>
            </w:r>
          </w:p>
        </w:tc>
        <w:tc>
          <w:tcPr>
            <w:tcW w:w="520" w:type="dxa"/>
            <w:vAlign w:val="bottom"/>
            <w:shd w:val="clear" w:color="auto" w:fill="CCEEFF"/>
          </w:tcPr>
          <w:p>
            <w:pPr>
              <w:spacing w:after="0"/>
              <w:rPr>
                <w:sz w:val="11"/>
                <w:szCs w:val="11"/>
                <w:color w:val="auto"/>
              </w:rPr>
            </w:pPr>
          </w:p>
        </w:tc>
      </w:tr>
      <w:tr>
        <w:trPr>
          <w:trHeight w:val="135"/>
        </w:trPr>
        <w:tc>
          <w:tcPr>
            <w:tcW w:w="2720" w:type="dxa"/>
            <w:vAlign w:val="bottom"/>
          </w:tcPr>
          <w:p>
            <w:pPr>
              <w:ind w:left="260"/>
              <w:spacing w:after="0" w:line="135" w:lineRule="exact"/>
              <w:rPr>
                <w:sz w:val="20"/>
                <w:szCs w:val="20"/>
                <w:color w:val="auto"/>
              </w:rPr>
            </w:pPr>
            <w:r>
              <w:rPr>
                <w:rFonts w:ascii="Arial" w:cs="Arial" w:eastAsia="Arial" w:hAnsi="Arial"/>
                <w:sz w:val="13"/>
                <w:szCs w:val="13"/>
                <w:color w:val="auto"/>
              </w:rPr>
              <w:t>Common Equity (5,000 units)</w:t>
            </w:r>
          </w:p>
        </w:tc>
        <w:tc>
          <w:tcPr>
            <w:tcW w:w="3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rPr>
              <w:t>1/15/2016</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500</w:t>
            </w:r>
          </w:p>
        </w:tc>
        <w:tc>
          <w:tcPr>
            <w:tcW w:w="180" w:type="dxa"/>
            <w:vAlign w:val="bottom"/>
          </w:tcPr>
          <w:p>
            <w:pPr>
              <w:spacing w:after="0"/>
              <w:rPr>
                <w:sz w:val="11"/>
                <w:szCs w:val="11"/>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475</w:t>
            </w:r>
          </w:p>
        </w:tc>
        <w:tc>
          <w:tcPr>
            <w:tcW w:w="520" w:type="dxa"/>
            <w:vAlign w:val="bottom"/>
          </w:tcPr>
          <w:p>
            <w:pPr>
              <w:spacing w:after="0"/>
              <w:rPr>
                <w:sz w:val="11"/>
                <w:szCs w:val="11"/>
                <w:color w:val="auto"/>
              </w:rPr>
            </w:pPr>
          </w:p>
        </w:tc>
      </w:tr>
      <w:tr>
        <w:trPr>
          <w:trHeight w:val="27"/>
        </w:trPr>
        <w:tc>
          <w:tcPr>
            <w:tcW w:w="27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10,472</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10,475</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8" w:right="4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140" w:type="dxa"/>
            <w:vAlign w:val="bottom"/>
            <w:gridSpan w:val="2"/>
          </w:tcPr>
          <w:p>
            <w:pPr>
              <w:spacing w:after="0"/>
              <w:rPr>
                <w:sz w:val="20"/>
                <w:szCs w:val="20"/>
                <w:color w:val="auto"/>
              </w:rPr>
            </w:pPr>
            <w:r>
              <w:rPr>
                <w:rFonts w:ascii="Arial" w:cs="Arial" w:eastAsia="Arial" w:hAnsi="Arial"/>
                <w:sz w:val="13"/>
                <w:szCs w:val="13"/>
                <w:b w:val="1"/>
                <w:bCs w:val="1"/>
                <w:color w:val="auto"/>
              </w:rPr>
              <w:t>Portfolio Company (a)(b)</w:t>
            </w: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Variable Index</w:t>
            </w: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Rate (e)</w:t>
            </w: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w w:val="99"/>
              </w:rPr>
              <w:t>Investment</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Principal</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Fair</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1"/>
              </w:rPr>
              <w:t>Percent of</w:t>
            </w:r>
          </w:p>
        </w:tc>
      </w:tr>
      <w:tr>
        <w:trPr>
          <w:trHeight w:val="168"/>
        </w:trPr>
        <w:tc>
          <w:tcPr>
            <w:tcW w:w="1080" w:type="dxa"/>
            <w:vAlign w:val="bottom"/>
            <w:tcBorders>
              <w:bottom w:val="single" w:sz="8" w:color="auto"/>
            </w:tcBorders>
          </w:tcPr>
          <w:p>
            <w:pPr>
              <w:spacing w:after="0" w:line="148" w:lineRule="exact"/>
              <w:rPr>
                <w:sz w:val="20"/>
                <w:szCs w:val="20"/>
                <w:color w:val="auto"/>
              </w:rPr>
            </w:pPr>
            <w:r>
              <w:rPr>
                <w:rFonts w:ascii="Arial" w:cs="Arial" w:eastAsia="Arial" w:hAnsi="Arial"/>
                <w:sz w:val="13"/>
                <w:szCs w:val="13"/>
                <w:b w:val="1"/>
                <w:bCs w:val="1"/>
                <w:color w:val="auto"/>
                <w:w w:val="86"/>
              </w:rPr>
              <w:t>Investment Type (c)</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ind w:left="580"/>
              <w:spacing w:after="0" w:line="148" w:lineRule="exact"/>
              <w:rPr>
                <w:sz w:val="20"/>
                <w:szCs w:val="20"/>
                <w:color w:val="auto"/>
              </w:rPr>
            </w:pPr>
            <w:r>
              <w:rPr>
                <w:rFonts w:ascii="Arial" w:cs="Arial" w:eastAsia="Arial" w:hAnsi="Arial"/>
                <w:sz w:val="13"/>
                <w:szCs w:val="13"/>
                <w:b w:val="1"/>
                <w:bCs w:val="1"/>
                <w:color w:val="auto"/>
              </w:rPr>
              <w:t>Industry</w:t>
            </w:r>
          </w:p>
        </w:tc>
        <w:tc>
          <w:tcPr>
            <w:tcW w:w="122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89"/>
              </w:rPr>
              <w:t>Spread / Floor (d)</w:t>
            </w:r>
          </w:p>
        </w:tc>
        <w:tc>
          <w:tcPr>
            <w:tcW w:w="86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91"/>
              </w:rPr>
              <w:t>Cash/PIK</w:t>
            </w:r>
          </w:p>
        </w:tc>
        <w:tc>
          <w:tcPr>
            <w:tcW w:w="700" w:type="dxa"/>
            <w:vAlign w:val="bottom"/>
            <w:gridSpan w:val="2"/>
          </w:tcPr>
          <w:p>
            <w:pPr>
              <w:ind w:left="100"/>
              <w:spacing w:after="0" w:line="148" w:lineRule="exact"/>
              <w:rPr>
                <w:sz w:val="20"/>
                <w:szCs w:val="20"/>
                <w:color w:val="auto"/>
              </w:rPr>
            </w:pPr>
            <w:r>
              <w:rPr>
                <w:rFonts w:ascii="Arial" w:cs="Arial" w:eastAsia="Arial" w:hAnsi="Arial"/>
                <w:sz w:val="13"/>
                <w:szCs w:val="13"/>
                <w:b w:val="1"/>
                <w:bCs w:val="1"/>
                <w:color w:val="auto"/>
              </w:rPr>
              <w:t>Date (f)</w:t>
            </w:r>
          </w:p>
        </w:tc>
        <w:tc>
          <w:tcPr>
            <w:tcW w:w="680" w:type="dxa"/>
            <w:vAlign w:val="bottom"/>
            <w:gridSpan w:val="2"/>
          </w:tcPr>
          <w:p>
            <w:pPr>
              <w:ind w:left="40"/>
              <w:spacing w:after="0" w:line="148" w:lineRule="exact"/>
              <w:rPr>
                <w:sz w:val="20"/>
                <w:szCs w:val="20"/>
                <w:color w:val="auto"/>
              </w:rPr>
            </w:pPr>
            <w:r>
              <w:rPr>
                <w:rFonts w:ascii="Arial" w:cs="Arial" w:eastAsia="Arial" w:hAnsi="Arial"/>
                <w:sz w:val="13"/>
                <w:szCs w:val="13"/>
                <w:b w:val="1"/>
                <w:bCs w:val="1"/>
                <w:color w:val="auto"/>
              </w:rPr>
              <w:t>Maturity</w:t>
            </w:r>
          </w:p>
        </w:tc>
        <w:tc>
          <w:tcPr>
            <w:tcW w:w="62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89"/>
              </w:rPr>
              <w:t>Amount</w:t>
            </w:r>
          </w:p>
        </w:tc>
        <w:tc>
          <w:tcPr>
            <w:tcW w:w="56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rPr>
              <w:t>Cost</w:t>
            </w:r>
          </w:p>
        </w:tc>
        <w:tc>
          <w:tcPr>
            <w:tcW w:w="620" w:type="dxa"/>
            <w:vAlign w:val="bottom"/>
            <w:gridSpan w:val="2"/>
          </w:tcPr>
          <w:p>
            <w:pPr>
              <w:jc w:val="right"/>
              <w:ind w:right="140"/>
              <w:spacing w:after="0" w:line="148" w:lineRule="exact"/>
              <w:rPr>
                <w:sz w:val="20"/>
                <w:szCs w:val="20"/>
                <w:color w:val="auto"/>
              </w:rPr>
            </w:pPr>
            <w:r>
              <w:rPr>
                <w:rFonts w:ascii="Arial" w:cs="Arial" w:eastAsia="Arial" w:hAnsi="Arial"/>
                <w:sz w:val="13"/>
                <w:szCs w:val="13"/>
                <w:b w:val="1"/>
                <w:bCs w:val="1"/>
                <w:color w:val="auto"/>
                <w:w w:val="83"/>
              </w:rPr>
              <w:t>Value (g)</w:t>
            </w:r>
          </w:p>
        </w:tc>
        <w:tc>
          <w:tcPr>
            <w:tcW w:w="70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auto"/>
                <w:w w:val="77"/>
              </w:rPr>
              <w:t>Net Assets</w:t>
            </w:r>
          </w:p>
        </w:tc>
      </w:tr>
      <w:tr>
        <w:trPr>
          <w:trHeight w:val="107"/>
        </w:trPr>
        <w:tc>
          <w:tcPr>
            <w:tcW w:w="3140" w:type="dxa"/>
            <w:vAlign w:val="bottom"/>
            <w:tcBorders>
              <w:top w:val="single" w:sz="8" w:color="CCEEFF"/>
            </w:tcBorders>
            <w:gridSpan w:val="2"/>
            <w:shd w:val="clear" w:color="auto" w:fill="CCEEFF"/>
          </w:tcPr>
          <w:p>
            <w:pPr>
              <w:spacing w:after="0" w:line="107" w:lineRule="exact"/>
              <w:rPr>
                <w:sz w:val="20"/>
                <w:szCs w:val="20"/>
                <w:color w:val="auto"/>
              </w:rPr>
            </w:pPr>
            <w:r>
              <w:rPr>
                <w:rFonts w:ascii="Arial" w:cs="Arial" w:eastAsia="Arial" w:hAnsi="Arial"/>
                <w:sz w:val="12"/>
                <w:szCs w:val="12"/>
                <w:i w:val="1"/>
                <w:iCs w:val="1"/>
                <w:color w:val="auto"/>
              </w:rPr>
              <w:t>Palisade Company, LLC</w:t>
            </w:r>
          </w:p>
        </w:tc>
        <w:tc>
          <w:tcPr>
            <w:tcW w:w="160" w:type="dxa"/>
            <w:vAlign w:val="bottom"/>
            <w:tcBorders>
              <w:top w:val="single" w:sz="8" w:color="CCEEFF"/>
            </w:tcBorders>
            <w:shd w:val="clear" w:color="auto" w:fill="CCEEFF"/>
          </w:tcPr>
          <w:p>
            <w:pPr>
              <w:spacing w:after="0"/>
              <w:rPr>
                <w:sz w:val="9"/>
                <w:szCs w:val="9"/>
                <w:color w:val="auto"/>
              </w:rPr>
            </w:pPr>
          </w:p>
        </w:tc>
        <w:tc>
          <w:tcPr>
            <w:tcW w:w="1640" w:type="dxa"/>
            <w:vAlign w:val="bottom"/>
            <w:tcBorders>
              <w:top w:val="single" w:sz="8" w:color="auto"/>
            </w:tcBorders>
            <w:shd w:val="clear" w:color="auto" w:fill="CCEEFF"/>
          </w:tcPr>
          <w:p>
            <w:pPr>
              <w:spacing w:after="0" w:line="107" w:lineRule="exact"/>
              <w:rPr>
                <w:sz w:val="20"/>
                <w:szCs w:val="20"/>
                <w:color w:val="auto"/>
              </w:rPr>
            </w:pPr>
            <w:r>
              <w:rPr>
                <w:rFonts w:ascii="Arial" w:cs="Arial" w:eastAsia="Arial" w:hAnsi="Arial"/>
                <w:sz w:val="12"/>
                <w:szCs w:val="12"/>
                <w:color w:val="auto"/>
              </w:rPr>
              <w:t>Information Technology</w:t>
            </w:r>
          </w:p>
        </w:tc>
        <w:tc>
          <w:tcPr>
            <w:tcW w:w="100" w:type="dxa"/>
            <w:vAlign w:val="bottom"/>
            <w:tcBorders>
              <w:top w:val="single" w:sz="8" w:color="CCEEFF"/>
            </w:tcBorders>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r>
      <w:tr>
        <w:trPr>
          <w:trHeight w:val="149"/>
        </w:trPr>
        <w:tc>
          <w:tcPr>
            <w:tcW w:w="10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90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Services</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Subordinated Debt (j)</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11.75%/0.00%</w:t>
            </w: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w w:val="89"/>
              </w:rPr>
              <w:t>11/15/2018</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5/15/2024</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4"/>
              </w:rPr>
              <w:t>$   6,500</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$ 6,474</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w w:val="97"/>
              </w:rPr>
              <w:t>$  6,500</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(100 shares) (j)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11/15/2018</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1,000</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901</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7,474</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7,401</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2%</w:t>
            </w: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Palmetto Moon, LLC</w:t>
            </w:r>
          </w:p>
        </w:tc>
        <w:tc>
          <w:tcPr>
            <w:tcW w:w="190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Retail</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First Lien Debt</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11.50%/2.50%</w:t>
            </w: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11/3/2016</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6"/>
              </w:rPr>
              <w:t>10/31/2021</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4,963</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4,949</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4,963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(499 units) (j)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11/3/2016</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494</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5,443</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5,030</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1%</w:t>
            </w: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Power Grid Components, Inc.</w:t>
            </w:r>
          </w:p>
        </w:tc>
        <w:tc>
          <w:tcPr>
            <w:tcW w:w="190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Specialty Distribution</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11.00%/1.00%</w:t>
            </w: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4/12/2018</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12/2/2025</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22,207</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22,115</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22,207</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Preferred Equity (392 shares) (j)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4/12/2018</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392</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459</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Preferred Equity (48 shares) (j)</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12/2/2019</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57</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(10,622 shares) (j)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4/12/2018</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462</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610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23,017</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23,333</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6%</w:t>
            </w: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Prime AE Group, Inc.</w:t>
            </w:r>
          </w:p>
        </w:tc>
        <w:tc>
          <w:tcPr>
            <w:tcW w:w="190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Business Services</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First Lien Debt (j)</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0"/>
              </w:rPr>
              <w:t>(L + 6.25%) / (2.00%)</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8.25%/0.00%</w:t>
            </w: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w w:val="89"/>
              </w:rPr>
              <w:t>11/25/2019</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6"/>
              </w:rPr>
              <w:t>11/25/2024</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7,500</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7,312</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7,312</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Preferred Equity (500,000 shares) (j)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11/25/2019</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500</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500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7,812</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7,812</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2%</w:t>
            </w: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Pugh Lubricants, LLC</w:t>
            </w:r>
          </w:p>
        </w:tc>
        <w:tc>
          <w:tcPr>
            <w:tcW w:w="190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Specialty Distribution</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12.25%/0.00%</w:t>
            </w: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w w:val="89"/>
              </w:rPr>
              <w:t>11/10/2016</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5/10/2022</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23,581</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23,521</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23,581</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(6,125 units) (h)(j)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11/10/2016</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576</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1,199</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24,097</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24,780</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6%</w:t>
            </w:r>
          </w:p>
        </w:tc>
      </w:tr>
      <w:tr>
        <w:trPr>
          <w:trHeight w:val="120"/>
        </w:trPr>
        <w:tc>
          <w:tcPr>
            <w:tcW w:w="31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i w:val="1"/>
                <w:iCs w:val="1"/>
                <w:color w:val="auto"/>
              </w:rPr>
              <w:t>Revenue Management Solutions, LLC</w:t>
            </w:r>
          </w:p>
        </w:tc>
        <w:tc>
          <w:tcPr>
            <w:tcW w:w="1900" w:type="dxa"/>
            <w:vAlign w:val="bottom"/>
            <w:gridSpan w:val="3"/>
            <w:shd w:val="clear" w:color="auto" w:fill="CCEEFF"/>
          </w:tcPr>
          <w:p>
            <w:pPr>
              <w:ind w:left="160"/>
              <w:spacing w:after="0" w:line="121" w:lineRule="exact"/>
              <w:rPr>
                <w:sz w:val="20"/>
                <w:szCs w:val="20"/>
                <w:color w:val="auto"/>
              </w:rPr>
            </w:pPr>
            <w:r>
              <w:rPr>
                <w:rFonts w:ascii="Arial" w:cs="Arial" w:eastAsia="Arial" w:hAnsi="Arial"/>
                <w:sz w:val="13"/>
                <w:szCs w:val="13"/>
                <w:color w:val="auto"/>
              </w:rPr>
              <w:t>Information Technology</w:t>
            </w: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49"/>
        </w:trPr>
        <w:tc>
          <w:tcPr>
            <w:tcW w:w="10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90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Services</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58"/>
        </w:trPr>
        <w:tc>
          <w:tcPr>
            <w:tcW w:w="3140" w:type="dxa"/>
            <w:vAlign w:val="bottom"/>
            <w:gridSpan w:val="2"/>
          </w:tcPr>
          <w:p>
            <w:pPr>
              <w:ind w:left="260"/>
              <w:spacing w:after="0"/>
              <w:rPr>
                <w:sz w:val="20"/>
                <w:szCs w:val="20"/>
                <w:color w:val="auto"/>
              </w:rPr>
            </w:pPr>
            <w:r>
              <w:rPr>
                <w:rFonts w:ascii="Arial" w:cs="Arial" w:eastAsia="Arial" w:hAnsi="Arial"/>
                <w:sz w:val="13"/>
                <w:szCs w:val="13"/>
                <w:color w:val="auto"/>
              </w:rPr>
              <w:t>Common Equity (2,250,000 shares)</w:t>
            </w: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1/4/2017</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2,250</w:t>
            </w:r>
          </w:p>
        </w:tc>
        <w:tc>
          <w:tcPr>
            <w:tcW w:w="480" w:type="dxa"/>
            <w:vAlign w:val="bottom"/>
          </w:tcPr>
          <w:p>
            <w:pPr>
              <w:jc w:val="right"/>
              <w:spacing w:after="0"/>
              <w:rPr>
                <w:sz w:val="20"/>
                <w:szCs w:val="20"/>
                <w:color w:val="auto"/>
              </w:rPr>
            </w:pPr>
            <w:r>
              <w:rPr>
                <w:rFonts w:ascii="Arial" w:cs="Arial" w:eastAsia="Arial" w:hAnsi="Arial"/>
                <w:sz w:val="13"/>
                <w:szCs w:val="13"/>
                <w:color w:val="auto"/>
              </w:rPr>
              <w:t>5,120</w:t>
            </w:r>
          </w:p>
        </w:tc>
        <w:tc>
          <w:tcPr>
            <w:tcW w:w="14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r>
      <w:tr>
        <w:trPr>
          <w:trHeight w:val="84"/>
        </w:trPr>
        <w:tc>
          <w:tcPr>
            <w:tcW w:w="10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Rhino Assembly Company, LLC</w:t>
            </w:r>
          </w:p>
        </w:tc>
        <w:tc>
          <w:tcPr>
            <w:tcW w:w="190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Specialty Distribution</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12.00%/1.00%</w:t>
            </w: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8/11/2017</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96"/>
              </w:rPr>
              <w:t>2/11/2023</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11,440</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11,402</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10,101</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w w:val="94"/>
              </w:rPr>
              <w:t>Delayed Draw Commitment ($875 commitment) (i)(j)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12.00%/1.00%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8/11/2017</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5/17/2022</w:t>
            </w:r>
          </w:p>
        </w:tc>
        <w:tc>
          <w:tcPr>
            <w:tcW w:w="620" w:type="dxa"/>
            <w:vAlign w:val="bottom"/>
            <w:gridSpan w:val="2"/>
            <w:shd w:val="clear" w:color="auto" w:fill="CCEEFF"/>
          </w:tcPr>
          <w:p>
            <w:pPr>
              <w:ind w:left="30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Preferred Equity (8,864 units) (h)(j)</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8/11/2017</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944</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499</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12,346</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10,600</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r>
      <w:tr>
        <w:trPr>
          <w:trHeight w:val="135"/>
        </w:trPr>
        <w:tc>
          <w:tcPr>
            <w:tcW w:w="314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Road Safety Services, Inc.</w:t>
            </w:r>
          </w:p>
        </w:tc>
        <w:tc>
          <w:tcPr>
            <w:tcW w:w="190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Business Services</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11.25%/1.50%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9/18/2018</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3/18/2024</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10,222</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10,185</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10,222</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Common Equity (655 units)</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9/18/2018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621</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10,806</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10,902</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r>
      <w:tr>
        <w:trPr>
          <w:trHeight w:val="135"/>
        </w:trPr>
        <w:tc>
          <w:tcPr>
            <w:tcW w:w="314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Rohrer Corporation</w:t>
            </w:r>
          </w:p>
        </w:tc>
        <w:tc>
          <w:tcPr>
            <w:tcW w:w="190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Packaging</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Subordinated Debt (j)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10.50%/1.00%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10/1/2018</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4/1/2024</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13,875</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13,822</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13,875</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Common Equity (400 shares)</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7/18/2016</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780</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1,256</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14,602</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15,131</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w:t>
            </w:r>
          </w:p>
        </w:tc>
      </w:tr>
      <w:tr>
        <w:trPr>
          <w:trHeight w:val="120"/>
        </w:trPr>
        <w:tc>
          <w:tcPr>
            <w:tcW w:w="3140" w:type="dxa"/>
            <w:vAlign w:val="bottom"/>
            <w:gridSpan w:val="2"/>
          </w:tcPr>
          <w:p>
            <w:pPr>
              <w:spacing w:after="0" w:line="121" w:lineRule="exact"/>
              <w:rPr>
                <w:sz w:val="20"/>
                <w:szCs w:val="20"/>
                <w:color w:val="auto"/>
              </w:rPr>
            </w:pPr>
            <w:r>
              <w:rPr>
                <w:rFonts w:ascii="Arial" w:cs="Arial" w:eastAsia="Arial" w:hAnsi="Arial"/>
                <w:sz w:val="13"/>
                <w:szCs w:val="13"/>
                <w:i w:val="1"/>
                <w:iCs w:val="1"/>
                <w:color w:val="auto"/>
              </w:rPr>
              <w:t>SES Investors, LLC (dba SES Foam)</w:t>
            </w:r>
          </w:p>
        </w:tc>
        <w:tc>
          <w:tcPr>
            <w:tcW w:w="1900" w:type="dxa"/>
            <w:vAlign w:val="bottom"/>
            <w:gridSpan w:val="3"/>
          </w:tcPr>
          <w:p>
            <w:pPr>
              <w:ind w:left="160"/>
              <w:spacing w:after="0" w:line="121" w:lineRule="exact"/>
              <w:rPr>
                <w:sz w:val="20"/>
                <w:szCs w:val="20"/>
                <w:color w:val="auto"/>
              </w:rPr>
            </w:pPr>
            <w:r>
              <w:rPr>
                <w:rFonts w:ascii="Arial" w:cs="Arial" w:eastAsia="Arial" w:hAnsi="Arial"/>
                <w:sz w:val="13"/>
                <w:szCs w:val="13"/>
                <w:color w:val="auto"/>
              </w:rPr>
              <w:t>Building Products</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9"/>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900" w:type="dxa"/>
            <w:vAlign w:val="bottom"/>
            <w:gridSpan w:val="3"/>
          </w:tcPr>
          <w:p>
            <w:pPr>
              <w:ind w:left="160"/>
              <w:spacing w:after="0"/>
              <w:rPr>
                <w:sz w:val="20"/>
                <w:szCs w:val="20"/>
                <w:color w:val="auto"/>
              </w:rPr>
            </w:pPr>
            <w:r>
              <w:rPr>
                <w:rFonts w:ascii="Arial" w:cs="Arial" w:eastAsia="Arial" w:hAnsi="Arial"/>
                <w:sz w:val="13"/>
                <w:szCs w:val="13"/>
                <w:color w:val="auto"/>
              </w:rPr>
              <w:t>Manufacturing</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314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13.00%/0.00%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9/8/2016</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6"/>
              </w:rPr>
              <w:t>12/29/2020</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3,095</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3,082</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3,095</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Common Equity (6,000 units) (h)(j)</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9/8/2016</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567</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856</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3,649</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3,951</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w:t>
            </w:r>
          </w:p>
        </w:tc>
      </w:tr>
      <w:tr>
        <w:trPr>
          <w:trHeight w:val="120"/>
        </w:trPr>
        <w:tc>
          <w:tcPr>
            <w:tcW w:w="3140" w:type="dxa"/>
            <w:vAlign w:val="bottom"/>
            <w:gridSpan w:val="2"/>
          </w:tcPr>
          <w:p>
            <w:pPr>
              <w:spacing w:after="0" w:line="121" w:lineRule="exact"/>
              <w:rPr>
                <w:sz w:val="20"/>
                <w:szCs w:val="20"/>
                <w:color w:val="auto"/>
              </w:rPr>
            </w:pPr>
            <w:r>
              <w:rPr>
                <w:rFonts w:ascii="Arial" w:cs="Arial" w:eastAsia="Arial" w:hAnsi="Arial"/>
                <w:sz w:val="13"/>
                <w:szCs w:val="13"/>
                <w:i w:val="1"/>
                <w:iCs w:val="1"/>
                <w:color w:val="auto"/>
              </w:rPr>
              <w:t>Software Technology, LLC</w:t>
            </w:r>
          </w:p>
        </w:tc>
        <w:tc>
          <w:tcPr>
            <w:tcW w:w="1900" w:type="dxa"/>
            <w:vAlign w:val="bottom"/>
            <w:gridSpan w:val="3"/>
          </w:tcPr>
          <w:p>
            <w:pPr>
              <w:ind w:left="160"/>
              <w:spacing w:after="0" w:line="121" w:lineRule="exact"/>
              <w:rPr>
                <w:sz w:val="20"/>
                <w:szCs w:val="20"/>
                <w:color w:val="auto"/>
              </w:rPr>
            </w:pPr>
            <w:r>
              <w:rPr>
                <w:rFonts w:ascii="Arial" w:cs="Arial" w:eastAsia="Arial" w:hAnsi="Arial"/>
                <w:sz w:val="13"/>
                <w:szCs w:val="13"/>
                <w:color w:val="auto"/>
              </w:rPr>
              <w:t>Information Technology</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9"/>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900" w:type="dxa"/>
            <w:vAlign w:val="bottom"/>
            <w:gridSpan w:val="3"/>
          </w:tcPr>
          <w:p>
            <w:pPr>
              <w:ind w:left="160"/>
              <w:spacing w:after="0"/>
              <w:rPr>
                <w:sz w:val="20"/>
                <w:szCs w:val="20"/>
                <w:color w:val="auto"/>
              </w:rPr>
            </w:pPr>
            <w:r>
              <w:rPr>
                <w:rFonts w:ascii="Arial" w:cs="Arial" w:eastAsia="Arial" w:hAnsi="Arial"/>
                <w:sz w:val="13"/>
                <w:szCs w:val="13"/>
                <w:color w:val="auto"/>
              </w:rPr>
              <w:t>Services</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314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Subordinated Debt (k)</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11.00%/0.00%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12/23/2016</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6/23/2023</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10,000</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9,972</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10,000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Common Equity (12 shares)</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w w:val="89"/>
              </w:rPr>
              <w:t>12/23/2016</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1,291</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1,578</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11,263</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11,578</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r>
      <w:tr>
        <w:trPr>
          <w:trHeight w:val="135"/>
        </w:trPr>
        <w:tc>
          <w:tcPr>
            <w:tcW w:w="314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Specialized Elevator Services Holdings, LLC</w:t>
            </w:r>
          </w:p>
        </w:tc>
        <w:tc>
          <w:tcPr>
            <w:tcW w:w="190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Business Services</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First Lien Debt (j)(y)</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0"/>
              </w:rPr>
              <w:t>(L + 5.25%) / (2.00%)</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7.25%/0.00%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5/7/2019</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5/3/2024</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7,080</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6,985</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7,080</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Common Equity (500 units) (j)</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5/8/2019</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500</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554</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7,485</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7,634</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r>
      <w:tr>
        <w:trPr>
          <w:trHeight w:val="135"/>
        </w:trPr>
        <w:tc>
          <w:tcPr>
            <w:tcW w:w="314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SpendMend LLC</w:t>
            </w:r>
          </w:p>
        </w:tc>
        <w:tc>
          <w:tcPr>
            <w:tcW w:w="190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Business Services</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11.00%/1.00%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1/8/2018</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7/8/2023</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10,491</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10,456</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10,491</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Common Equity (1,000,000 units)</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1/8/2018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1,000</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1,400</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11,456</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11,891</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r>
      <w:tr>
        <w:trPr>
          <w:trHeight w:val="135"/>
        </w:trPr>
        <w:tc>
          <w:tcPr>
            <w:tcW w:w="314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TransGo, LLC</w:t>
            </w:r>
          </w:p>
        </w:tc>
        <w:tc>
          <w:tcPr>
            <w:tcW w:w="190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Component Manufacturing</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(1,000 units)</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2/28/2017</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998</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1,005</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w:t>
            </w:r>
          </w:p>
        </w:tc>
      </w:tr>
      <w:tr>
        <w:trPr>
          <w:trHeight w:val="242"/>
        </w:trPr>
        <w:tc>
          <w:tcPr>
            <w:tcW w:w="3140" w:type="dxa"/>
            <w:vAlign w:val="bottom"/>
            <w:gridSpan w:val="2"/>
          </w:tcPr>
          <w:p>
            <w:pPr>
              <w:spacing w:after="0"/>
              <w:rPr>
                <w:sz w:val="20"/>
                <w:szCs w:val="20"/>
                <w:color w:val="auto"/>
              </w:rPr>
            </w:pPr>
            <w:r>
              <w:rPr>
                <w:rFonts w:ascii="Arial" w:cs="Arial" w:eastAsia="Arial" w:hAnsi="Arial"/>
                <w:sz w:val="13"/>
                <w:szCs w:val="13"/>
                <w:i w:val="1"/>
                <w:iCs w:val="1"/>
                <w:color w:val="auto"/>
              </w:rPr>
              <w:t>The Tranzonic Companies</w:t>
            </w:r>
          </w:p>
        </w:tc>
        <w:tc>
          <w:tcPr>
            <w:tcW w:w="1900" w:type="dxa"/>
            <w:vAlign w:val="bottom"/>
            <w:gridSpan w:val="3"/>
          </w:tcPr>
          <w:p>
            <w:pPr>
              <w:ind w:left="160"/>
              <w:spacing w:after="0"/>
              <w:rPr>
                <w:sz w:val="20"/>
                <w:szCs w:val="20"/>
                <w:color w:val="auto"/>
              </w:rPr>
            </w:pPr>
            <w:r>
              <w:rPr>
                <w:rFonts w:ascii="Arial" w:cs="Arial" w:eastAsia="Arial" w:hAnsi="Arial"/>
                <w:sz w:val="13"/>
                <w:szCs w:val="13"/>
                <w:color w:val="auto"/>
              </w:rPr>
              <w:t>Specialty Distribution</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35"/>
        </w:trPr>
        <w:tc>
          <w:tcPr>
            <w:tcW w:w="314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Subordinated Debt (j)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10.00%/1.50%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3/27/2018</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3/27/2025</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6,922</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6,870</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6,922</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Preferred Equity (5,653 units) (j)</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3/27/2018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565</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663</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(1 units) (j)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3/27/2018</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7,435</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7,611</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2%</w:t>
            </w: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UBEO, LLC</w:t>
            </w:r>
          </w:p>
        </w:tc>
        <w:tc>
          <w:tcPr>
            <w:tcW w:w="190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Business Services</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Subordinated Debt (j)</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11.00%/0.00%</w:t>
            </w: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4/3/2018</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10/3/2024</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13,893</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13,792</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13,645</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(705,000 units) (h)(j)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4/3/2018</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705</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811</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14,497</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14,456</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4%</w:t>
            </w: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United Biologics, LLC</w:t>
            </w:r>
          </w:p>
        </w:tc>
        <w:tc>
          <w:tcPr>
            <w:tcW w:w="190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Healthcare Services</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Preferred Equity (98,377 units) (h)(j)</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4/1/2012</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1,008</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Warrant (57,469 units) (m)</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3/5/2012</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566</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1,574</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44</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0%</w:t>
            </w: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Vanguard Dealer Services, LLC.(n)</w:t>
            </w:r>
          </w:p>
        </w:tc>
        <w:tc>
          <w:tcPr>
            <w:tcW w:w="190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Business Services</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Common Equity (6,000 units)</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3"/>
                <w:szCs w:val="13"/>
                <w:color w:val="auto"/>
              </w:rPr>
              <w:t>7/30/2015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(2,380 units) (j)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2/2/2018</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1"/>
        </w:trPr>
        <w:tc>
          <w:tcPr>
            <w:tcW w:w="10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4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r>
    </w:tbl>
    <w:p>
      <w:pPr>
        <w:spacing w:after="0" w:line="124" w:lineRule="exact"/>
        <w:rPr>
          <w:sz w:val="20"/>
          <w:szCs w:val="20"/>
          <w:color w:val="auto"/>
        </w:rPr>
      </w:pPr>
    </w:p>
    <w:p>
      <w:pPr>
        <w:sectPr>
          <w:pgSz w:w="11900" w:h="16838" w:orient="portrait"/>
          <w:cols w:equalWidth="0" w:num="1">
            <w:col w:w="11120"/>
          </w:cols>
          <w:pgMar w:left="320" w:top="458" w:right="459" w:bottom="1440" w:gutter="0" w:footer="0" w:header="0"/>
        </w:sectPr>
      </w:pPr>
    </w:p>
    <w:p>
      <w:pPr>
        <w:jc w:val="center"/>
        <w:ind w:right="-1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20"/>
          </w:cols>
          <w:pgMar w:left="320" w:top="458" w:right="4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Portfolio Company (a)(b)</w:t>
            </w: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Variable Index</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Rate (e)</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Investment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7"/>
              </w:rPr>
              <w:t>Principal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1"/>
              </w:rPr>
              <w:t>Percent of</w:t>
            </w: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tcPr>
          <w:p>
            <w:pPr>
              <w:spacing w:after="0" w:line="148" w:lineRule="exact"/>
              <w:rPr>
                <w:sz w:val="20"/>
                <w:szCs w:val="20"/>
                <w:color w:val="auto"/>
              </w:rPr>
            </w:pPr>
            <w:r>
              <w:rPr>
                <w:rFonts w:ascii="Arial" w:cs="Arial" w:eastAsia="Arial" w:hAnsi="Arial"/>
                <w:sz w:val="13"/>
                <w:szCs w:val="13"/>
                <w:b w:val="1"/>
                <w:bCs w:val="1"/>
                <w:color w:val="auto"/>
                <w:w w:val="86"/>
              </w:rPr>
              <w:t>Investment Type (c)</w:t>
            </w:r>
          </w:p>
        </w:tc>
        <w:tc>
          <w:tcPr>
            <w:tcW w:w="2000" w:type="dxa"/>
            <w:vAlign w:val="bottom"/>
          </w:tcPr>
          <w:p>
            <w:pPr>
              <w:spacing w:after="0"/>
              <w:rPr>
                <w:sz w:val="14"/>
                <w:szCs w:val="14"/>
                <w:color w:val="auto"/>
              </w:rPr>
            </w:pPr>
          </w:p>
        </w:tc>
        <w:tc>
          <w:tcPr>
            <w:tcW w:w="1880" w:type="dxa"/>
            <w:vAlign w:val="bottom"/>
            <w:gridSpan w:val="2"/>
          </w:tcPr>
          <w:p>
            <w:pPr>
              <w:ind w:left="640"/>
              <w:spacing w:after="0" w:line="148" w:lineRule="exact"/>
              <w:rPr>
                <w:sz w:val="20"/>
                <w:szCs w:val="20"/>
                <w:color w:val="auto"/>
              </w:rPr>
            </w:pPr>
            <w:r>
              <w:rPr>
                <w:rFonts w:ascii="Arial" w:cs="Arial" w:eastAsia="Arial" w:hAnsi="Arial"/>
                <w:sz w:val="13"/>
                <w:szCs w:val="13"/>
                <w:b w:val="1"/>
                <w:bCs w:val="1"/>
                <w:color w:val="auto"/>
              </w:rPr>
              <w:t>Industry</w:t>
            </w: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89"/>
              </w:rPr>
              <w:t>Spread / Floor (d)</w:t>
            </w:r>
          </w:p>
        </w:tc>
        <w:tc>
          <w:tcPr>
            <w:tcW w:w="86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4"/>
              </w:rPr>
              <w:t>Cash/PIK</w:t>
            </w:r>
          </w:p>
        </w:tc>
        <w:tc>
          <w:tcPr>
            <w:tcW w:w="720" w:type="dxa"/>
            <w:vAlign w:val="bottom"/>
            <w:gridSpan w:val="2"/>
          </w:tcPr>
          <w:p>
            <w:pPr>
              <w:ind w:left="100"/>
              <w:spacing w:after="0" w:line="148" w:lineRule="exact"/>
              <w:rPr>
                <w:sz w:val="20"/>
                <w:szCs w:val="20"/>
                <w:color w:val="auto"/>
              </w:rPr>
            </w:pPr>
            <w:r>
              <w:rPr>
                <w:rFonts w:ascii="Arial" w:cs="Arial" w:eastAsia="Arial" w:hAnsi="Arial"/>
                <w:sz w:val="13"/>
                <w:szCs w:val="13"/>
                <w:b w:val="1"/>
                <w:bCs w:val="1"/>
                <w:color w:val="auto"/>
              </w:rPr>
              <w:t>Date (f)</w:t>
            </w:r>
          </w:p>
        </w:tc>
        <w:tc>
          <w:tcPr>
            <w:tcW w:w="64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rPr>
              <w:t>Maturity</w:t>
            </w:r>
          </w:p>
        </w:tc>
        <w:tc>
          <w:tcPr>
            <w:tcW w:w="620" w:type="dxa"/>
            <w:vAlign w:val="bottom"/>
            <w:gridSpan w:val="2"/>
          </w:tcPr>
          <w:p>
            <w:pPr>
              <w:jc w:val="right"/>
              <w:ind w:right="140"/>
              <w:spacing w:after="0" w:line="148" w:lineRule="exact"/>
              <w:rPr>
                <w:sz w:val="20"/>
                <w:szCs w:val="20"/>
                <w:color w:val="auto"/>
              </w:rPr>
            </w:pPr>
            <w:r>
              <w:rPr>
                <w:rFonts w:ascii="Arial" w:cs="Arial" w:eastAsia="Arial" w:hAnsi="Arial"/>
                <w:sz w:val="13"/>
                <w:szCs w:val="13"/>
                <w:b w:val="1"/>
                <w:bCs w:val="1"/>
                <w:color w:val="auto"/>
                <w:w w:val="93"/>
              </w:rPr>
              <w:t>Amount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3"/>
          </w:tcPr>
          <w:p>
            <w:pPr>
              <w:ind w:left="60"/>
              <w:spacing w:after="0" w:line="148" w:lineRule="exact"/>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4"/>
                <w:szCs w:val="14"/>
                <w:color w:val="auto"/>
              </w:rPr>
            </w:pPr>
          </w:p>
        </w:tc>
        <w:tc>
          <w:tcPr>
            <w:tcW w:w="64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Value (g)</w:t>
            </w:r>
          </w:p>
        </w:tc>
        <w:tc>
          <w:tcPr>
            <w:tcW w:w="70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auto"/>
                <w:w w:val="77"/>
              </w:rPr>
              <w:t>Net Assets</w:t>
            </w:r>
          </w:p>
        </w:tc>
        <w:tc>
          <w:tcPr>
            <w:tcW w:w="0" w:type="dxa"/>
            <w:vAlign w:val="bottom"/>
          </w:tcPr>
          <w:p>
            <w:pPr>
              <w:spacing w:after="0"/>
              <w:rPr>
                <w:sz w:val="1"/>
                <w:szCs w:val="1"/>
                <w:color w:val="auto"/>
              </w:rPr>
            </w:pPr>
          </w:p>
        </w:tc>
      </w:tr>
      <w:tr>
        <w:trPr>
          <w:trHeight w:val="122"/>
        </w:trPr>
        <w:tc>
          <w:tcPr>
            <w:tcW w:w="308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3"/>
                <w:szCs w:val="13"/>
                <w:i w:val="1"/>
                <w:iCs w:val="1"/>
                <w:color w:val="auto"/>
              </w:rPr>
              <w:t>Virginia Tile Company, LLC</w:t>
            </w:r>
          </w:p>
        </w:tc>
        <w:tc>
          <w:tcPr>
            <w:tcW w:w="176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color w:val="auto"/>
              </w:rPr>
              <w:t>Specialty Distribution</w:t>
            </w:r>
          </w:p>
        </w:tc>
        <w:tc>
          <w:tcPr>
            <w:tcW w:w="12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12.25%/0.00%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w w:val="92"/>
              </w:rPr>
              <w:t>12/19/2014</w:t>
            </w:r>
          </w:p>
        </w:tc>
        <w:tc>
          <w:tcPr>
            <w:tcW w:w="10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4/7/2022</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$12,000</w:t>
            </w:r>
          </w:p>
        </w:tc>
        <w:tc>
          <w:tcPr>
            <w:tcW w:w="6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11,989</w:t>
            </w:r>
          </w:p>
        </w:tc>
        <w:tc>
          <w:tcPr>
            <w:tcW w:w="60" w:type="dxa"/>
            <w:vAlign w:val="bottom"/>
          </w:tcPr>
          <w:p>
            <w:pPr>
              <w:spacing w:after="0"/>
              <w:rPr>
                <w:sz w:val="11"/>
                <w:szCs w:val="11"/>
                <w:color w:val="auto"/>
              </w:rPr>
            </w:pPr>
          </w:p>
        </w:tc>
        <w:tc>
          <w:tcPr>
            <w:tcW w:w="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12,000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(17 units)</w:t>
            </w: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12/19/2014</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342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860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12,331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12,860</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Wheel Pros, Inc.</w:t>
            </w:r>
          </w:p>
        </w:tc>
        <w:tc>
          <w:tcPr>
            <w:tcW w:w="18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Specialty Distribution</w:t>
            </w: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(j)</w:t>
            </w: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0"/>
              </w:rPr>
              <w:t>(L + 8.50%) / (0.00%)</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10.30%/0.00%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5/17/2019</w:t>
            </w:r>
          </w:p>
        </w:tc>
        <w:tc>
          <w:tcPr>
            <w:tcW w:w="10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4/4/2026</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20,000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19,818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20,000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Preferred Equity (694,444 units)(j)</w:t>
            </w: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5/15/2019</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1,500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1,781</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21,318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21,781</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Worldwide Express Operations, LLC</w:t>
            </w:r>
          </w:p>
        </w:tc>
        <w:tc>
          <w:tcPr>
            <w:tcW w:w="18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Transportation services</w:t>
            </w: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(j)</w:t>
            </w: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0"/>
              </w:rPr>
              <w:t>(L + 8.00%) / (1.00%)</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9.90%/0.00%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2/27/2017</w:t>
            </w:r>
          </w:p>
        </w:tc>
        <w:tc>
          <w:tcPr>
            <w:tcW w:w="10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2/3/2025</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20,000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19,740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20,000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(4,000 units) (h)(j)</w:t>
            </w: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2/27/2017</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2,956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4,452</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22,696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24,452</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Non-control/Non-affiliate Investments</w:t>
            </w: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5"/>
              </w:rPr>
              <w:t>620,453</w:t>
            </w:r>
          </w:p>
        </w:tc>
        <w:tc>
          <w:tcPr>
            <w:tcW w:w="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u w:val="single" w:color="auto"/>
                <w:color w:val="auto"/>
                <w:w w:val="82"/>
              </w:rPr>
              <w:t>$</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5"/>
              </w:rPr>
              <w:t>623,544</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Investments</w:t>
            </w: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186%</w:t>
            </w:r>
          </w:p>
        </w:tc>
        <w:tc>
          <w:tcPr>
            <w:tcW w:w="0" w:type="dxa"/>
            <w:vAlign w:val="bottom"/>
          </w:tcPr>
          <w:p>
            <w:pPr>
              <w:spacing w:after="0" w:line="20" w:lineRule="exact"/>
              <w:rPr>
                <w:sz w:val="1"/>
                <w:szCs w:val="1"/>
                <w:color w:val="auto"/>
              </w:rPr>
            </w:pPr>
          </w:p>
        </w:tc>
      </w:tr>
      <w:tr>
        <w:trPr>
          <w:trHeight w:val="129"/>
        </w:trPr>
        <w:tc>
          <w:tcPr>
            <w:tcW w:w="3080" w:type="dxa"/>
            <w:vAlign w:val="bottom"/>
            <w:gridSpan w:val="2"/>
            <w:vMerge w:val="continue"/>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u w:val="single" w:color="auto"/>
                <w:color w:val="auto"/>
                <w:w w:val="70"/>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704,499</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u w:val="single" w:color="auto"/>
                <w:color w:val="auto"/>
                <w:w w:val="82"/>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766,919</w:t>
            </w: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93980</wp:posOffset>
            </wp:positionV>
            <wp:extent cx="7696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62" w:lineRule="exact"/>
        <w:rPr>
          <w:sz w:val="20"/>
          <w:szCs w:val="20"/>
          <w:color w:val="auto"/>
        </w:rPr>
      </w:pPr>
    </w:p>
    <w:p>
      <w:pPr>
        <w:ind w:left="560" w:hanging="431"/>
        <w:spacing w:after="0"/>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 Note 3 to the consolidated financial statements for portfolio composition by geographic location.</w:t>
      </w:r>
    </w:p>
    <w:p>
      <w:pPr>
        <w:ind w:left="560" w:hanging="431"/>
        <w:spacing w:after="0" w:line="220"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Equity ownership may be held in shares or units of companies related to the portfolio companies.</w:t>
      </w:r>
    </w:p>
    <w:p>
      <w:pPr>
        <w:ind w:left="560" w:hanging="431"/>
        <w:spacing w:after="0" w:line="220"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All debt investments are income producing, unless otherwise indicated. Equity investments are non-income producing unless otherwise noted.</w:t>
      </w:r>
    </w:p>
    <w:p>
      <w:pPr>
        <w:ind w:left="560" w:right="140" w:hanging="431"/>
        <w:spacing w:after="0" w:line="237" w:lineRule="auto"/>
        <w:tabs>
          <w:tab w:leader="none" w:pos="560" w:val="left"/>
        </w:tabs>
        <w:numPr>
          <w:ilvl w:val="0"/>
          <w:numId w:val="6"/>
        </w:numPr>
        <w:rPr>
          <w:rFonts w:ascii="Arial" w:cs="Arial" w:eastAsia="Arial" w:hAnsi="Arial"/>
          <w:sz w:val="13"/>
          <w:szCs w:val="13"/>
          <w:color w:val="auto"/>
        </w:rPr>
      </w:pPr>
      <w:r>
        <w:rPr>
          <w:rFonts w:ascii="Arial" w:cs="Arial" w:eastAsia="Arial" w:hAnsi="Arial"/>
          <w:sz w:val="13"/>
          <w:szCs w:val="13"/>
          <w:color w:val="auto"/>
        </w:rPr>
        <w:t>Variable rate investments bear interest at a rate indexed to LIBOR (L), which is reset monthly, bimonthly, quarterly, or semi-annually. Certain variable rate investments also include a LIBOR interest rate floor. For each investment, the Company has provided the spread over the reference rate and the LIBOR floor, if any, as of December 31, 2019.</w:t>
      </w:r>
    </w:p>
    <w:p>
      <w:pPr>
        <w:spacing w:after="0" w:line="1" w:lineRule="exact"/>
        <w:rPr>
          <w:rFonts w:ascii="Arial" w:cs="Arial" w:eastAsia="Arial" w:hAnsi="Arial"/>
          <w:sz w:val="13"/>
          <w:szCs w:val="13"/>
          <w:color w:val="auto"/>
        </w:rPr>
      </w:pPr>
    </w:p>
    <w:p>
      <w:pPr>
        <w:ind w:left="560" w:right="160" w:hanging="431"/>
        <w:spacing w:after="0" w:line="220"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Rate includes the cash interest or dividend rate and paid-in-kind interest or dividend rate, if any, as of December 31, 2019. Generally, payment-in-kind interest can be paid-in-kind or all in cash.</w:t>
      </w:r>
    </w:p>
    <w:p>
      <w:pPr>
        <w:spacing w:after="0" w:line="1" w:lineRule="exact"/>
        <w:rPr>
          <w:rFonts w:ascii="Arial" w:cs="Arial" w:eastAsia="Arial" w:hAnsi="Arial"/>
          <w:sz w:val="14"/>
          <w:szCs w:val="14"/>
          <w:color w:val="auto"/>
        </w:rPr>
      </w:pPr>
    </w:p>
    <w:p>
      <w:pPr>
        <w:ind w:left="560" w:hanging="431"/>
        <w:spacing w:after="0" w:line="220"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Investment date represents the date of the initial investment in the security.</w:t>
      </w:r>
    </w:p>
    <w:p>
      <w:pPr>
        <w:ind w:left="560" w:right="20" w:hanging="431"/>
        <w:spacing w:after="0" w:line="220"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1" w:lineRule="exact"/>
        <w:rPr>
          <w:rFonts w:ascii="Arial" w:cs="Arial" w:eastAsia="Arial" w:hAnsi="Arial"/>
          <w:sz w:val="14"/>
          <w:szCs w:val="14"/>
          <w:color w:val="auto"/>
        </w:rPr>
      </w:pPr>
    </w:p>
    <w:p>
      <w:pPr>
        <w:ind w:left="560" w:hanging="431"/>
        <w:spacing w:after="0" w:line="220"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Investment is held by a Taxable Subsidiary of the Company.</w:t>
      </w:r>
    </w:p>
    <w:p>
      <w:pPr>
        <w:ind w:left="560" w:right="440" w:hanging="431"/>
        <w:spacing w:after="0" w:line="220"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disclosed commitment represents the unfunded amount as of December 31, 2019. The Company is earning 0.50% interest on the unfunded balance of the commitment. The interest rate disclosed represents the rate which will be earned if the commitment is funded.</w:t>
      </w:r>
    </w:p>
    <w:p>
      <w:pPr>
        <w:spacing w:after="0" w:line="1" w:lineRule="exact"/>
        <w:rPr>
          <w:rFonts w:ascii="Arial" w:cs="Arial" w:eastAsia="Arial" w:hAnsi="Arial"/>
          <w:sz w:val="14"/>
          <w:szCs w:val="14"/>
          <w:color w:val="auto"/>
        </w:rPr>
      </w:pPr>
    </w:p>
    <w:p>
      <w:pPr>
        <w:ind w:left="560" w:hanging="431"/>
        <w:spacing w:after="0" w:line="220"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4"/>
          <w:szCs w:val="14"/>
          <w:color w:val="auto"/>
        </w:rPr>
      </w:pPr>
    </w:p>
    <w:p>
      <w:pPr>
        <w:ind w:left="560" w:right="220" w:hanging="431"/>
        <w:spacing w:after="0" w:line="237" w:lineRule="auto"/>
        <w:tabs>
          <w:tab w:leader="none" w:pos="5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3"/>
          <w:szCs w:val="13"/>
          <w:color w:val="auto"/>
        </w:rPr>
      </w:pPr>
    </w:p>
    <w:p>
      <w:pPr>
        <w:ind w:left="560" w:right="100" w:hanging="431"/>
        <w:spacing w:after="0" w:line="220"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spacing w:after="0" w:line="1" w:lineRule="exact"/>
        <w:rPr>
          <w:rFonts w:ascii="Arial" w:cs="Arial" w:eastAsia="Arial" w:hAnsi="Arial"/>
          <w:sz w:val="14"/>
          <w:szCs w:val="14"/>
          <w:color w:val="auto"/>
        </w:rPr>
      </w:pPr>
    </w:p>
    <w:p>
      <w:pPr>
        <w:ind w:left="560" w:right="140" w:hanging="431"/>
        <w:spacing w:after="0" w:line="220"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1" w:lineRule="exact"/>
        <w:rPr>
          <w:rFonts w:ascii="Arial" w:cs="Arial" w:eastAsia="Arial" w:hAnsi="Arial"/>
          <w:sz w:val="14"/>
          <w:szCs w:val="14"/>
          <w:color w:val="auto"/>
        </w:rPr>
      </w:pPr>
    </w:p>
    <w:p>
      <w:pPr>
        <w:ind w:left="560" w:hanging="431"/>
        <w:spacing w:after="0" w:line="220"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Investment in portfolio company that has sold its operations and is in the process of winding down.</w:t>
      </w:r>
    </w:p>
    <w:p>
      <w:pPr>
        <w:ind w:left="560" w:hanging="431"/>
        <w:spacing w:after="0" w:line="220"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Income producing. Maturity date, if any, represents mandatory redemption date.</w:t>
      </w:r>
    </w:p>
    <w:p>
      <w:pPr>
        <w:ind w:left="560" w:hanging="431"/>
        <w:spacing w:after="0" w:line="220"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Investment was on non-accrual status as of December 31, 2019, meaning the Company has ceased recognizing interest income on the investment.</w:t>
      </w:r>
    </w:p>
    <w:p>
      <w:pPr>
        <w:ind w:left="560" w:hanging="431"/>
        <w:spacing w:after="0" w:line="220"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Warrant entitles the Company to purchase 9.59% of the outstanding principal of Junior Subordinated Notes prior to exercise, and is non-income producing.</w:t>
      </w:r>
    </w:p>
    <w:p>
      <w:pPr>
        <w:ind w:left="560" w:right="60" w:hanging="431"/>
        <w:spacing w:after="0" w:line="220"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4.70%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left="560" w:right="60" w:hanging="431"/>
        <w:spacing w:after="0" w:line="220"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3.95%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left="560" w:right="140" w:hanging="431"/>
        <w:spacing w:after="0" w:line="237" w:lineRule="auto"/>
        <w:tabs>
          <w:tab w:leader="none" w:pos="560" w:val="left"/>
        </w:tabs>
        <w:numPr>
          <w:ilvl w:val="0"/>
          <w:numId w:val="6"/>
        </w:numPr>
        <w:rPr>
          <w:rFonts w:ascii="Arial" w:cs="Arial" w:eastAsia="Arial" w:hAnsi="Arial"/>
          <w:sz w:val="13"/>
          <w:szCs w:val="13"/>
          <w:color w:val="auto"/>
        </w:rPr>
      </w:pPr>
      <w:r>
        <w:rPr>
          <w:rFonts w:ascii="Arial" w:cs="Arial" w:eastAsia="Arial" w:hAnsi="Arial"/>
          <w:sz w:val="13"/>
          <w:szCs w:val="13"/>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1" w:lineRule="exact"/>
        <w:rPr>
          <w:rFonts w:ascii="Arial" w:cs="Arial" w:eastAsia="Arial" w:hAnsi="Arial"/>
          <w:sz w:val="13"/>
          <w:szCs w:val="13"/>
          <w:color w:val="auto"/>
        </w:rPr>
      </w:pPr>
    </w:p>
    <w:p>
      <w:pPr>
        <w:ind w:left="560" w:right="440" w:hanging="431"/>
        <w:spacing w:after="0" w:line="220"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disclosed commitment represents the unfunded amount as of December 31, 2019. The Company is earning 0.75% interest on the unfunded balance of the commitment. The interest rate disclosed represents the rate earned on the outstanding, funded balance of the commitment.</w:t>
      </w:r>
    </w:p>
    <w:p>
      <w:pPr>
        <w:spacing w:after="0" w:line="1" w:lineRule="exact"/>
        <w:rPr>
          <w:rFonts w:ascii="Arial" w:cs="Arial" w:eastAsia="Arial" w:hAnsi="Arial"/>
          <w:sz w:val="14"/>
          <w:szCs w:val="14"/>
          <w:color w:val="auto"/>
        </w:rPr>
      </w:pPr>
    </w:p>
    <w:p>
      <w:pPr>
        <w:ind w:left="560" w:right="60" w:hanging="431"/>
        <w:spacing w:after="0" w:line="220"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3.32%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left="560" w:right="60" w:hanging="431"/>
        <w:spacing w:after="0" w:line="220"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3.95%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left="560" w:right="60" w:hanging="431"/>
        <w:spacing w:after="0" w:line="220"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2.73%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left="560" w:right="60" w:hanging="431"/>
        <w:spacing w:after="0" w:line="220"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3.68%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4"/>
          <w:szCs w:val="14"/>
          <w:color w:val="auto"/>
        </w:rPr>
      </w:pPr>
    </w:p>
    <w:p>
      <w:pPr>
        <w:ind w:left="560" w:right="60" w:hanging="431"/>
        <w:spacing w:after="0" w:line="231"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4.41%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8"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Organization and Nature of Business</w:t>
      </w:r>
    </w:p>
    <w:p>
      <w:pPr>
        <w:spacing w:after="0" w:line="120" w:lineRule="exact"/>
        <w:rPr>
          <w:sz w:val="20"/>
          <w:szCs w:val="20"/>
          <w:color w:val="auto"/>
        </w:rPr>
      </w:pPr>
    </w:p>
    <w:p>
      <w:pPr>
        <w:ind w:left="120" w:right="80" w:firstLine="439"/>
        <w:spacing w:after="0" w:line="278" w:lineRule="auto"/>
        <w:rPr>
          <w:sz w:val="20"/>
          <w:szCs w:val="20"/>
          <w:color w:val="auto"/>
        </w:rPr>
      </w:pPr>
      <w:r>
        <w:rPr>
          <w:rFonts w:ascii="Arial" w:cs="Arial" w:eastAsia="Arial" w:hAnsi="Arial"/>
          <w:sz w:val="17"/>
          <w:szCs w:val="17"/>
          <w:color w:val="auto"/>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federal income tax purposes, the Company elected to be treated as a regulated investment company (“RIC”) under Subchapter M of the Internal Revenue Code of 1986, as amended (the “Code”).</w:t>
      </w:r>
    </w:p>
    <w:p>
      <w:pPr>
        <w:spacing w:after="0" w:line="172" w:lineRule="exact"/>
        <w:rPr>
          <w:sz w:val="20"/>
          <w:szCs w:val="20"/>
          <w:color w:val="auto"/>
        </w:rPr>
      </w:pPr>
    </w:p>
    <w:p>
      <w:pPr>
        <w:ind w:left="120" w:right="40" w:firstLine="439"/>
        <w:spacing w:after="0" w:line="291" w:lineRule="auto"/>
        <w:rPr>
          <w:sz w:val="20"/>
          <w:szCs w:val="20"/>
          <w:color w:val="auto"/>
        </w:rPr>
      </w:pPr>
      <w:r>
        <w:rPr>
          <w:rFonts w:ascii="Arial" w:cs="Arial" w:eastAsia="Arial" w:hAnsi="Arial"/>
          <w:sz w:val="16"/>
          <w:szCs w:val="16"/>
          <w:color w:val="auto"/>
        </w:rPr>
        <w:t>The Company provides customized debt and equity financing solutions to lower middle-market companies, and may make investments directly or through its two wholly-owned investment company subsidiaries, Fidus Mezzanine Capital II, L.P. (“Fund II”) and Fidus Mezzanine Capital III, L.P. (“Fund III”) (collectively, Fund II and Fund III are referred to as the “Funds”). The Funds are licensed by the U.S. Small Business Administration (the “SBA”) as small business investment companies (“SBIC”). The SBIC licenses allow the Funds to obtain leverage by issuing SBA-guaranteed debentures (“SBA debentures”), subject to the issuance of leverage commitments by the SBA and other customary procedures. As SBICs, the Funds are subject to a variety of regulations and oversight by the SBA under the Small Business Investment Act of 1958, as amended (the “SBIC Act”), concerning, among other things, the size and nature of the companies in which they may invest and the structure of those investments.</w:t>
      </w:r>
    </w:p>
    <w:p>
      <w:pPr>
        <w:spacing w:after="0" w:line="162" w:lineRule="exact"/>
        <w:rPr>
          <w:sz w:val="20"/>
          <w:szCs w:val="20"/>
          <w:color w:val="auto"/>
        </w:rPr>
      </w:pPr>
    </w:p>
    <w:p>
      <w:pPr>
        <w:ind w:left="120" w:right="260" w:firstLine="439"/>
        <w:spacing w:after="0" w:line="258" w:lineRule="auto"/>
        <w:rPr>
          <w:sz w:val="20"/>
          <w:szCs w:val="20"/>
          <w:color w:val="auto"/>
        </w:rPr>
      </w:pPr>
      <w:r>
        <w:rPr>
          <w:rFonts w:ascii="Arial" w:cs="Arial" w:eastAsia="Arial" w:hAnsi="Arial"/>
          <w:sz w:val="18"/>
          <w:szCs w:val="18"/>
          <w:color w:val="auto"/>
        </w:rPr>
        <w:t>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until the Funds reach their borrowing limit under the program. For three or more SBICs under common control, the maximum amount of outstanding SBA debentures cannot exceed $350,000.</w:t>
      </w:r>
    </w:p>
    <w:p>
      <w:pPr>
        <w:spacing w:after="0" w:line="187" w:lineRule="exact"/>
        <w:rPr>
          <w:sz w:val="20"/>
          <w:szCs w:val="20"/>
          <w:color w:val="auto"/>
        </w:rPr>
      </w:pPr>
    </w:p>
    <w:p>
      <w:pPr>
        <w:ind w:left="120" w:right="440" w:firstLine="439"/>
        <w:spacing w:after="0" w:line="276" w:lineRule="auto"/>
        <w:rPr>
          <w:sz w:val="20"/>
          <w:szCs w:val="20"/>
          <w:color w:val="auto"/>
        </w:rPr>
      </w:pPr>
      <w:r>
        <w:rPr>
          <w:rFonts w:ascii="Arial" w:cs="Arial" w:eastAsia="Arial" w:hAnsi="Arial"/>
          <w:sz w:val="18"/>
          <w:szCs w:val="18"/>
          <w:color w:val="auto"/>
        </w:rPr>
        <w:t>Fund II and Fund III are not registered under the 1940 Act and rely on the exclusion from the definition of investment company contained in Section 3(c)(7) of the 1940 Act.</w:t>
      </w:r>
    </w:p>
    <w:p>
      <w:pPr>
        <w:spacing w:after="0" w:line="170" w:lineRule="exact"/>
        <w:rPr>
          <w:sz w:val="20"/>
          <w:szCs w:val="20"/>
          <w:color w:val="auto"/>
        </w:rPr>
      </w:pPr>
    </w:p>
    <w:p>
      <w:pPr>
        <w:ind w:left="120" w:right="600" w:firstLine="439"/>
        <w:spacing w:after="0" w:line="341" w:lineRule="auto"/>
        <w:rPr>
          <w:sz w:val="20"/>
          <w:szCs w:val="20"/>
          <w:color w:val="auto"/>
        </w:rPr>
      </w:pPr>
      <w:r>
        <w:rPr>
          <w:rFonts w:ascii="Arial" w:cs="Arial" w:eastAsia="Arial" w:hAnsi="Arial"/>
          <w:sz w:val="16"/>
          <w:szCs w:val="16"/>
          <w:color w:val="auto"/>
        </w:rPr>
        <w:t>The Company pays a quarterly base management fee and an incentive fee to Fidus Investment Advisors, LLC, our investment advisor (the “Investment Advisor” or “Fidus Investment Advisors”) under an investment advisory agreement (the “Investment Advisory Agreement”).</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0" w:lineRule="exact"/>
        <w:rPr>
          <w:sz w:val="20"/>
          <w:szCs w:val="20"/>
          <w:color w:val="auto"/>
        </w:rPr>
      </w:pPr>
    </w:p>
    <w:p>
      <w:pPr>
        <w:ind w:left="120" w:firstLine="439"/>
        <w:spacing w:after="0" w:line="291"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accompanying consolidated financial statements of the Company have been prepared in accordance with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accepted accounting principles in the United States of America (“GAAP”) pursuant to the requirements for reporting on Form 10-Q, Accounting Standards Codification (“ASC”) 946, </w:t>
      </w:r>
      <w:r>
        <w:rPr>
          <w:rFonts w:ascii="Arial" w:cs="Arial" w:eastAsia="Arial" w:hAnsi="Arial"/>
          <w:sz w:val="16"/>
          <w:szCs w:val="16"/>
          <w:i w:val="1"/>
          <w:iCs w:val="1"/>
          <w:color w:val="auto"/>
        </w:rPr>
        <w:t>Financial Services – Investment Companies</w:t>
      </w:r>
      <w:r>
        <w:rPr>
          <w:rFonts w:ascii="Arial" w:cs="Arial" w:eastAsia="Arial" w:hAnsi="Arial"/>
          <w:sz w:val="16"/>
          <w:szCs w:val="16"/>
          <w:color w:val="auto"/>
        </w:rPr>
        <w:t xml:space="preserve"> (“ASC 946”), and Articles 6 or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 The current period’s results of operation are not necessarily indicative of results that ultimately may be achieved for the year. Therefore, the unaudited financial statements and notes should be read in conjunction with the audited financial statements and notes thereto for the year ended December 31, 2019.</w:t>
      </w:r>
    </w:p>
    <w:p>
      <w:pPr>
        <w:spacing w:after="0" w:line="162" w:lineRule="exact"/>
        <w:rPr>
          <w:sz w:val="20"/>
          <w:szCs w:val="20"/>
          <w:color w:val="auto"/>
        </w:rPr>
      </w:pPr>
    </w:p>
    <w:p>
      <w:pPr>
        <w:ind w:left="120" w:right="80" w:firstLine="439"/>
        <w:spacing w:after="0" w:line="311"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the consolidated financial statements in conformity with GAAP requires management to make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47" w:lineRule="exact"/>
        <w:rPr>
          <w:sz w:val="20"/>
          <w:szCs w:val="20"/>
          <w:color w:val="auto"/>
        </w:rPr>
      </w:pPr>
    </w:p>
    <w:p>
      <w:pPr>
        <w:ind w:left="120" w:right="40" w:firstLine="439"/>
        <w:spacing w:after="0" w:line="258"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Pursuant to Article 6 of Regulation S-X and ASC 946, the Company will generally not consolidate its investments in 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Investment risks: </w:t>
      </w:r>
      <w:r>
        <w:rPr>
          <w:rFonts w:ascii="Arial" w:cs="Arial" w:eastAsia="Arial" w:hAnsi="Arial"/>
          <w:sz w:val="17"/>
          <w:szCs w:val="17"/>
          <w:color w:val="auto"/>
        </w:rPr>
        <w:t>The Company’s investments are subject to a variety of risks. These risks may include, but are not limited to the following:</w:t>
      </w:r>
    </w:p>
    <w:p>
      <w:pPr>
        <w:spacing w:after="0" w:line="141" w:lineRule="exact"/>
        <w:rPr>
          <w:sz w:val="20"/>
          <w:szCs w:val="20"/>
          <w:color w:val="auto"/>
        </w:rPr>
      </w:pPr>
    </w:p>
    <w:p>
      <w:pPr>
        <w:ind w:left="1540" w:right="80" w:hanging="320"/>
        <w:spacing w:after="0" w:line="269" w:lineRule="auto"/>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Market risk - </w:t>
      </w:r>
      <w:r>
        <w:rPr>
          <w:rFonts w:ascii="Arial" w:cs="Arial" w:eastAsia="Arial" w:hAnsi="Arial"/>
          <w:sz w:val="17"/>
          <w:szCs w:val="17"/>
          <w:color w:val="auto"/>
        </w:rPr>
        <w:t>In contrast to investment-grade bonds (the market prices of which change primarily as a reaction to changes in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rates), 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sectPr>
          <w:pgSz w:w="11900" w:h="16838" w:orient="portrait"/>
          <w:cols w:equalWidth="0" w:num="1">
            <w:col w:w="11100"/>
          </w:cols>
          <w:pgMar w:left="320" w:top="458" w:right="479" w:bottom="1440" w:gutter="0" w:footer="0" w:header="0"/>
        </w:sectPr>
      </w:pP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00"/>
          </w:cols>
          <w:pgMar w:left="320" w:top="458" w:right="47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ind w:left="1540" w:hanging="320"/>
        <w:spacing w:after="0" w:line="263"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Credit risk represents the risk that the Company would incur if the counterparties failed to perform pursuant to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their agreements with the Company. Issues of high-yield debt securities in which the Company invests are more likely to default on interest or principal than are issues of investment-grade securities.</w:t>
      </w:r>
    </w:p>
    <w:p>
      <w:pPr>
        <w:spacing w:after="0" w:line="87" w:lineRule="exact"/>
        <w:rPr>
          <w:rFonts w:ascii="Arial" w:cs="Arial" w:eastAsia="Arial" w:hAnsi="Arial"/>
          <w:sz w:val="18"/>
          <w:szCs w:val="18"/>
          <w:color w:val="auto"/>
        </w:rPr>
      </w:pPr>
    </w:p>
    <w:p>
      <w:pPr>
        <w:ind w:left="1540" w:right="460" w:hanging="320"/>
        <w:spacing w:after="0" w:line="276"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Liquidity risk - </w:t>
      </w:r>
      <w:r>
        <w:rPr>
          <w:rFonts w:ascii="Arial" w:cs="Arial" w:eastAsia="Arial" w:hAnsi="Arial"/>
          <w:sz w:val="18"/>
          <w:szCs w:val="18"/>
          <w:color w:val="auto"/>
        </w:rPr>
        <w:t>Liquidity risk represents the possibility that the Company may not be able to sell its investments quickly or at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price (given the lack of an established market).</w:t>
      </w:r>
    </w:p>
    <w:p>
      <w:pPr>
        <w:spacing w:after="0" w:line="76" w:lineRule="exact"/>
        <w:rPr>
          <w:rFonts w:ascii="Arial" w:cs="Arial" w:eastAsia="Arial" w:hAnsi="Arial"/>
          <w:sz w:val="18"/>
          <w:szCs w:val="18"/>
          <w:color w:val="auto"/>
        </w:rPr>
      </w:pPr>
    </w:p>
    <w:p>
      <w:pPr>
        <w:ind w:left="1540" w:right="160" w:hanging="320"/>
        <w:spacing w:after="0" w:line="276"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Interest rate risk represents the likelihood that a change in interest rates could have an adverse impact on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an interest-bearing financial instrument.</w:t>
      </w:r>
    </w:p>
    <w:p>
      <w:pPr>
        <w:spacing w:after="0" w:line="76" w:lineRule="exact"/>
        <w:rPr>
          <w:rFonts w:ascii="Arial" w:cs="Arial" w:eastAsia="Arial" w:hAnsi="Arial"/>
          <w:sz w:val="18"/>
          <w:szCs w:val="18"/>
          <w:color w:val="auto"/>
        </w:rPr>
      </w:pPr>
    </w:p>
    <w:p>
      <w:pPr>
        <w:ind w:left="1540" w:hanging="320"/>
        <w:spacing w:after="0" w:line="311" w:lineRule="auto"/>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Prepayment risk - </w:t>
      </w:r>
      <w:r>
        <w:rPr>
          <w:rFonts w:ascii="Arial" w:cs="Arial" w:eastAsia="Arial" w:hAnsi="Arial"/>
          <w:sz w:val="16"/>
          <w:szCs w:val="16"/>
          <w:color w:val="auto"/>
        </w:rPr>
        <w:t>Certain of the Company’s debt investments allow for prepayment of principal without penalty. Downward changes</w:t>
      </w:r>
      <w:r>
        <w:rPr>
          <w:rFonts w:ascii="Arial" w:cs="Arial" w:eastAsia="Arial" w:hAnsi="Arial"/>
          <w:sz w:val="16"/>
          <w:szCs w:val="16"/>
          <w:i w:val="1"/>
          <w:iCs w:val="1"/>
          <w:color w:val="auto"/>
        </w:rPr>
        <w:t xml:space="preserve"> </w:t>
      </w:r>
      <w:r>
        <w:rPr>
          <w:rFonts w:ascii="Arial" w:cs="Arial" w:eastAsia="Arial" w:hAnsi="Arial"/>
          <w:sz w:val="16"/>
          <w:szCs w:val="16"/>
          <w:color w:val="auto"/>
        </w:rPr>
        <w:t>in market interest rates may cause prepayments to occur at a faster than expected rate, thereby effectively shortening the maturity of the debt investments and making the instrument less likely to be an income producing instrument through the stated maturity date.</w:t>
      </w:r>
    </w:p>
    <w:p>
      <w:pPr>
        <w:spacing w:after="0" w:line="52" w:lineRule="exact"/>
        <w:rPr>
          <w:rFonts w:ascii="Arial" w:cs="Arial" w:eastAsia="Arial" w:hAnsi="Arial"/>
          <w:sz w:val="16"/>
          <w:szCs w:val="16"/>
          <w:color w:val="auto"/>
        </w:rPr>
      </w:pPr>
    </w:p>
    <w:p>
      <w:pPr>
        <w:ind w:left="1540" w:right="100" w:hanging="320"/>
        <w:spacing w:after="0" w:line="263"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Off-Balance sheet risk - </w:t>
      </w:r>
      <w:r>
        <w:rPr>
          <w:rFonts w:ascii="Arial" w:cs="Arial" w:eastAsia="Arial" w:hAnsi="Arial"/>
          <w:sz w:val="18"/>
          <w:szCs w:val="18"/>
          <w:color w:val="auto"/>
        </w:rPr>
        <w:t>Some of the Company’s financial instruments contain off-balance sheet risk. Generally, these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represent future commitments to purchase other financial instruments at defined terms at defined future dates. See Note 7 for further details.</w:t>
      </w:r>
    </w:p>
    <w:p>
      <w:pPr>
        <w:spacing w:after="0" w:line="182" w:lineRule="exact"/>
        <w:rPr>
          <w:sz w:val="20"/>
          <w:szCs w:val="20"/>
          <w:color w:val="auto"/>
        </w:rPr>
      </w:pPr>
    </w:p>
    <w:p>
      <w:pPr>
        <w:ind w:left="120" w:right="40" w:firstLine="439"/>
        <w:spacing w:after="0" w:line="256"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The Company measures and discloses fair value with respect to substantially all of its financial instruments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189" w:lineRule="exact"/>
        <w:rPr>
          <w:sz w:val="20"/>
          <w:szCs w:val="20"/>
          <w:color w:val="auto"/>
        </w:rPr>
      </w:pPr>
    </w:p>
    <w:p>
      <w:pPr>
        <w:ind w:left="120" w:right="20" w:firstLine="439"/>
        <w:spacing w:after="0" w:line="256" w:lineRule="auto"/>
        <w:rPr>
          <w:sz w:val="20"/>
          <w:szCs w:val="20"/>
          <w:color w:val="auto"/>
        </w:rPr>
      </w:pPr>
      <w:r>
        <w:rPr>
          <w:rFonts w:ascii="Arial" w:cs="Arial" w:eastAsia="Arial" w:hAnsi="Arial"/>
          <w:sz w:val="18"/>
          <w:szCs w:val="18"/>
          <w:i w:val="1"/>
          <w:iCs w:val="1"/>
          <w:color w:val="auto"/>
        </w:rPr>
        <w:t xml:space="preserve">Investment classification: </w:t>
      </w:r>
      <w:r>
        <w:rPr>
          <w:rFonts w:ascii="Arial" w:cs="Arial" w:eastAsia="Arial" w:hAnsi="Arial"/>
          <w:sz w:val="18"/>
          <w:szCs w:val="18"/>
          <w:color w:val="auto"/>
        </w:rPr>
        <w:t>The Company classifies its investments in accordance with the requirements of the 1940 Act. Under the 1940 Act,</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p>
    <w:p>
      <w:pPr>
        <w:spacing w:after="0" w:line="189" w:lineRule="exact"/>
        <w:rPr>
          <w:sz w:val="20"/>
          <w:szCs w:val="20"/>
          <w:color w:val="auto"/>
        </w:rPr>
      </w:pPr>
    </w:p>
    <w:p>
      <w:pPr>
        <w:ind w:left="120" w:right="400" w:firstLine="439"/>
        <w:spacing w:after="0" w:line="276"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In accordance with ASC Topic 280 —</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the Company has determined that it has a single reporting segment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unit structure.</w:t>
      </w:r>
    </w:p>
    <w:p>
      <w:pPr>
        <w:spacing w:after="0" w:line="170" w:lineRule="exact"/>
        <w:rPr>
          <w:sz w:val="20"/>
          <w:szCs w:val="20"/>
          <w:color w:val="auto"/>
        </w:rPr>
      </w:pPr>
    </w:p>
    <w:p>
      <w:pPr>
        <w:ind w:left="120" w:firstLine="439"/>
        <w:spacing w:after="0" w:line="285"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Cash and cash equivalents are highly liquid investments with an original maturity of three months or less at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The Company places its cash in financial institutions and, at times, such balances may be in excess of the Federal Deposit Insurance Corporation insurance limits. The Company does not believe its cash balances are exposed to any significant credit risk.</w:t>
      </w:r>
    </w:p>
    <w:p>
      <w:pPr>
        <w:spacing w:after="0" w:line="166" w:lineRule="exact"/>
        <w:rPr>
          <w:sz w:val="20"/>
          <w:szCs w:val="20"/>
          <w:color w:val="auto"/>
        </w:rPr>
      </w:pPr>
    </w:p>
    <w:p>
      <w:pPr>
        <w:ind w:left="120" w:right="120" w:firstLine="439"/>
        <w:spacing w:after="0" w:line="258" w:lineRule="auto"/>
        <w:rPr>
          <w:sz w:val="20"/>
          <w:szCs w:val="20"/>
          <w:color w:val="auto"/>
        </w:rPr>
      </w:pPr>
      <w:r>
        <w:rPr>
          <w:rFonts w:ascii="Arial" w:cs="Arial" w:eastAsia="Arial" w:hAnsi="Arial"/>
          <w:sz w:val="18"/>
          <w:szCs w:val="18"/>
          <w:i w:val="1"/>
          <w:iCs w:val="1"/>
          <w:color w:val="auto"/>
        </w:rPr>
        <w:t xml:space="preserve">Deferred financing costs: </w:t>
      </w:r>
      <w:r>
        <w:rPr>
          <w:rFonts w:ascii="Arial" w:cs="Arial" w:eastAsia="Arial" w:hAnsi="Arial"/>
          <w:sz w:val="18"/>
          <w:szCs w:val="18"/>
          <w:color w:val="auto"/>
        </w:rPr>
        <w:t>Deferred financing costs consist of fees and expenses paid in connection with the Credit Facility (as defined in Note 6)</w:t>
      </w:r>
      <w:r>
        <w:rPr>
          <w:rFonts w:ascii="Arial" w:cs="Arial" w:eastAsia="Arial" w:hAnsi="Arial"/>
          <w:sz w:val="18"/>
          <w:szCs w:val="18"/>
          <w:i w:val="1"/>
          <w:iCs w:val="1"/>
          <w:color w:val="auto"/>
        </w:rPr>
        <w:t xml:space="preserve"> </w:t>
      </w:r>
      <w:r>
        <w:rPr>
          <w:rFonts w:ascii="Arial" w:cs="Arial" w:eastAsia="Arial" w:hAnsi="Arial"/>
          <w:sz w:val="18"/>
          <w:szCs w:val="18"/>
          <w:color w:val="auto"/>
        </w:rPr>
        <w:t>and SBA debentures.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spacing w:after="0" w:line="187" w:lineRule="exact"/>
        <w:rPr>
          <w:sz w:val="20"/>
          <w:szCs w:val="20"/>
          <w:color w:val="auto"/>
        </w:rPr>
      </w:pPr>
    </w:p>
    <w:p>
      <w:pPr>
        <w:ind w:left="120" w:right="220" w:firstLine="439"/>
        <w:spacing w:after="0" w:line="271" w:lineRule="auto"/>
        <w:rPr>
          <w:sz w:val="20"/>
          <w:szCs w:val="20"/>
          <w:color w:val="auto"/>
        </w:rPr>
      </w:pPr>
      <w:r>
        <w:rPr>
          <w:rFonts w:ascii="Arial" w:cs="Arial" w:eastAsia="Arial" w:hAnsi="Arial"/>
          <w:sz w:val="17"/>
          <w:szCs w:val="17"/>
          <w:i w:val="1"/>
          <w:iCs w:val="1"/>
          <w:color w:val="auto"/>
        </w:rPr>
        <w:t xml:space="preserve">Realized losses on extinguishment of debt: </w:t>
      </w:r>
      <w:r>
        <w:rPr>
          <w:rFonts w:ascii="Arial" w:cs="Arial" w:eastAsia="Arial" w:hAnsi="Arial"/>
          <w:sz w:val="17"/>
          <w:szCs w:val="17"/>
          <w:color w:val="auto"/>
        </w:rPr>
        <w:t>Upon the repayment of debt obligations which are deemed to be extinguishments, the difference</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the principal amount due at maturity adjusted for any unamortized deferred financing costs is recognized as a loss (i.e., the unamortized deferred financing costs are recognized as a loss upon extinguishment of the underlying debt obligation). In 2019, the Company elected to change the manner in which it presents the derecognition of unamortized deferred financing costs upon extinguishment of the related debt obligation. Previously, the Company classified the extinguishment as a component of interest and financing expenses on the consolidated statements of operations. Comparative prior periods presented have been reclassified retrospectively to conform to the revised presentation. There is no change in historical net increase in net assets resulting from operations due to this change in presentation.</w:t>
      </w:r>
    </w:p>
    <w:p>
      <w:pPr>
        <w:spacing w:after="0" w:line="179" w:lineRule="exact"/>
        <w:rPr>
          <w:sz w:val="20"/>
          <w:szCs w:val="20"/>
          <w:color w:val="auto"/>
        </w:rPr>
      </w:pPr>
    </w:p>
    <w:p>
      <w:pPr>
        <w:ind w:left="120" w:right="60" w:firstLine="439"/>
        <w:spacing w:after="0" w:line="256" w:lineRule="auto"/>
        <w:rPr>
          <w:sz w:val="20"/>
          <w:szCs w:val="20"/>
          <w:color w:val="auto"/>
        </w:rPr>
      </w:pPr>
      <w:r>
        <w:rPr>
          <w:rFonts w:ascii="Arial" w:cs="Arial" w:eastAsia="Arial" w:hAnsi="Arial"/>
          <w:sz w:val="18"/>
          <w:szCs w:val="18"/>
          <w:i w:val="1"/>
          <w:iCs w:val="1"/>
          <w:color w:val="auto"/>
        </w:rPr>
        <w:t xml:space="preserve">Deferred offering costs: </w:t>
      </w:r>
      <w:r>
        <w:rPr>
          <w:rFonts w:ascii="Arial" w:cs="Arial" w:eastAsia="Arial" w:hAnsi="Arial"/>
          <w:sz w:val="18"/>
          <w:szCs w:val="18"/>
          <w:color w:val="auto"/>
        </w:rPr>
        <w:t>Deferred offering costs include registration expenses related to shelf filings. These expenses primarily consist of U.S.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sectPr>
          <w:pgSz w:w="11900" w:h="16838" w:orient="portrait"/>
          <w:cols w:equalWidth="0" w:num="1">
            <w:col w:w="11100"/>
          </w:cols>
          <w:pgMar w:left="320" w:top="458" w:right="479" w:bottom="1440" w:gutter="0" w:footer="0" w:header="0"/>
        </w:sectPr>
      </w:pP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00"/>
          </w:cols>
          <w:pgMar w:left="320" w:top="458" w:right="47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ind w:left="120" w:right="80" w:firstLine="439"/>
        <w:spacing w:after="0" w:line="293" w:lineRule="auto"/>
        <w:rPr>
          <w:sz w:val="20"/>
          <w:szCs w:val="20"/>
          <w:color w:val="auto"/>
        </w:rPr>
      </w:pPr>
      <w:r>
        <w:rPr>
          <w:rFonts w:ascii="Arial" w:cs="Arial" w:eastAsia="Arial" w:hAnsi="Arial"/>
          <w:sz w:val="16"/>
          <w:szCs w:val="16"/>
          <w:i w:val="1"/>
          <w:iCs w:val="1"/>
          <w:color w:val="auto"/>
        </w:rPr>
        <w:t xml:space="preserve">Realized gains or losses and unrealized appreciation or depreciation on investments: </w:t>
      </w:r>
      <w:r>
        <w:rPr>
          <w:rFonts w:ascii="Arial" w:cs="Arial" w:eastAsia="Arial" w:hAnsi="Arial"/>
          <w:sz w:val="16"/>
          <w:szCs w:val="16"/>
          <w:color w:val="auto"/>
        </w:rPr>
        <w:t>Realized gains or losses on investments are recorded upon</w:t>
      </w:r>
      <w:r>
        <w:rPr>
          <w:rFonts w:ascii="Arial" w:cs="Arial" w:eastAsia="Arial" w:hAnsi="Arial"/>
          <w:sz w:val="16"/>
          <w:szCs w:val="16"/>
          <w:i w:val="1"/>
          <w:iCs w:val="1"/>
          <w:color w:val="auto"/>
        </w:rPr>
        <w:t xml:space="preserve"> </w:t>
      </w:r>
      <w:r>
        <w:rPr>
          <w:rFonts w:ascii="Arial" w:cs="Arial" w:eastAsia="Arial" w:hAnsi="Arial"/>
          <w:sz w:val="16"/>
          <w:szCs w:val="16"/>
          <w:color w:val="auto"/>
        </w:rPr>
        <w:t>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61" w:lineRule="exact"/>
        <w:rPr>
          <w:sz w:val="20"/>
          <w:szCs w:val="20"/>
          <w:color w:val="auto"/>
        </w:rPr>
      </w:pPr>
    </w:p>
    <w:p>
      <w:pPr>
        <w:ind w:left="120" w:firstLine="439"/>
        <w:spacing w:after="0" w:line="273" w:lineRule="auto"/>
        <w:rPr>
          <w:sz w:val="20"/>
          <w:szCs w:val="20"/>
          <w:color w:val="auto"/>
        </w:rPr>
      </w:pPr>
      <w:r>
        <w:rPr>
          <w:rFonts w:ascii="Arial" w:cs="Arial" w:eastAsia="Arial" w:hAnsi="Arial"/>
          <w:sz w:val="17"/>
          <w:szCs w:val="17"/>
          <w:i w:val="1"/>
          <w:iCs w:val="1"/>
          <w:color w:val="auto"/>
        </w:rPr>
        <w:t xml:space="preserve">Interest and dividend income: </w:t>
      </w:r>
      <w:r>
        <w:rPr>
          <w:rFonts w:ascii="Arial" w:cs="Arial" w:eastAsia="Arial" w:hAnsi="Arial"/>
          <w:sz w:val="17"/>
          <w:szCs w:val="17"/>
          <w:color w:val="auto"/>
        </w:rPr>
        <w:t>Interest and dividend income is recorded on the accrual basis to the extent that the Company expects to collect such</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74" w:lineRule="exact"/>
        <w:rPr>
          <w:sz w:val="20"/>
          <w:szCs w:val="20"/>
          <w:color w:val="auto"/>
        </w:rPr>
      </w:pPr>
    </w:p>
    <w:p>
      <w:pPr>
        <w:ind w:left="120" w:right="40" w:firstLine="439"/>
        <w:spacing w:after="0" w:line="253" w:lineRule="auto"/>
        <w:rPr>
          <w:sz w:val="20"/>
          <w:szCs w:val="20"/>
          <w:color w:val="auto"/>
        </w:rPr>
      </w:pPr>
      <w:r>
        <w:rPr>
          <w:rFonts w:ascii="Arial" w:cs="Arial" w:eastAsia="Arial" w:hAnsi="Arial"/>
          <w:sz w:val="18"/>
          <w:szCs w:val="18"/>
          <w:i w:val="1"/>
          <w:iCs w:val="1"/>
          <w:color w:val="auto"/>
        </w:rPr>
        <w:t xml:space="preserve">PIK income: </w:t>
      </w:r>
      <w:r>
        <w:rPr>
          <w:rFonts w:ascii="Arial" w:cs="Arial" w:eastAsia="Arial" w:hAnsi="Arial"/>
          <w:sz w:val="18"/>
          <w:szCs w:val="18"/>
          <w:color w:val="auto"/>
        </w:rPr>
        <w:t>Certain of the Company’s investments contain a payment-in-kind (“PIK”) income provision. The PIK income, computed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and to avoid corporate federal income tax, even though the Company has not yet collected the cash.</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Non-accrual: </w:t>
      </w:r>
      <w:r>
        <w:rPr>
          <w:rFonts w:ascii="Arial" w:cs="Arial" w:eastAsia="Arial" w:hAnsi="Arial"/>
          <w:sz w:val="18"/>
          <w:szCs w:val="18"/>
          <w:color w:val="auto"/>
        </w:rPr>
        <w:t>Debt investments or preferred equity investments (for which the Company is accruing PIK dividends) are placed</w:t>
      </w:r>
    </w:p>
    <w:p>
      <w:pPr>
        <w:spacing w:after="0" w:line="23"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on non-accrual status 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spacing w:after="0" w:line="163" w:lineRule="exact"/>
        <w:rPr>
          <w:sz w:val="20"/>
          <w:szCs w:val="20"/>
          <w:color w:val="auto"/>
        </w:rPr>
      </w:pPr>
    </w:p>
    <w:p>
      <w:pPr>
        <w:ind w:left="120" w:right="520" w:firstLine="439"/>
        <w:spacing w:after="0" w:line="278" w:lineRule="auto"/>
        <w:rPr>
          <w:sz w:val="20"/>
          <w:szCs w:val="20"/>
          <w:color w:val="auto"/>
        </w:rPr>
      </w:pPr>
      <w:r>
        <w:rPr>
          <w:rFonts w:ascii="Arial" w:cs="Arial" w:eastAsia="Arial" w:hAnsi="Arial"/>
          <w:sz w:val="17"/>
          <w:szCs w:val="17"/>
          <w:i w:val="1"/>
          <w:iCs w:val="1"/>
          <w:color w:val="auto"/>
        </w:rPr>
        <w:t xml:space="preserve">Origination and closing fees: </w:t>
      </w:r>
      <w:r>
        <w:rPr>
          <w:rFonts w:ascii="Arial" w:cs="Arial" w:eastAsia="Arial" w:hAnsi="Arial"/>
          <w:sz w:val="17"/>
          <w:szCs w:val="17"/>
          <w:color w:val="auto"/>
        </w:rPr>
        <w:t>The Company also typically receives debt investment origination or closing fees in connection with such</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spacing w:after="0" w:line="172" w:lineRule="exact"/>
        <w:rPr>
          <w:sz w:val="20"/>
          <w:szCs w:val="20"/>
          <w:color w:val="auto"/>
        </w:rPr>
      </w:pPr>
    </w:p>
    <w:p>
      <w:pPr>
        <w:ind w:left="120" w:right="240" w:firstLine="439"/>
        <w:spacing w:after="0" w:line="255" w:lineRule="auto"/>
        <w:rPr>
          <w:sz w:val="20"/>
          <w:szCs w:val="20"/>
          <w:color w:val="auto"/>
        </w:rPr>
      </w:pPr>
      <w:r>
        <w:rPr>
          <w:rFonts w:ascii="Arial" w:cs="Arial" w:eastAsia="Arial" w:hAnsi="Arial"/>
          <w:sz w:val="18"/>
          <w:szCs w:val="18"/>
          <w:i w:val="1"/>
          <w:iCs w:val="1"/>
          <w:color w:val="auto"/>
        </w:rPr>
        <w:t>Warrants</w:t>
      </w:r>
      <w:r>
        <w:rPr>
          <w:rFonts w:ascii="Arial" w:cs="Arial" w:eastAsia="Arial" w:hAnsi="Arial"/>
          <w:sz w:val="18"/>
          <w:szCs w:val="18"/>
          <w:color w:val="auto"/>
        </w:rPr>
        <w:t>: In connection with the Company’s debt investments, the Company will sometimes receive warrants or other equity-related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spacing w:after="0" w:line="189" w:lineRule="exact"/>
        <w:rPr>
          <w:sz w:val="20"/>
          <w:szCs w:val="20"/>
          <w:color w:val="auto"/>
        </w:rPr>
      </w:pPr>
    </w:p>
    <w:p>
      <w:pPr>
        <w:ind w:left="120" w:right="20" w:firstLine="439"/>
        <w:spacing w:after="0" w:line="278" w:lineRule="auto"/>
        <w:rPr>
          <w:sz w:val="20"/>
          <w:szCs w:val="20"/>
          <w:color w:val="auto"/>
        </w:rPr>
      </w:pPr>
      <w:r>
        <w:rPr>
          <w:rFonts w:ascii="Arial" w:cs="Arial" w:eastAsia="Arial" w:hAnsi="Arial"/>
          <w:sz w:val="17"/>
          <w:szCs w:val="17"/>
          <w:i w:val="1"/>
          <w:iCs w:val="1"/>
          <w:color w:val="auto"/>
        </w:rPr>
        <w:t>Fee income</w:t>
      </w:r>
      <w:r>
        <w:rPr>
          <w:rFonts w:ascii="Arial" w:cs="Arial" w:eastAsia="Arial" w:hAnsi="Arial"/>
          <w:sz w:val="17"/>
          <w:szCs w:val="17"/>
          <w:color w:val="auto"/>
        </w:rPr>
        <w:t>: Transaction fees earned in connection with the Company’s investments are recognized as fee income and are generally non-recurring.</w:t>
      </w:r>
      <w:r>
        <w:rPr>
          <w:rFonts w:ascii="Arial" w:cs="Arial" w:eastAsia="Arial" w:hAnsi="Arial"/>
          <w:sz w:val="17"/>
          <w:szCs w:val="17"/>
          <w:i w:val="1"/>
          <w:iCs w:val="1"/>
          <w:color w:val="auto"/>
        </w:rPr>
        <w:t xml:space="preserve"> </w:t>
      </w:r>
      <w:r>
        <w:rPr>
          <w:rFonts w:ascii="Arial" w:cs="Arial" w:eastAsia="Arial" w:hAnsi="Arial"/>
          <w:sz w:val="17"/>
          <w:szCs w:val="17"/>
          <w:color w:val="auto"/>
        </w:rPr>
        <w:t>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72" w:lineRule="exact"/>
        <w:rPr>
          <w:sz w:val="20"/>
          <w:szCs w:val="20"/>
          <w:color w:val="auto"/>
        </w:rPr>
      </w:pPr>
    </w:p>
    <w:p>
      <w:pPr>
        <w:ind w:left="120" w:right="120" w:firstLine="439"/>
        <w:spacing w:after="0" w:line="293" w:lineRule="auto"/>
        <w:rPr>
          <w:sz w:val="20"/>
          <w:szCs w:val="20"/>
          <w:color w:val="auto"/>
        </w:rPr>
      </w:pPr>
      <w:r>
        <w:rPr>
          <w:rFonts w:ascii="Arial" w:cs="Arial" w:eastAsia="Arial" w:hAnsi="Arial"/>
          <w:sz w:val="16"/>
          <w:szCs w:val="16"/>
          <w:i w:val="1"/>
          <w:iCs w:val="1"/>
          <w:color w:val="auto"/>
        </w:rPr>
        <w:t xml:space="preserve">Partial loan sales: </w:t>
      </w:r>
      <w:r>
        <w:rPr>
          <w:rFonts w:ascii="Arial" w:cs="Arial" w:eastAsia="Arial" w:hAnsi="Arial"/>
          <w:sz w:val="16"/>
          <w:szCs w:val="16"/>
          <w:color w:val="auto"/>
        </w:rPr>
        <w:t>The Company follows the guidance in ASC 860,</w:t>
      </w:r>
      <w:r>
        <w:rPr>
          <w:rFonts w:ascii="Arial" w:cs="Arial" w:eastAsia="Arial" w:hAnsi="Arial"/>
          <w:sz w:val="16"/>
          <w:szCs w:val="16"/>
          <w:i w:val="1"/>
          <w:iCs w:val="1"/>
          <w:color w:val="auto"/>
        </w:rPr>
        <w:t xml:space="preserve"> Transfers and Servicing, </w:t>
      </w:r>
      <w:r>
        <w:rPr>
          <w:rFonts w:ascii="Arial" w:cs="Arial" w:eastAsia="Arial" w:hAnsi="Arial"/>
          <w:sz w:val="16"/>
          <w:szCs w:val="16"/>
          <w:color w:val="auto"/>
        </w:rPr>
        <w:t>when accounting for loan (debt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participations and other partial loan sales. Such guidance requires a participation or other partial loan sale to meet the definition of a “participating interest,” as defined in the guidance, in order for sale treatment to be allowed. Participations or other partial loan sales which do not meet the definition of a participating interest should remain on the Company’s consolidated statements of assets and liabilities and the proceeds recorded as a secured borrowing until the definition is met. Management has determined that all participations and other partial loan sale transactions entered into by the Company have met the definition of a participating interest. Accordingly, the Company uses sale treatment in accounting for such transactions.</w:t>
      </w:r>
    </w:p>
    <w:p>
      <w:pPr>
        <w:sectPr>
          <w:pgSz w:w="11900" w:h="16838" w:orient="portrait"/>
          <w:cols w:equalWidth="0" w:num="1">
            <w:col w:w="11100"/>
          </w:cols>
          <w:pgMar w:left="320" w:top="458" w:right="479" w:bottom="1440" w:gutter="0" w:footer="0" w:header="0"/>
        </w:sectPr>
      </w:pP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00"/>
          </w:cols>
          <w:pgMar w:left="320" w:top="458" w:right="47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ind w:left="120" w:right="100" w:firstLine="439"/>
        <w:spacing w:after="0" w:line="26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The Company has elected to be treated as a RIC under Subchapter M of the Code, which will generally relieve the Company from</w:t>
      </w:r>
      <w:r>
        <w:rPr>
          <w:rFonts w:ascii="Arial" w:cs="Arial" w:eastAsia="Arial" w:hAnsi="Arial"/>
          <w:sz w:val="17"/>
          <w:szCs w:val="17"/>
          <w:i w:val="1"/>
          <w:iCs w:val="1"/>
          <w:color w:val="auto"/>
        </w:rPr>
        <w:t xml:space="preserve"> </w:t>
      </w:r>
      <w:r>
        <w:rPr>
          <w:rFonts w:ascii="Arial" w:cs="Arial" w:eastAsia="Arial" w:hAnsi="Arial"/>
          <w:sz w:val="17"/>
          <w:szCs w:val="17"/>
          <w:color w:val="auto"/>
        </w:rPr>
        <w:t>U.S. federal income taxes with respect to all income distributed to stockholders. To maintain the tax treatment of a RIC, the Company is required to timely distribute to its stockholders at least 90.0%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4.0% excise tax if it does not distribute at least 98.0% of the current year’s ordinary taxable income. Any such carryover taxable income must be distributed through a dividend declared prior to the later of the date on which the final tax return related to the year in which the Company generated such taxable income is filed or the 15</w:t>
      </w:r>
      <w:r>
        <w:rPr>
          <w:rFonts w:ascii="Arial" w:cs="Arial" w:eastAsia="Arial" w:hAnsi="Arial"/>
          <w:sz w:val="14"/>
          <w:szCs w:val="14"/>
          <w:color w:val="auto"/>
        </w:rPr>
        <w:t>th</w:t>
      </w:r>
      <w:r>
        <w:rPr>
          <w:rFonts w:ascii="Arial" w:cs="Arial" w:eastAsia="Arial" w:hAnsi="Arial"/>
          <w:sz w:val="17"/>
          <w:szCs w:val="17"/>
          <w:color w:val="auto"/>
        </w:rPr>
        <w:t xml:space="preserve"> day of the 10</w:t>
      </w:r>
      <w:r>
        <w:rPr>
          <w:rFonts w:ascii="Arial" w:cs="Arial" w:eastAsia="Arial" w:hAnsi="Arial"/>
          <w:sz w:val="14"/>
          <w:szCs w:val="14"/>
          <w:color w:val="auto"/>
        </w:rPr>
        <w:t>th</w:t>
      </w:r>
      <w:r>
        <w:rPr>
          <w:rFonts w:ascii="Arial" w:cs="Arial" w:eastAsia="Arial" w:hAnsi="Arial"/>
          <w:sz w:val="17"/>
          <w:szCs w:val="17"/>
          <w:color w:val="auto"/>
        </w:rPr>
        <w:t xml:space="preserve"> month following the close of such taxable year. In addition, the Company will be subject to federal excise tax if it does not distribute at least 98.2% of its net capital gains realized, computed for any one year period ending October 31.</w:t>
      </w:r>
    </w:p>
    <w:p>
      <w:pPr>
        <w:spacing w:after="0" w:line="183" w:lineRule="exact"/>
        <w:rPr>
          <w:sz w:val="20"/>
          <w:szCs w:val="20"/>
          <w:color w:val="auto"/>
        </w:rPr>
      </w:pPr>
    </w:p>
    <w:p>
      <w:pPr>
        <w:ind w:left="120" w:right="60" w:firstLine="439"/>
        <w:spacing w:after="0" w:line="306" w:lineRule="auto"/>
        <w:rPr>
          <w:sz w:val="20"/>
          <w:szCs w:val="20"/>
          <w:color w:val="auto"/>
        </w:rPr>
      </w:pPr>
      <w:r>
        <w:rPr>
          <w:rFonts w:ascii="Arial" w:cs="Arial" w:eastAsia="Arial" w:hAnsi="Arial"/>
          <w:sz w:val="17"/>
          <w:szCs w:val="17"/>
          <w:color w:val="auto"/>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spacing w:after="0" w:line="148" w:lineRule="exact"/>
        <w:rPr>
          <w:sz w:val="20"/>
          <w:szCs w:val="20"/>
          <w:color w:val="auto"/>
        </w:rPr>
      </w:pPr>
    </w:p>
    <w:p>
      <w:pPr>
        <w:ind w:left="120" w:right="120" w:firstLine="439"/>
        <w:spacing w:after="0" w:line="289" w:lineRule="auto"/>
        <w:rPr>
          <w:sz w:val="20"/>
          <w:szCs w:val="20"/>
          <w:color w:val="auto"/>
        </w:rPr>
      </w:pPr>
      <w:r>
        <w:rPr>
          <w:rFonts w:ascii="Arial" w:cs="Arial" w:eastAsia="Arial" w:hAnsi="Arial"/>
          <w:sz w:val="16"/>
          <w:szCs w:val="16"/>
          <w:color w:val="auto"/>
        </w:rPr>
        <w:t>The Company has certain wholly-owned taxable subsidiaries (the “Taxable Subsidiaries”),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spacing w:after="0" w:line="167" w:lineRule="exact"/>
        <w:rPr>
          <w:sz w:val="20"/>
          <w:szCs w:val="20"/>
          <w:color w:val="auto"/>
        </w:rPr>
      </w:pPr>
    </w:p>
    <w:p>
      <w:pPr>
        <w:ind w:left="120" w:right="40" w:firstLine="439"/>
        <w:spacing w:after="0" w:line="258" w:lineRule="auto"/>
        <w:rPr>
          <w:sz w:val="20"/>
          <w:szCs w:val="20"/>
          <w:color w:val="auto"/>
        </w:rPr>
      </w:pPr>
      <w:r>
        <w:rPr>
          <w:rFonts w:ascii="Arial" w:cs="Arial" w:eastAsia="Arial" w:hAnsi="Arial"/>
          <w:sz w:val="18"/>
          <w:szCs w:val="18"/>
          <w:color w:val="auto"/>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federal income taxes. Temporary differences arise when certain items of income, expense, gain or loss are recognized at some time in the future.</w:t>
      </w:r>
    </w:p>
    <w:p>
      <w:pPr>
        <w:spacing w:after="0" w:line="187" w:lineRule="exact"/>
        <w:rPr>
          <w:sz w:val="20"/>
          <w:szCs w:val="20"/>
          <w:color w:val="auto"/>
        </w:rPr>
      </w:pPr>
    </w:p>
    <w:p>
      <w:pPr>
        <w:ind w:left="120" w:firstLine="439"/>
        <w:spacing w:after="0" w:line="270" w:lineRule="auto"/>
        <w:rPr>
          <w:sz w:val="20"/>
          <w:szCs w:val="20"/>
          <w:color w:val="auto"/>
        </w:rPr>
      </w:pPr>
      <w:r>
        <w:rPr>
          <w:rFonts w:ascii="Arial" w:cs="Arial" w:eastAsia="Arial" w:hAnsi="Arial"/>
          <w:sz w:val="17"/>
          <w:szCs w:val="17"/>
          <w:color w:val="auto"/>
        </w:rPr>
        <w:t xml:space="preserve">ASC Topic 740 —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September 30, 2020 and December 31, 2019. The Company’s tax returns are generally subject to examination by U.S. federal and most state tax authorities for a period of three years from the date the respective returns are filed, and, accordingly, the Company’s 2017 through 2019 tax years remain subject to examination.</w:t>
      </w:r>
    </w:p>
    <w:p>
      <w:pPr>
        <w:spacing w:after="0" w:line="180" w:lineRule="exact"/>
        <w:rPr>
          <w:sz w:val="20"/>
          <w:szCs w:val="20"/>
          <w:color w:val="auto"/>
        </w:rPr>
      </w:pPr>
    </w:p>
    <w:p>
      <w:pPr>
        <w:ind w:left="120" w:right="120" w:firstLine="439"/>
        <w:spacing w:after="0" w:line="311" w:lineRule="auto"/>
        <w:rPr>
          <w:sz w:val="20"/>
          <w:szCs w:val="20"/>
          <w:color w:val="auto"/>
        </w:rPr>
      </w:pPr>
      <w:r>
        <w:rPr>
          <w:rFonts w:ascii="Arial" w:cs="Arial" w:eastAsia="Arial" w:hAnsi="Arial"/>
          <w:sz w:val="16"/>
          <w:szCs w:val="16"/>
          <w:i w:val="1"/>
          <w:iCs w:val="1"/>
          <w:color w:val="auto"/>
        </w:rPr>
        <w:t xml:space="preserve">Dividends to stockholders: </w:t>
      </w:r>
      <w:r>
        <w:rPr>
          <w:rFonts w:ascii="Arial" w:cs="Arial" w:eastAsia="Arial" w:hAnsi="Arial"/>
          <w:sz w:val="16"/>
          <w:szCs w:val="16"/>
          <w:color w:val="auto"/>
        </w:rPr>
        <w:t>Dividends to stockholders are recorded on the record date with respect to such distributions. The amount, if any, to be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47" w:lineRule="exact"/>
        <w:rPr>
          <w:sz w:val="20"/>
          <w:szCs w:val="20"/>
          <w:color w:val="auto"/>
        </w:rPr>
      </w:pPr>
    </w:p>
    <w:p>
      <w:pPr>
        <w:ind w:left="120" w:right="80" w:firstLine="439"/>
        <w:spacing w:after="0" w:line="275" w:lineRule="auto"/>
        <w:rPr>
          <w:sz w:val="20"/>
          <w:szCs w:val="20"/>
          <w:color w:val="auto"/>
        </w:rPr>
      </w:pPr>
      <w:r>
        <w:rPr>
          <w:rFonts w:ascii="Arial" w:cs="Arial" w:eastAsia="Arial" w:hAnsi="Arial"/>
          <w:sz w:val="17"/>
          <w:szCs w:val="17"/>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173" w:lineRule="exact"/>
        <w:rPr>
          <w:sz w:val="20"/>
          <w:szCs w:val="20"/>
          <w:color w:val="auto"/>
        </w:rPr>
      </w:pPr>
    </w:p>
    <w:p>
      <w:pPr>
        <w:ind w:left="120" w:right="20" w:firstLine="439"/>
        <w:spacing w:after="0" w:line="289" w:lineRule="auto"/>
        <w:rPr>
          <w:sz w:val="20"/>
          <w:szCs w:val="20"/>
          <w:color w:val="auto"/>
        </w:rPr>
      </w:pPr>
      <w:r>
        <w:rPr>
          <w:rFonts w:ascii="Arial" w:cs="Arial" w:eastAsia="Arial" w:hAnsi="Arial"/>
          <w:sz w:val="16"/>
          <w:szCs w:val="16"/>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ectPr>
          <w:pgSz w:w="11900" w:h="16838" w:orient="portrait"/>
          <w:cols w:equalWidth="0" w:num="1">
            <w:col w:w="11120"/>
          </w:cols>
          <w:pgMar w:left="320" w:top="458" w:right="459" w:bottom="1440" w:gutter="0" w:footer="0" w:header="0"/>
        </w:sectPr>
      </w:pP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20"/>
          </w:cols>
          <w:pgMar w:left="320" w:top="458" w:right="4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ind w:left="120" w:right="260" w:firstLine="439"/>
        <w:spacing w:after="0" w:line="263" w:lineRule="auto"/>
        <w:rPr>
          <w:sz w:val="20"/>
          <w:szCs w:val="20"/>
          <w:color w:val="auto"/>
        </w:rPr>
      </w:pPr>
      <w:r>
        <w:rPr>
          <w:rFonts w:ascii="Arial" w:cs="Arial" w:eastAsia="Arial" w:hAnsi="Arial"/>
          <w:sz w:val="18"/>
          <w:szCs w:val="18"/>
          <w:i w:val="1"/>
          <w:iCs w:val="1"/>
          <w:color w:val="auto"/>
        </w:rPr>
        <w:t xml:space="preserve">Earnings and net asset value per share: </w:t>
      </w:r>
      <w:r>
        <w:rPr>
          <w:rFonts w:ascii="Arial" w:cs="Arial" w:eastAsia="Arial" w:hAnsi="Arial"/>
          <w:sz w:val="18"/>
          <w:szCs w:val="18"/>
          <w:color w:val="auto"/>
        </w:rPr>
        <w:t>The earnings per share calculations for the three and nine months ended September 30, 2020 and 2019,</w:t>
      </w:r>
      <w:r>
        <w:rPr>
          <w:rFonts w:ascii="Arial" w:cs="Arial" w:eastAsia="Arial" w:hAnsi="Arial"/>
          <w:sz w:val="18"/>
          <w:szCs w:val="18"/>
          <w:i w:val="1"/>
          <w:iCs w:val="1"/>
          <w:color w:val="auto"/>
        </w:rPr>
        <w:t xml:space="preserve"> </w:t>
      </w:r>
      <w:r>
        <w:rPr>
          <w:rFonts w:ascii="Arial" w:cs="Arial" w:eastAsia="Arial" w:hAnsi="Arial"/>
          <w:sz w:val="18"/>
          <w:szCs w:val="18"/>
          <w:color w:val="auto"/>
        </w:rPr>
        <w:t>are computed utilizing the weighted average shares outstanding for the period. Net asset value per share is calculated using the number of shares outstanding as of the end of the period.</w:t>
      </w:r>
    </w:p>
    <w:p>
      <w:pPr>
        <w:spacing w:after="0" w:line="182" w:lineRule="exact"/>
        <w:rPr>
          <w:sz w:val="20"/>
          <w:szCs w:val="20"/>
          <w:color w:val="auto"/>
        </w:rPr>
      </w:pPr>
    </w:p>
    <w:p>
      <w:pPr>
        <w:ind w:left="120" w:right="20" w:firstLine="439"/>
        <w:spacing w:after="0" w:line="268" w:lineRule="auto"/>
        <w:rPr>
          <w:sz w:val="20"/>
          <w:szCs w:val="20"/>
          <w:color w:val="auto"/>
        </w:rPr>
      </w:pPr>
      <w:r>
        <w:rPr>
          <w:rFonts w:ascii="Arial" w:cs="Arial" w:eastAsia="Arial" w:hAnsi="Arial"/>
          <w:sz w:val="17"/>
          <w:szCs w:val="17"/>
          <w:i w:val="1"/>
          <w:iCs w:val="1"/>
          <w:color w:val="auto"/>
        </w:rPr>
        <w:t xml:space="preserve">Stock Repurchase Program: </w:t>
      </w:r>
      <w:r>
        <w:rPr>
          <w:rFonts w:ascii="Arial" w:cs="Arial" w:eastAsia="Arial" w:hAnsi="Arial"/>
          <w:sz w:val="17"/>
          <w:szCs w:val="17"/>
          <w:color w:val="auto"/>
        </w:rPr>
        <w:t>The Company has an open market stock repurchase program (the “Stock Repurchase Program”) under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October 26, 2020, the Board extended the Stock Repurchase Program through December 31, 2021,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During the three and nine months ended September 30, 2020, the Company repurchased zero and 25,719 shares of common stock on the open market for zero and $268, respectively. The Company did not make any repurchases of common stock during the three and nine months ended September 30, 2019, respectively. Refer to Note 8 for additional information concerning stock repurchases.</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Recent accounting pronouncements:</w:t>
      </w:r>
    </w:p>
    <w:p>
      <w:pPr>
        <w:spacing w:after="0" w:line="116" w:lineRule="exact"/>
        <w:rPr>
          <w:sz w:val="20"/>
          <w:szCs w:val="20"/>
          <w:color w:val="auto"/>
        </w:rPr>
      </w:pPr>
    </w:p>
    <w:p>
      <w:pPr>
        <w:ind w:left="120" w:right="40" w:firstLine="439"/>
        <w:spacing w:after="0" w:line="275"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 Changes to the Disclosure Requirements for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which is intended to improve fair value disclosure requirements by removing disclosures that are not cost-beneficial, clarifying</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specific requirements, and adding relevant disclosure requirements. The guidance is effective for annual and interim reporting periods beginning after December 15, 2019. The Company adopted the ASU effective January 1, 2020. No significant changes to the fair value disclosures were necessary in the notes to the consolidated financial statements in order to comply with ASU 2018-13.</w:t>
      </w:r>
    </w:p>
    <w:p>
      <w:pPr>
        <w:spacing w:after="0" w:line="173" w:lineRule="exact"/>
        <w:rPr>
          <w:sz w:val="20"/>
          <w:szCs w:val="20"/>
          <w:color w:val="auto"/>
        </w:rPr>
      </w:pPr>
    </w:p>
    <w:p>
      <w:pPr>
        <w:ind w:left="120" w:firstLine="439"/>
        <w:spacing w:after="0" w:line="270" w:lineRule="auto"/>
        <w:rPr>
          <w:sz w:val="20"/>
          <w:szCs w:val="20"/>
          <w:color w:val="auto"/>
        </w:rPr>
      </w:pPr>
      <w:r>
        <w:rPr>
          <w:rFonts w:ascii="Arial" w:cs="Arial" w:eastAsia="Arial" w:hAnsi="Arial"/>
          <w:sz w:val="17"/>
          <w:szCs w:val="17"/>
          <w:color w:val="auto"/>
        </w:rPr>
        <w:t>In March 2020, the Financial Accounting Standards Board (“FASB”) issued Accounting Standards Update (“ASU”) No. 2020-04, “</w:t>
      </w:r>
      <w:r>
        <w:rPr>
          <w:rFonts w:ascii="Arial" w:cs="Arial" w:eastAsia="Arial" w:hAnsi="Arial"/>
          <w:sz w:val="17"/>
          <w:szCs w:val="17"/>
          <w:i w:val="1"/>
          <w:iCs w:val="1"/>
          <w:color w:val="auto"/>
        </w:rPr>
        <w:t>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Reform (Topic 848),</w:t>
      </w:r>
      <w:r>
        <w:rPr>
          <w:rFonts w:ascii="Arial" w:cs="Arial" w:eastAsia="Arial" w:hAnsi="Arial"/>
          <w:sz w:val="17"/>
          <w:szCs w:val="17"/>
          <w:color w:val="auto"/>
        </w:rPr>
        <w:t>” which provides optional expedients and exceptions for applying GAAP to contracts, hedging relationships, and other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affected by reference rate reform if certain criteria are met. The amendments apply only to contracts, hedging relationships, and other transactions that reference LIBOR or another reference rate expected to be discontinued because of reference rate reform. ASU 2020-04 is effective for all entities as of March 12, 2020 through December 31, 2022. The expedients and exceptions provided by the amendments do not apply to contract modifications and hedging relationships entered into or evaluated after December 31, 2022, except for hedging transactions as of December 31, 2022, that an entity has elected certain optional expedients for and that are retained through the end of the hedging relationship. The Company is evaluating the potential impact that the adoption of ASU 2020-04 will have on the Company’s consolidated financial statements.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SEC Rule 12b-2 Update:</w:t>
      </w:r>
    </w:p>
    <w:p>
      <w:pPr>
        <w:spacing w:after="0" w:line="116" w:lineRule="exact"/>
        <w:rPr>
          <w:sz w:val="20"/>
          <w:szCs w:val="20"/>
          <w:color w:val="auto"/>
        </w:rPr>
      </w:pPr>
    </w:p>
    <w:p>
      <w:pPr>
        <w:ind w:left="120" w:right="360" w:firstLine="439"/>
        <w:spacing w:after="0" w:line="270" w:lineRule="auto"/>
        <w:rPr>
          <w:sz w:val="20"/>
          <w:szCs w:val="20"/>
          <w:color w:val="auto"/>
        </w:rPr>
      </w:pPr>
      <w:r>
        <w:rPr>
          <w:rFonts w:ascii="Arial" w:cs="Arial" w:eastAsia="Arial" w:hAnsi="Arial"/>
          <w:sz w:val="17"/>
          <w:szCs w:val="17"/>
          <w:color w:val="auto"/>
        </w:rPr>
        <w:t>In March 2020, the SEC adopted a final rule under SEC Release No. 34-88365 (the “Final Rule”), amending the accelerated filer and large accelerated filer definitions in Exchange Act Rule 12b-2. The amendments include a provision under which a BDC will be excluded from the “accelerated filer” and “large accelerated filer” definitions if the BDC has (1) a public float of $75,000 or more, but less than $700,000, and (2) has annual investment income of less than $100,000. In addition, BDCs are subject to the same transition provisions for accelerated filer and large accelerated filer status as other issuers, but instead substituting investment income for revenue. The amendments will reduce the number of issuers required to comply with the auditor attestation on the internal control over financial reporting requirement provided under Section 404(b) of the Sarbanes-Oxley Act of 2002. The Final Rule applies to annual report filings due on or after April 27, 2020. The Company is currently assessing this Final Rule, but believes it will no longer be an accelerated filer.</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Portfolio Company Investments</w:t>
      </w:r>
    </w:p>
    <w:p>
      <w:pPr>
        <w:spacing w:after="0" w:line="120" w:lineRule="exact"/>
        <w:rPr>
          <w:sz w:val="20"/>
          <w:szCs w:val="20"/>
          <w:color w:val="auto"/>
        </w:rPr>
      </w:pPr>
    </w:p>
    <w:p>
      <w:pPr>
        <w:ind w:left="120" w:right="20" w:firstLine="439"/>
        <w:spacing w:after="0" w:line="271" w:lineRule="auto"/>
        <w:rPr>
          <w:sz w:val="20"/>
          <w:szCs w:val="20"/>
          <w:color w:val="auto"/>
        </w:rPr>
      </w:pPr>
      <w:r>
        <w:rPr>
          <w:rFonts w:ascii="Arial" w:cs="Arial" w:eastAsia="Arial" w:hAnsi="Arial"/>
          <w:sz w:val="17"/>
          <w:szCs w:val="17"/>
          <w:color w:val="auto"/>
        </w:rPr>
        <w:t>The Company’s portfolio investments principally consist of secured and unsecured debt, equity warrants and direct equity investments in privately held companies. The debt investments may or may not be secured by either a first or second lien on the assets of the portfolio company. The debt investments generally bear interest at fixed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periodically makes equity investments in its portfolio companies through Taxable Subsidiaries. In both situations, the investment is generally reported under the name of the operating company on the consolidated schedules of investments.</w:t>
      </w:r>
    </w:p>
    <w:p>
      <w:pPr>
        <w:sectPr>
          <w:pgSz w:w="11900" w:h="16838" w:orient="portrait"/>
          <w:cols w:equalWidth="0" w:num="1">
            <w:col w:w="11120"/>
          </w:cols>
          <w:pgMar w:left="320" w:top="458" w:right="459" w:bottom="1440" w:gutter="0" w:footer="0" w:header="0"/>
        </w:sectPr>
      </w:pP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20"/>
          </w:cols>
          <w:pgMar w:left="320" w:top="458" w:right="4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ind w:left="120" w:right="160" w:firstLine="439"/>
        <w:spacing w:after="0" w:line="296" w:lineRule="auto"/>
        <w:rPr>
          <w:sz w:val="20"/>
          <w:szCs w:val="20"/>
          <w:color w:val="auto"/>
        </w:rPr>
      </w:pPr>
      <w:r>
        <w:rPr>
          <w:rFonts w:ascii="Arial" w:cs="Arial" w:eastAsia="Arial" w:hAnsi="Arial"/>
          <w:sz w:val="16"/>
          <w:szCs w:val="16"/>
          <w:color w:val="auto"/>
        </w:rPr>
        <w:t>As of September 30, 2020, the Company had active investments in 63 portfolio companies and residual investments in three portfolio companies that have sold their underlying operations. The aggregate fair value of the total portfolio was $715,405 and the weighted average effective yield on the Company’s debt investments was 12.1% as of such date. As of September 30, 2020, the Company held equity investments in 89.4% of its portfolio companies and the weighted average fully diluted equity ownership in those portfolio companies was 6.0%. The weighted average fully diluted equity ownership was computed using the fully diluted equity ownership for equity investments (including warrants) at cost as of September 30, 2020.</w:t>
      </w:r>
    </w:p>
    <w:p>
      <w:pPr>
        <w:spacing w:after="0" w:line="158" w:lineRule="exact"/>
        <w:rPr>
          <w:sz w:val="20"/>
          <w:szCs w:val="20"/>
          <w:color w:val="auto"/>
        </w:rPr>
      </w:pPr>
    </w:p>
    <w:p>
      <w:pPr>
        <w:ind w:left="120" w:right="180" w:firstLine="439"/>
        <w:spacing w:after="0" w:line="296" w:lineRule="auto"/>
        <w:rPr>
          <w:sz w:val="20"/>
          <w:szCs w:val="20"/>
          <w:color w:val="auto"/>
        </w:rPr>
      </w:pPr>
      <w:r>
        <w:rPr>
          <w:rFonts w:ascii="Arial" w:cs="Arial" w:eastAsia="Arial" w:hAnsi="Arial"/>
          <w:sz w:val="16"/>
          <w:szCs w:val="16"/>
          <w:color w:val="auto"/>
        </w:rPr>
        <w:t>As of December 31, 2019, the Company had active investments in 61 portfolio companies and residual investments in three portfolio companies that have sold their underlying operations. The aggregate fair value of the total portfolio was $766,919 and the weighted average effective yield on the Company’s debt investments was 12.0% as of such date. As of December 31, 2019, the Company held equity investments in 93.7% of its portfolio companies and the weighted average fully diluted equity ownership in those portfolio companies was 5.3%. The weighted average fully diluted equity ownership was computed using the fully diluted equity ownership for equity investments (including warrants) at cost as of December 31, 2019.</w:t>
      </w:r>
    </w:p>
    <w:p>
      <w:pPr>
        <w:spacing w:after="0" w:line="158" w:lineRule="exact"/>
        <w:rPr>
          <w:sz w:val="20"/>
          <w:szCs w:val="20"/>
          <w:color w:val="auto"/>
        </w:rPr>
      </w:pPr>
    </w:p>
    <w:p>
      <w:pPr>
        <w:ind w:left="120" w:right="80" w:firstLine="439"/>
        <w:spacing w:after="0" w:line="301" w:lineRule="auto"/>
        <w:rPr>
          <w:sz w:val="20"/>
          <w:szCs w:val="20"/>
          <w:color w:val="auto"/>
        </w:rPr>
      </w:pPr>
      <w:r>
        <w:rPr>
          <w:rFonts w:ascii="Arial" w:cs="Arial" w:eastAsia="Arial" w:hAnsi="Arial"/>
          <w:sz w:val="16"/>
          <w:szCs w:val="16"/>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September 30, 2020 and December 31, 2019, including accretion of OID and debt investment origination fees, but excluding investments on non-accrual status, if any.</w:t>
      </w:r>
    </w:p>
    <w:p>
      <w:pPr>
        <w:spacing w:after="0" w:line="154" w:lineRule="exact"/>
        <w:rPr>
          <w:sz w:val="20"/>
          <w:szCs w:val="20"/>
          <w:color w:val="auto"/>
        </w:rPr>
      </w:pPr>
    </w:p>
    <w:p>
      <w:pPr>
        <w:ind w:left="120" w:right="140" w:firstLine="439"/>
        <w:spacing w:after="0" w:line="263" w:lineRule="auto"/>
        <w:rPr>
          <w:sz w:val="20"/>
          <w:szCs w:val="20"/>
          <w:color w:val="auto"/>
        </w:rPr>
      </w:pPr>
      <w:r>
        <w:rPr>
          <w:rFonts w:ascii="Arial" w:cs="Arial" w:eastAsia="Arial" w:hAnsi="Arial"/>
          <w:sz w:val="18"/>
          <w:szCs w:val="18"/>
          <w:color w:val="auto"/>
        </w:rPr>
        <w:t>Purchases of debt and equity investments for the nine months ended September 30, 2020 and 2019 totaled $86,121 and $175,535, respectively. Proceeds from sales and repayments, including principal, return of capital distributions and realized gains, of portfolio investments for the nine months ended September 30, 2020 and 2019 totaled $110,149 and $98,805, respectively.</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Investments by type with corresponding percentage of total portfolio investments consisted of the following:</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4660" w:type="dxa"/>
            <w:vAlign w:val="bottom"/>
          </w:tcPr>
          <w:p>
            <w:pPr>
              <w:spacing w:after="0"/>
              <w:rPr>
                <w:sz w:val="10"/>
                <w:szCs w:val="10"/>
                <w:color w:val="auto"/>
              </w:rPr>
            </w:pPr>
          </w:p>
        </w:tc>
        <w:tc>
          <w:tcPr>
            <w:tcW w:w="1540" w:type="dxa"/>
            <w:vAlign w:val="bottom"/>
            <w:gridSpan w:val="4"/>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80" w:type="dxa"/>
            <w:vAlign w:val="bottom"/>
          </w:tcPr>
          <w:p>
            <w:pPr>
              <w:spacing w:after="0"/>
              <w:rPr>
                <w:sz w:val="10"/>
                <w:szCs w:val="10"/>
                <w:color w:val="auto"/>
              </w:rPr>
            </w:pPr>
          </w:p>
        </w:tc>
        <w:tc>
          <w:tcPr>
            <w:tcW w:w="1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4"/>
          </w:tcPr>
          <w:p>
            <w:pPr>
              <w:jc w:val="right"/>
              <w:ind w:right="468"/>
              <w:spacing w:after="0" w:line="119" w:lineRule="exact"/>
              <w:rPr>
                <w:sz w:val="20"/>
                <w:szCs w:val="20"/>
                <w:color w:val="auto"/>
              </w:rPr>
            </w:pPr>
            <w:r>
              <w:rPr>
                <w:rFonts w:ascii="Arial" w:cs="Arial" w:eastAsia="Arial" w:hAnsi="Arial"/>
                <w:sz w:val="13"/>
                <w:szCs w:val="13"/>
                <w:b w:val="1"/>
                <w:bCs w:val="1"/>
                <w:color w:val="auto"/>
              </w:rPr>
              <w:t>September 30,</w:t>
            </w:r>
          </w:p>
        </w:tc>
        <w:tc>
          <w:tcPr>
            <w:tcW w:w="1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0" w:type="dxa"/>
            <w:vAlign w:val="bottom"/>
          </w:tcPr>
          <w:p>
            <w:pPr>
              <w:spacing w:after="0"/>
              <w:rPr>
                <w:sz w:val="10"/>
                <w:szCs w:val="10"/>
                <w:color w:val="auto"/>
              </w:rPr>
            </w:pPr>
          </w:p>
        </w:tc>
      </w:tr>
      <w:tr>
        <w:trPr>
          <w:trHeight w:val="171"/>
        </w:trPr>
        <w:tc>
          <w:tcPr>
            <w:tcW w:w="46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09"/>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$352,223</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$383,077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$392,372</w:t>
            </w: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54.8%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$392,196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w:t>
            </w:r>
          </w:p>
        </w:tc>
      </w:tr>
      <w:tr>
        <w:trPr>
          <w:trHeight w:val="215"/>
        </w:trPr>
        <w:tc>
          <w:tcPr>
            <w:tcW w:w="4660" w:type="dxa"/>
            <w:vAlign w:val="bottom"/>
          </w:tcPr>
          <w:p>
            <w:pPr>
              <w:spacing w:after="0"/>
              <w:rPr>
                <w:sz w:val="20"/>
                <w:szCs w:val="20"/>
                <w:color w:val="auto"/>
              </w:rPr>
            </w:pPr>
            <w:r>
              <w:rPr>
                <w:rFonts w:ascii="Arial" w:cs="Arial" w:eastAsia="Arial" w:hAnsi="Arial"/>
                <w:sz w:val="18"/>
                <w:szCs w:val="18"/>
                <w:color w:val="auto"/>
              </w:rPr>
              <w:t>Subordinated Debt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144,109</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140,843</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143,876</w:t>
            </w:r>
          </w:p>
        </w:tc>
        <w:tc>
          <w:tcPr>
            <w:tcW w:w="780" w:type="dxa"/>
            <w:vAlign w:val="bottom"/>
            <w:gridSpan w:val="2"/>
          </w:tcPr>
          <w:p>
            <w:pPr>
              <w:jc w:val="right"/>
              <w:ind w:right="248"/>
              <w:spacing w:after="0"/>
              <w:rPr>
                <w:sz w:val="20"/>
                <w:szCs w:val="20"/>
                <w:color w:val="auto"/>
              </w:rPr>
            </w:pPr>
            <w:r>
              <w:rPr>
                <w:rFonts w:ascii="Arial" w:cs="Arial" w:eastAsia="Arial" w:hAnsi="Arial"/>
                <w:sz w:val="18"/>
                <w:szCs w:val="18"/>
                <w:color w:val="auto"/>
              </w:rPr>
              <w:t>20.1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140,670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r>
      <w:tr>
        <w:trPr>
          <w:trHeight w:val="215"/>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130,680</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108,327</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130,176</w:t>
            </w: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18.2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107,718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r>
      <w:tr>
        <w:trPr>
          <w:trHeight w:val="215"/>
        </w:trPr>
        <w:tc>
          <w:tcPr>
            <w:tcW w:w="4660" w:type="dxa"/>
            <w:vAlign w:val="bottom"/>
          </w:tcPr>
          <w:p>
            <w:pPr>
              <w:spacing w:after="0"/>
              <w:rPr>
                <w:sz w:val="20"/>
                <w:szCs w:val="20"/>
                <w:color w:val="auto"/>
              </w:rPr>
            </w:pPr>
            <w:r>
              <w:rPr>
                <w:rFonts w:ascii="Arial" w:cs="Arial" w:eastAsia="Arial" w:hAnsi="Arial"/>
                <w:sz w:val="18"/>
                <w:szCs w:val="18"/>
                <w:color w:val="auto"/>
              </w:rPr>
              <w:t>Equity</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85,789</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126,564</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46,801</w:t>
            </w:r>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58,091</w:t>
            </w: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r>
      <w:tr>
        <w:trPr>
          <w:trHeight w:val="215"/>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2,604</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8,108</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3,194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Royalty Rights</w:t>
            </w: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15"/>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715,405</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766,919</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716,419</w:t>
            </w: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8"/>
              </w:rPr>
              <w:t>100.0%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704,499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0"/>
        </w:trPr>
        <w:tc>
          <w:tcPr>
            <w:tcW w:w="4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39"/>
        <w:spacing w:after="0" w:line="258" w:lineRule="auto"/>
        <w:rPr>
          <w:sz w:val="20"/>
          <w:szCs w:val="20"/>
          <w:color w:val="auto"/>
        </w:rPr>
      </w:pPr>
      <w:r>
        <w:rPr>
          <w:rFonts w:ascii="Arial" w:cs="Arial" w:eastAsia="Arial" w:hAnsi="Arial"/>
          <w:sz w:val="18"/>
          <w:szCs w:val="18"/>
          <w:color w:val="auto"/>
        </w:rPr>
        <w:t>All investments made by the Company as of September 30, 2020 and December 31, 2019 were made in portfolio companies headquartered in the U.S. 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540" w:type="dxa"/>
            <w:vAlign w:val="bottom"/>
            <w:gridSpan w:val="5"/>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80" w:type="dxa"/>
            <w:vAlign w:val="bottom"/>
          </w:tcPr>
          <w:p>
            <w:pPr>
              <w:spacing w:after="0"/>
              <w:rPr>
                <w:sz w:val="10"/>
                <w:szCs w:val="10"/>
                <w:color w:val="auto"/>
              </w:rPr>
            </w:pPr>
          </w:p>
        </w:tc>
        <w:tc>
          <w:tcPr>
            <w:tcW w:w="1300" w:type="dxa"/>
            <w:vAlign w:val="bottom"/>
            <w:gridSpan w:val="3"/>
          </w:tcPr>
          <w:p>
            <w:pPr>
              <w:ind w:left="240"/>
              <w:spacing w:after="0" w:line="119" w:lineRule="exact"/>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4"/>
          </w:tcPr>
          <w:p>
            <w:pPr>
              <w:jc w:val="right"/>
              <w:ind w:right="468"/>
              <w:spacing w:after="0" w:line="119" w:lineRule="exact"/>
              <w:rPr>
                <w:sz w:val="20"/>
                <w:szCs w:val="20"/>
                <w:color w:val="auto"/>
              </w:rPr>
            </w:pPr>
            <w:r>
              <w:rPr>
                <w:rFonts w:ascii="Arial" w:cs="Arial" w:eastAsia="Arial" w:hAnsi="Arial"/>
                <w:sz w:val="13"/>
                <w:szCs w:val="13"/>
                <w:b w:val="1"/>
                <w:bCs w:val="1"/>
                <w:color w:val="auto"/>
              </w:rPr>
              <w:t>September 30,</w:t>
            </w:r>
          </w:p>
        </w:tc>
        <w:tc>
          <w:tcPr>
            <w:tcW w:w="1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0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$206,454</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$208,248</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$178,520</w:t>
            </w: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24.9%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$181,353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5"/>
        </w:trPr>
        <w:tc>
          <w:tcPr>
            <w:tcW w:w="2700" w:type="dxa"/>
            <w:vAlign w:val="bottom"/>
          </w:tcPr>
          <w:p>
            <w:pPr>
              <w:spacing w:after="0"/>
              <w:rPr>
                <w:sz w:val="20"/>
                <w:szCs w:val="20"/>
                <w:color w:val="auto"/>
              </w:rPr>
            </w:pPr>
            <w:r>
              <w:rPr>
                <w:rFonts w:ascii="Arial" w:cs="Arial" w:eastAsia="Arial" w:hAnsi="Arial"/>
                <w:sz w:val="18"/>
                <w:szCs w:val="18"/>
                <w:color w:val="auto"/>
              </w:rPr>
              <w:t>Southeast</w:t>
            </w:r>
          </w:p>
        </w:tc>
        <w:tc>
          <w:tcPr>
            <w:tcW w:w="2680" w:type="dxa"/>
            <w:vAlign w:val="bottom"/>
            <w:gridSpan w:val="3"/>
          </w:tcPr>
          <w:p>
            <w:pPr>
              <w:jc w:val="right"/>
              <w:ind w:right="60"/>
              <w:spacing w:after="0"/>
              <w:rPr>
                <w:sz w:val="20"/>
                <w:szCs w:val="20"/>
                <w:color w:val="auto"/>
              </w:rPr>
            </w:pPr>
            <w:r>
              <w:rPr>
                <w:rFonts w:ascii="Arial" w:cs="Arial" w:eastAsia="Arial" w:hAnsi="Arial"/>
                <w:sz w:val="18"/>
                <w:szCs w:val="18"/>
                <w:color w:val="auto"/>
              </w:rPr>
              <w:t>149,391</w:t>
            </w: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20.9</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159,959</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20.9</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140,147</w:t>
            </w:r>
          </w:p>
        </w:tc>
        <w:tc>
          <w:tcPr>
            <w:tcW w:w="780" w:type="dxa"/>
            <w:vAlign w:val="bottom"/>
            <w:gridSpan w:val="2"/>
          </w:tcPr>
          <w:p>
            <w:pPr>
              <w:jc w:val="right"/>
              <w:ind w:right="248"/>
              <w:spacing w:after="0"/>
              <w:rPr>
                <w:sz w:val="20"/>
                <w:szCs w:val="20"/>
                <w:color w:val="auto"/>
              </w:rPr>
            </w:pPr>
            <w:r>
              <w:rPr>
                <w:rFonts w:ascii="Arial" w:cs="Arial" w:eastAsia="Arial" w:hAnsi="Arial"/>
                <w:sz w:val="18"/>
                <w:szCs w:val="18"/>
                <w:color w:val="auto"/>
              </w:rPr>
              <w:t>19.6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138,142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5"/>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2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138,306</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19.3</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154,713</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143,594</w:t>
            </w: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142,054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5"/>
        </w:trPr>
        <w:tc>
          <w:tcPr>
            <w:tcW w:w="2700" w:type="dxa"/>
            <w:vAlign w:val="bottom"/>
          </w:tcPr>
          <w:p>
            <w:pPr>
              <w:spacing w:after="0"/>
              <w:rPr>
                <w:sz w:val="20"/>
                <w:szCs w:val="20"/>
                <w:color w:val="auto"/>
              </w:rPr>
            </w:pPr>
            <w:r>
              <w:rPr>
                <w:rFonts w:ascii="Arial" w:cs="Arial" w:eastAsia="Arial" w:hAnsi="Arial"/>
                <w:sz w:val="18"/>
                <w:szCs w:val="18"/>
                <w:color w:val="auto"/>
              </w:rPr>
              <w:t>West</w:t>
            </w:r>
          </w:p>
        </w:tc>
        <w:tc>
          <w:tcPr>
            <w:tcW w:w="2680" w:type="dxa"/>
            <w:vAlign w:val="bottom"/>
            <w:gridSpan w:val="3"/>
          </w:tcPr>
          <w:p>
            <w:pPr>
              <w:jc w:val="right"/>
              <w:ind w:right="60"/>
              <w:spacing w:after="0"/>
              <w:rPr>
                <w:sz w:val="20"/>
                <w:szCs w:val="20"/>
                <w:color w:val="auto"/>
              </w:rPr>
            </w:pPr>
            <w:r>
              <w:rPr>
                <w:rFonts w:ascii="Arial" w:cs="Arial" w:eastAsia="Arial" w:hAnsi="Arial"/>
                <w:sz w:val="18"/>
                <w:szCs w:val="18"/>
                <w:color w:val="auto"/>
              </w:rPr>
              <w:t>87,372</w:t>
            </w: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12.2</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76,251</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88,518</w:t>
            </w:r>
          </w:p>
        </w:tc>
        <w:tc>
          <w:tcPr>
            <w:tcW w:w="780" w:type="dxa"/>
            <w:vAlign w:val="bottom"/>
            <w:gridSpan w:val="2"/>
          </w:tcPr>
          <w:p>
            <w:pPr>
              <w:jc w:val="right"/>
              <w:ind w:right="248"/>
              <w:spacing w:after="0"/>
              <w:rPr>
                <w:sz w:val="20"/>
                <w:szCs w:val="20"/>
                <w:color w:val="auto"/>
              </w:rPr>
            </w:pPr>
            <w:r>
              <w:rPr>
                <w:rFonts w:ascii="Arial" w:cs="Arial" w:eastAsia="Arial" w:hAnsi="Arial"/>
                <w:sz w:val="18"/>
                <w:szCs w:val="18"/>
                <w:color w:val="auto"/>
              </w:rPr>
              <w:t>12.4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76,587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5"/>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1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133,882</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18.7</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167,748</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165,640</w:t>
            </w: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23.1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166,363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9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00" w:type="dxa"/>
            <w:vAlign w:val="bottom"/>
            <w:vMerge w:val="continue"/>
          </w:tcPr>
          <w:p>
            <w:pPr>
              <w:spacing w:after="0"/>
              <w:rPr>
                <w:sz w:val="19"/>
                <w:szCs w:val="19"/>
                <w:color w:val="auto"/>
              </w:rPr>
            </w:pPr>
          </w:p>
        </w:tc>
        <w:tc>
          <w:tcPr>
            <w:tcW w:w="19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715,405</w:t>
            </w:r>
          </w:p>
        </w:tc>
        <w:tc>
          <w:tcPr>
            <w:tcW w:w="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100.0%</w:t>
            </w:r>
          </w:p>
        </w:tc>
        <w:tc>
          <w:tcPr>
            <w:tcW w:w="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766,919</w:t>
            </w:r>
          </w:p>
        </w:tc>
        <w:tc>
          <w:tcPr>
            <w:tcW w:w="160" w:type="dxa"/>
            <w:vAlign w:val="bottom"/>
            <w:vMerge w:val="continue"/>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100.0%</w:t>
            </w:r>
          </w:p>
        </w:tc>
        <w:tc>
          <w:tcPr>
            <w:tcW w:w="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716,419</w:t>
            </w:r>
          </w:p>
        </w:tc>
        <w:tc>
          <w:tcPr>
            <w:tcW w:w="160" w:type="dxa"/>
            <w:vAlign w:val="bottom"/>
            <w:vMerge w:val="continue"/>
          </w:tcPr>
          <w:p>
            <w:pPr>
              <w:spacing w:after="0"/>
              <w:rPr>
                <w:sz w:val="19"/>
                <w:szCs w:val="19"/>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8"/>
                <w:szCs w:val="18"/>
                <w:color w:val="auto"/>
                <w:w w:val="98"/>
              </w:rPr>
              <w:t>100.0%</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704,499</w:t>
            </w:r>
          </w:p>
        </w:tc>
        <w:tc>
          <w:tcPr>
            <w:tcW w:w="16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jc w:val="right"/>
              <w:ind w:right="259"/>
              <w:spacing w:after="0"/>
              <w:rPr>
                <w:sz w:val="20"/>
                <w:szCs w:val="20"/>
                <w:color w:val="auto"/>
              </w:rPr>
            </w:pPr>
            <w:r>
              <w:rPr>
                <w:rFonts w:ascii="Arial" w:cs="Arial" w:eastAsia="Arial" w:hAnsi="Arial"/>
                <w:sz w:val="18"/>
                <w:szCs w:val="18"/>
                <w:color w:val="auto"/>
                <w:w w:val="99"/>
              </w:rPr>
              <w:t>22</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8"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portfolio composition by type and by geographic region at fair value as a percentage of net assets.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8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1540"/>
              <w:spacing w:after="0"/>
              <w:rPr>
                <w:sz w:val="20"/>
                <w:szCs w:val="20"/>
                <w:color w:val="auto"/>
              </w:rPr>
            </w:pPr>
            <w:r>
              <w:rPr>
                <w:rFonts w:ascii="Arial" w:cs="Arial" w:eastAsia="Arial" w:hAnsi="Arial"/>
                <w:sz w:val="14"/>
                <w:szCs w:val="14"/>
                <w:b w:val="1"/>
                <w:bCs w:val="1"/>
                <w:color w:val="auto"/>
              </w:rPr>
              <w:t>By Type</w:t>
            </w:r>
          </w:p>
        </w:tc>
        <w:tc>
          <w:tcPr>
            <w:tcW w:w="84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ind w:right="980"/>
              <w:spacing w:after="0"/>
              <w:rPr>
                <w:sz w:val="20"/>
                <w:szCs w:val="20"/>
                <w:color w:val="auto"/>
              </w:rPr>
            </w:pPr>
            <w:r>
              <w:rPr>
                <w:rFonts w:ascii="Arial" w:cs="Arial" w:eastAsia="Arial" w:hAnsi="Arial"/>
                <w:sz w:val="14"/>
                <w:szCs w:val="14"/>
                <w:b w:val="1"/>
                <w:bCs w:val="1"/>
                <w:color w:val="auto"/>
              </w:rPr>
              <w:t>By Geographic Region</w:t>
            </w:r>
          </w:p>
        </w:tc>
        <w:tc>
          <w:tcPr>
            <w:tcW w:w="8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19"/>
        </w:trPr>
        <w:tc>
          <w:tcPr>
            <w:tcW w:w="18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6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38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r>
      <w:tr>
        <w:trPr>
          <w:trHeight w:val="171"/>
        </w:trPr>
        <w:tc>
          <w:tcPr>
            <w:tcW w:w="18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09"/>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1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90.4%</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92.8%</w:t>
            </w: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5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w:t>
            </w:r>
          </w:p>
        </w:tc>
      </w:tr>
      <w:tr>
        <w:trPr>
          <w:trHeight w:val="215"/>
        </w:trPr>
        <w:tc>
          <w:tcPr>
            <w:tcW w:w="1880" w:type="dxa"/>
            <w:vAlign w:val="bottom"/>
          </w:tcPr>
          <w:p>
            <w:pPr>
              <w:spacing w:after="0"/>
              <w:rPr>
                <w:sz w:val="20"/>
                <w:szCs w:val="20"/>
                <w:color w:val="auto"/>
              </w:rPr>
            </w:pPr>
            <w:r>
              <w:rPr>
                <w:rFonts w:ascii="Arial" w:cs="Arial" w:eastAsia="Arial" w:hAnsi="Arial"/>
                <w:sz w:val="18"/>
                <w:szCs w:val="18"/>
                <w:color w:val="auto"/>
              </w:rPr>
              <w:t>Subordinated Debt</w:t>
            </w:r>
          </w:p>
        </w:tc>
        <w:tc>
          <w:tcPr>
            <w:tcW w:w="2540" w:type="dxa"/>
            <w:vAlign w:val="bottom"/>
            <w:gridSpan w:val="3"/>
          </w:tcPr>
          <w:p>
            <w:pPr>
              <w:jc w:val="right"/>
              <w:ind w:right="500"/>
              <w:spacing w:after="0"/>
              <w:rPr>
                <w:sz w:val="20"/>
                <w:szCs w:val="20"/>
                <w:color w:val="auto"/>
              </w:rPr>
            </w:pPr>
            <w:r>
              <w:rPr>
                <w:rFonts w:ascii="Arial" w:cs="Arial" w:eastAsia="Arial" w:hAnsi="Arial"/>
                <w:sz w:val="18"/>
                <w:szCs w:val="18"/>
                <w:color w:val="auto"/>
              </w:rPr>
              <w:t>37.0</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34.2</w:t>
            </w:r>
          </w:p>
        </w:tc>
        <w:tc>
          <w:tcPr>
            <w:tcW w:w="1280" w:type="dxa"/>
            <w:vAlign w:val="bottom"/>
          </w:tcPr>
          <w:p>
            <w:pPr>
              <w:spacing w:after="0"/>
              <w:rPr>
                <w:sz w:val="20"/>
                <w:szCs w:val="20"/>
                <w:color w:val="auto"/>
              </w:rPr>
            </w:pPr>
            <w:r>
              <w:rPr>
                <w:rFonts w:ascii="Arial" w:cs="Arial" w:eastAsia="Arial" w:hAnsi="Arial"/>
                <w:sz w:val="18"/>
                <w:szCs w:val="18"/>
                <w:color w:val="auto"/>
              </w:rPr>
              <w:t>Southeast</w:t>
            </w:r>
          </w:p>
        </w:tc>
        <w:tc>
          <w:tcPr>
            <w:tcW w:w="2900" w:type="dxa"/>
            <w:vAlign w:val="bottom"/>
            <w:gridSpan w:val="3"/>
          </w:tcPr>
          <w:p>
            <w:pPr>
              <w:jc w:val="right"/>
              <w:ind w:right="500"/>
              <w:spacing w:after="0"/>
              <w:rPr>
                <w:sz w:val="20"/>
                <w:szCs w:val="20"/>
                <w:color w:val="auto"/>
              </w:rPr>
            </w:pPr>
            <w:r>
              <w:rPr>
                <w:rFonts w:ascii="Arial" w:cs="Arial" w:eastAsia="Arial" w:hAnsi="Arial"/>
                <w:sz w:val="18"/>
                <w:szCs w:val="18"/>
                <w:color w:val="auto"/>
              </w:rPr>
              <w:t>38.3</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38.8</w:t>
            </w:r>
          </w:p>
        </w:tc>
      </w:tr>
      <w:tr>
        <w:trPr>
          <w:trHeight w:val="215"/>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33.5</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26.3</w:t>
            </w: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2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w:t>
            </w:r>
          </w:p>
        </w:tc>
      </w:tr>
      <w:tr>
        <w:trPr>
          <w:trHeight w:val="215"/>
        </w:trPr>
        <w:tc>
          <w:tcPr>
            <w:tcW w:w="1880" w:type="dxa"/>
            <w:vAlign w:val="bottom"/>
          </w:tcPr>
          <w:p>
            <w:pPr>
              <w:spacing w:after="0"/>
              <w:rPr>
                <w:sz w:val="20"/>
                <w:szCs w:val="20"/>
                <w:color w:val="auto"/>
              </w:rPr>
            </w:pPr>
            <w:r>
              <w:rPr>
                <w:rFonts w:ascii="Arial" w:cs="Arial" w:eastAsia="Arial" w:hAnsi="Arial"/>
                <w:sz w:val="18"/>
                <w:szCs w:val="18"/>
                <w:color w:val="auto"/>
              </w:rPr>
              <w:t>Equity</w:t>
            </w:r>
          </w:p>
        </w:tc>
        <w:tc>
          <w:tcPr>
            <w:tcW w:w="2540" w:type="dxa"/>
            <w:vAlign w:val="bottom"/>
            <w:gridSpan w:val="3"/>
          </w:tcPr>
          <w:p>
            <w:pPr>
              <w:jc w:val="right"/>
              <w:ind w:right="500"/>
              <w:spacing w:after="0"/>
              <w:rPr>
                <w:sz w:val="20"/>
                <w:szCs w:val="20"/>
                <w:color w:val="auto"/>
              </w:rPr>
            </w:pPr>
            <w:r>
              <w:rPr>
                <w:rFonts w:ascii="Arial" w:cs="Arial" w:eastAsia="Arial" w:hAnsi="Arial"/>
                <w:sz w:val="18"/>
                <w:szCs w:val="18"/>
                <w:color w:val="auto"/>
              </w:rPr>
              <w:t>22.0</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30.7</w:t>
            </w:r>
          </w:p>
        </w:tc>
        <w:tc>
          <w:tcPr>
            <w:tcW w:w="1280" w:type="dxa"/>
            <w:vAlign w:val="bottom"/>
          </w:tcPr>
          <w:p>
            <w:pPr>
              <w:spacing w:after="0"/>
              <w:rPr>
                <w:sz w:val="20"/>
                <w:szCs w:val="20"/>
                <w:color w:val="auto"/>
              </w:rPr>
            </w:pPr>
            <w:r>
              <w:rPr>
                <w:rFonts w:ascii="Arial" w:cs="Arial" w:eastAsia="Arial" w:hAnsi="Arial"/>
                <w:sz w:val="18"/>
                <w:szCs w:val="18"/>
                <w:color w:val="auto"/>
              </w:rPr>
              <w:t>West</w:t>
            </w:r>
          </w:p>
        </w:tc>
        <w:tc>
          <w:tcPr>
            <w:tcW w:w="2900" w:type="dxa"/>
            <w:vAlign w:val="bottom"/>
            <w:gridSpan w:val="3"/>
          </w:tcPr>
          <w:p>
            <w:pPr>
              <w:jc w:val="right"/>
              <w:ind w:right="500"/>
              <w:spacing w:after="0"/>
              <w:rPr>
                <w:sz w:val="20"/>
                <w:szCs w:val="20"/>
                <w:color w:val="auto"/>
              </w:rPr>
            </w:pPr>
            <w:r>
              <w:rPr>
                <w:rFonts w:ascii="Arial" w:cs="Arial" w:eastAsia="Arial" w:hAnsi="Arial"/>
                <w:sz w:val="18"/>
                <w:szCs w:val="18"/>
                <w:color w:val="auto"/>
              </w:rPr>
              <w:t>22.4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18.5</w:t>
            </w:r>
          </w:p>
        </w:tc>
      </w:tr>
      <w:tr>
        <w:trPr>
          <w:trHeight w:val="215"/>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2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34.4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w:t>
            </w:r>
          </w:p>
        </w:tc>
      </w:tr>
      <w:tr>
        <w:trPr>
          <w:trHeight w:val="222"/>
        </w:trPr>
        <w:tc>
          <w:tcPr>
            <w:tcW w:w="1880" w:type="dxa"/>
            <w:vAlign w:val="bottom"/>
          </w:tcPr>
          <w:p>
            <w:pPr>
              <w:spacing w:after="0"/>
              <w:rPr>
                <w:sz w:val="20"/>
                <w:szCs w:val="20"/>
                <w:color w:val="auto"/>
              </w:rPr>
            </w:pPr>
            <w:r>
              <w:rPr>
                <w:rFonts w:ascii="Arial" w:cs="Arial" w:eastAsia="Arial" w:hAnsi="Arial"/>
                <w:sz w:val="18"/>
                <w:szCs w:val="18"/>
                <w:color w:val="auto"/>
              </w:rPr>
              <w:t>Royalty Rights</w:t>
            </w:r>
          </w:p>
        </w:tc>
        <w:tc>
          <w:tcPr>
            <w:tcW w:w="1180" w:type="dxa"/>
            <w:vAlign w:val="bottom"/>
          </w:tcPr>
          <w:p>
            <w:pPr>
              <w:spacing w:after="0"/>
              <w:rPr>
                <w:sz w:val="19"/>
                <w:szCs w:val="19"/>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5"/>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183.6%</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186.0%</w:t>
            </w: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183.6%</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186.0%</w:t>
            </w:r>
          </w:p>
        </w:tc>
      </w:tr>
      <w:tr>
        <w:trPr>
          <w:trHeight w:val="20"/>
        </w:trPr>
        <w:tc>
          <w:tcPr>
            <w:tcW w:w="1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firstLine="439"/>
        <w:spacing w:after="0" w:line="276" w:lineRule="auto"/>
        <w:rPr>
          <w:sz w:val="20"/>
          <w:szCs w:val="20"/>
          <w:color w:val="auto"/>
        </w:rPr>
      </w:pPr>
      <w:r>
        <w:rPr>
          <w:rFonts w:ascii="Arial" w:cs="Arial" w:eastAsia="Arial" w:hAnsi="Arial"/>
          <w:sz w:val="18"/>
          <w:szCs w:val="18"/>
          <w:color w:val="auto"/>
        </w:rPr>
        <w:t>As of September 30, 2020 and December 31, 2019, the Company had no portfolio company investments that represented more than 10% of the total investment portfolio on a fair value or cost basis.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September 30, 2020 and December 31, 2019, the Company had debt investments in one portfolio company on non-accrual status: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9"/>
              </w:rPr>
              <w:t>September 30, 2020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December 31, 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92"/>
              </w:rPr>
              <w:t>Portfolio Company</w:t>
            </w:r>
          </w:p>
        </w:tc>
        <w:tc>
          <w:tcPr>
            <w:tcW w:w="558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Fair</w:t>
            </w:r>
          </w:p>
        </w:tc>
        <w:tc>
          <w:tcPr>
            <w:tcW w:w="300" w:type="dxa"/>
            <w:vAlign w:val="bottom"/>
          </w:tcPr>
          <w:p>
            <w:pPr>
              <w:spacing w:after="0"/>
              <w:rPr>
                <w:sz w:val="10"/>
                <w:szCs w:val="10"/>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0"/>
                <w:szCs w:val="10"/>
                <w:color w:val="auto"/>
              </w:rPr>
            </w:pPr>
          </w:p>
        </w:tc>
        <w:tc>
          <w:tcPr>
            <w:tcW w:w="9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Fair</w:t>
            </w: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77"/>
        </w:trPr>
        <w:tc>
          <w:tcPr>
            <w:tcW w:w="1180" w:type="dxa"/>
            <w:vAlign w:val="bottom"/>
            <w:tcBorders>
              <w:bottom w:val="single" w:sz="8" w:color="auto"/>
            </w:tcBorders>
            <w:vMerge w:val="continue"/>
          </w:tcPr>
          <w:p>
            <w:pPr>
              <w:spacing w:after="0"/>
              <w:rPr>
                <w:sz w:val="15"/>
                <w:szCs w:val="15"/>
                <w:color w:val="auto"/>
              </w:rPr>
            </w:pPr>
          </w:p>
        </w:tc>
        <w:tc>
          <w:tcPr>
            <w:tcW w:w="5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0"/>
              </w:rPr>
              <w:t>Value</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Accent Food Services, LLC</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5,333</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35,328</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33,067</w:t>
            </w: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35,327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5,333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35,328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33,067</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35,327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Consolidated Schedule of Investments In and Advances To Affiliates</w:t>
      </w:r>
    </w:p>
    <w:p>
      <w:pPr>
        <w:spacing w:after="0" w:line="116" w:lineRule="exact"/>
        <w:rPr>
          <w:sz w:val="20"/>
          <w:szCs w:val="20"/>
          <w:color w:val="auto"/>
        </w:rPr>
      </w:pPr>
    </w:p>
    <w:p>
      <w:pPr>
        <w:jc w:val="both"/>
        <w:ind w:left="120" w:right="200" w:firstLine="439"/>
        <w:spacing w:after="0" w:line="263" w:lineRule="auto"/>
        <w:rPr>
          <w:sz w:val="20"/>
          <w:szCs w:val="20"/>
          <w:color w:val="auto"/>
        </w:rPr>
      </w:pPr>
      <w:r>
        <w:rPr>
          <w:rFonts w:ascii="Arial" w:cs="Arial" w:eastAsia="Arial" w:hAnsi="Arial"/>
          <w:sz w:val="18"/>
          <w:szCs w:val="18"/>
          <w:color w:val="auto"/>
        </w:rPr>
        <w:t>The table below represents the fair value of control and affiliate investments as of December 31, 2019 and any additions and reductions made to such investments during the nine months ended September 30, 2020, the ending fair value as of September 30, 2020, and the total investment income earned on such investments during the period.</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1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10"/>
          </w:tcPr>
          <w:p>
            <w:pPr>
              <w:ind w:left="160"/>
              <w:spacing w:after="0"/>
              <w:rPr>
                <w:sz w:val="20"/>
                <w:szCs w:val="20"/>
                <w:color w:val="auto"/>
              </w:rPr>
            </w:pPr>
            <w:r>
              <w:rPr>
                <w:rFonts w:ascii="Arial" w:cs="Arial" w:eastAsia="Arial" w:hAnsi="Arial"/>
                <w:sz w:val="13"/>
                <w:szCs w:val="13"/>
                <w:b w:val="1"/>
                <w:bCs w:val="1"/>
                <w:color w:val="auto"/>
                <w:w w:val="90"/>
              </w:rPr>
              <w:t>Nine Months Ended September 30, 2020</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2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89"/>
              </w:rPr>
              <w:t>September 30,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2"/>
              </w:rPr>
              <w:t>Net</w:t>
            </w:r>
          </w:p>
        </w:tc>
        <w:tc>
          <w:tcPr>
            <w:tcW w:w="86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6"/>
              </w:rPr>
              <w:t>Net Change in</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9"/>
              </w:rPr>
              <w:t>Payment-in-</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Realized</w:t>
            </w:r>
          </w:p>
        </w:tc>
        <w:tc>
          <w:tcPr>
            <w:tcW w:w="8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1"/>
              </w:rPr>
              <w:t>2020 Principal</w:t>
            </w:r>
          </w:p>
        </w:tc>
        <w:tc>
          <w:tcPr>
            <w:tcW w:w="80" w:type="dxa"/>
            <w:vAlign w:val="bottom"/>
          </w:tcPr>
          <w:p>
            <w:pPr>
              <w:spacing w:after="0"/>
              <w:rPr>
                <w:sz w:val="11"/>
                <w:szCs w:val="11"/>
                <w:color w:val="auto"/>
              </w:rPr>
            </w:pPr>
          </w:p>
        </w:tc>
        <w:tc>
          <w:tcPr>
            <w:tcW w:w="8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98"/>
              <w:spacing w:after="0" w:line="135" w:lineRule="exact"/>
              <w:rPr>
                <w:sz w:val="20"/>
                <w:szCs w:val="20"/>
                <w:color w:val="auto"/>
              </w:rPr>
            </w:pPr>
            <w:r>
              <w:rPr>
                <w:rFonts w:ascii="Arial" w:cs="Arial" w:eastAsia="Arial" w:hAnsi="Arial"/>
                <w:sz w:val="13"/>
                <w:szCs w:val="13"/>
                <w:b w:val="1"/>
                <w:bCs w:val="1"/>
                <w:color w:val="auto"/>
                <w:w w:val="90"/>
              </w:rPr>
              <w:t>Gross</w:t>
            </w:r>
          </w:p>
        </w:tc>
        <w:tc>
          <w:tcPr>
            <w:tcW w:w="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89"/>
              </w:rPr>
              <w:t>September 30,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2"/>
              </w:rPr>
              <w:t>Gains</w:t>
            </w:r>
          </w:p>
        </w:tc>
        <w:tc>
          <w:tcPr>
            <w:tcW w:w="8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88"/>
              </w:rPr>
              <w:t>Unrealized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kind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vMerge w:val="restart"/>
          </w:tcPr>
          <w:p>
            <w:pPr>
              <w:spacing w:after="0"/>
              <w:rPr>
                <w:sz w:val="20"/>
                <w:szCs w:val="20"/>
                <w:color w:val="auto"/>
              </w:rPr>
            </w:pPr>
            <w:r>
              <w:rPr>
                <w:rFonts w:ascii="Arial" w:cs="Arial" w:eastAsia="Arial" w:hAnsi="Arial"/>
                <w:sz w:val="13"/>
                <w:szCs w:val="13"/>
                <w:b w:val="1"/>
                <w:bCs w:val="1"/>
                <w:color w:val="auto"/>
                <w:w w:val="89"/>
              </w:rPr>
              <w:t xml:space="preserve">Portfolio Company </w:t>
            </w:r>
            <w:r>
              <w:rPr>
                <w:rFonts w:ascii="Arial" w:cs="Arial" w:eastAsia="Arial" w:hAnsi="Arial"/>
                <w:sz w:val="10"/>
                <w:szCs w:val="10"/>
                <w:b w:val="1"/>
                <w:bCs w:val="1"/>
                <w:color w:val="auto"/>
                <w:w w:val="89"/>
              </w:rPr>
              <w:t>(1)</w:t>
            </w:r>
          </w:p>
        </w:tc>
        <w:tc>
          <w:tcPr>
            <w:tcW w:w="174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89"/>
              </w:rPr>
              <w:t>Amount - Debt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Gross</w:t>
            </w:r>
          </w:p>
        </w:tc>
        <w:tc>
          <w:tcPr>
            <w:tcW w:w="7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5"/>
              </w:rPr>
              <w:t>Reductions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92"/>
              </w:rPr>
              <w:t>2020 Fair</w:t>
            </w:r>
          </w:p>
        </w:tc>
        <w:tc>
          <w:tcPr>
            <w:tcW w:w="60" w:type="dxa"/>
            <w:vAlign w:val="bottom"/>
          </w:tcPr>
          <w:p>
            <w:pPr>
              <w:spacing w:after="0"/>
              <w:rPr>
                <w:sz w:val="11"/>
                <w:szCs w:val="11"/>
                <w:color w:val="auto"/>
              </w:rPr>
            </w:pPr>
          </w:p>
        </w:tc>
        <w:tc>
          <w:tcPr>
            <w:tcW w:w="5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(Losses)</w:t>
            </w:r>
          </w:p>
        </w:tc>
        <w:tc>
          <w:tcPr>
            <w:tcW w:w="8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Appreciation</w:t>
            </w:r>
          </w:p>
        </w:tc>
        <w:tc>
          <w:tcPr>
            <w:tcW w:w="60" w:type="dxa"/>
            <w:vAlign w:val="bottom"/>
          </w:tcPr>
          <w:p>
            <w:pPr>
              <w:spacing w:after="0"/>
              <w:rPr>
                <w:sz w:val="11"/>
                <w:szCs w:val="11"/>
                <w:color w:val="auto"/>
              </w:rPr>
            </w:pPr>
          </w:p>
        </w:tc>
        <w:tc>
          <w:tcPr>
            <w:tcW w:w="5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Interest</w:t>
            </w:r>
          </w:p>
        </w:tc>
        <w:tc>
          <w:tcPr>
            <w:tcW w:w="6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Dividend</w:t>
            </w:r>
          </w:p>
        </w:tc>
        <w:tc>
          <w:tcPr>
            <w:tcW w:w="80" w:type="dxa"/>
            <w:vAlign w:val="bottom"/>
          </w:tcPr>
          <w:p>
            <w:pPr>
              <w:spacing w:after="0"/>
              <w:rPr>
                <w:sz w:val="11"/>
                <w:szCs w:val="11"/>
                <w:color w:val="auto"/>
              </w:rPr>
            </w:pPr>
          </w:p>
        </w:tc>
        <w:tc>
          <w:tcPr>
            <w:tcW w:w="3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Fee</w:t>
            </w:r>
          </w:p>
        </w:tc>
        <w:tc>
          <w:tcPr>
            <w:tcW w:w="0" w:type="dxa"/>
            <w:vAlign w:val="bottom"/>
          </w:tcPr>
          <w:p>
            <w:pPr>
              <w:spacing w:after="0"/>
              <w:rPr>
                <w:sz w:val="1"/>
                <w:szCs w:val="1"/>
                <w:color w:val="auto"/>
              </w:rPr>
            </w:pPr>
          </w:p>
        </w:tc>
      </w:tr>
      <w:tr>
        <w:trPr>
          <w:trHeight w:val="155"/>
        </w:trPr>
        <w:tc>
          <w:tcPr>
            <w:tcW w:w="1200" w:type="dxa"/>
            <w:vAlign w:val="bottom"/>
            <w:tcBorders>
              <w:bottom w:val="single" w:sz="8" w:color="auto"/>
            </w:tcBorders>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7"/>
              </w:rPr>
              <w:t>Investments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90"/>
              </w:rPr>
              <w:t>Fair Value</w:t>
            </w:r>
          </w:p>
        </w:tc>
        <w:tc>
          <w:tcPr>
            <w:tcW w:w="8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 xml:space="preserve">Additions </w:t>
            </w:r>
            <w:r>
              <w:rPr>
                <w:rFonts w:ascii="Arial" w:cs="Arial" w:eastAsia="Arial" w:hAnsi="Arial"/>
                <w:sz w:val="10"/>
                <w:szCs w:val="10"/>
                <w:b w:val="1"/>
                <w:bCs w:val="1"/>
                <w:color w:val="auto"/>
              </w:rPr>
              <w:t>(2)</w:t>
            </w:r>
          </w:p>
        </w:tc>
        <w:tc>
          <w:tcPr>
            <w:tcW w:w="100" w:type="dxa"/>
            <w:vAlign w:val="bottom"/>
          </w:tcPr>
          <w:p>
            <w:pPr>
              <w:spacing w:after="0"/>
              <w:rPr>
                <w:sz w:val="13"/>
                <w:szCs w:val="13"/>
                <w:color w:val="auto"/>
              </w:rPr>
            </w:pPr>
          </w:p>
        </w:tc>
        <w:tc>
          <w:tcPr>
            <w:tcW w:w="520" w:type="dxa"/>
            <w:vAlign w:val="bottom"/>
          </w:tcPr>
          <w:p>
            <w:pPr>
              <w:jc w:val="right"/>
              <w:ind w:right="198"/>
              <w:spacing w:after="0"/>
              <w:rPr>
                <w:sz w:val="20"/>
                <w:szCs w:val="20"/>
                <w:color w:val="auto"/>
              </w:rPr>
            </w:pPr>
            <w:r>
              <w:rPr>
                <w:rFonts w:ascii="Arial" w:cs="Arial" w:eastAsia="Arial" w:hAnsi="Arial"/>
                <w:sz w:val="11"/>
                <w:szCs w:val="11"/>
                <w:b w:val="1"/>
                <w:bCs w:val="1"/>
                <w:color w:val="auto"/>
              </w:rPr>
              <w:t>(3)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rPr>
              <w:t>Value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Arial" w:cs="Arial" w:eastAsia="Arial" w:hAnsi="Arial"/>
                <w:sz w:val="11"/>
                <w:szCs w:val="11"/>
                <w:b w:val="1"/>
                <w:bCs w:val="1"/>
                <w:color w:val="auto"/>
              </w:rPr>
              <w:t>(4)</w:t>
            </w:r>
          </w:p>
        </w:tc>
        <w:tc>
          <w:tcPr>
            <w:tcW w:w="120" w:type="dxa"/>
            <w:vAlign w:val="bottom"/>
          </w:tcPr>
          <w:p>
            <w:pPr>
              <w:spacing w:after="0"/>
              <w:rPr>
                <w:sz w:val="13"/>
                <w:szCs w:val="13"/>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6"/>
              </w:rPr>
              <w:t>(Depreciation)</w:t>
            </w:r>
          </w:p>
        </w:tc>
        <w:tc>
          <w:tcPr>
            <w:tcW w:w="60" w:type="dxa"/>
            <w:vAlign w:val="bottom"/>
          </w:tcPr>
          <w:p>
            <w:pPr>
              <w:spacing w:after="0"/>
              <w:rPr>
                <w:sz w:val="13"/>
                <w:szCs w:val="13"/>
                <w:color w:val="auto"/>
              </w:rPr>
            </w:pPr>
          </w:p>
        </w:tc>
        <w:tc>
          <w:tcPr>
            <w:tcW w:w="5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Income</w:t>
            </w:r>
          </w:p>
        </w:tc>
        <w:tc>
          <w:tcPr>
            <w:tcW w:w="100" w:type="dxa"/>
            <w:vAlign w:val="bottom"/>
          </w:tcPr>
          <w:p>
            <w:pPr>
              <w:spacing w:after="0"/>
              <w:rPr>
                <w:sz w:val="13"/>
                <w:szCs w:val="13"/>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Income</w:t>
            </w:r>
          </w:p>
        </w:tc>
        <w:tc>
          <w:tcPr>
            <w:tcW w:w="62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Income</w:t>
            </w:r>
          </w:p>
        </w:tc>
        <w:tc>
          <w:tcPr>
            <w:tcW w:w="4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2"/>
              </w:rPr>
              <w:t>Income</w:t>
            </w:r>
          </w:p>
        </w:tc>
        <w:tc>
          <w:tcPr>
            <w:tcW w:w="0" w:type="dxa"/>
            <w:vAlign w:val="bottom"/>
          </w:tcPr>
          <w:p>
            <w:pPr>
              <w:spacing w:after="0"/>
              <w:rPr>
                <w:sz w:val="1"/>
                <w:szCs w:val="1"/>
                <w:color w:val="auto"/>
              </w:rPr>
            </w:pPr>
          </w:p>
        </w:tc>
      </w:tr>
      <w:tr>
        <w:trPr>
          <w:trHeight w:val="108"/>
        </w:trPr>
        <w:tc>
          <w:tcPr>
            <w:tcW w:w="294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Control Investments</w:t>
            </w: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40" w:type="dxa"/>
            <w:vAlign w:val="bottom"/>
            <w:gridSpan w:val="2"/>
          </w:tcPr>
          <w:p>
            <w:pPr>
              <w:spacing w:after="0" w:line="135" w:lineRule="exact"/>
              <w:rPr>
                <w:sz w:val="20"/>
                <w:szCs w:val="20"/>
                <w:color w:val="auto"/>
              </w:rPr>
            </w:pPr>
            <w:r>
              <w:rPr>
                <w:rFonts w:ascii="Arial" w:cs="Arial" w:eastAsia="Arial" w:hAnsi="Arial"/>
                <w:sz w:val="13"/>
                <w:szCs w:val="13"/>
                <w:color w:val="auto"/>
              </w:rPr>
              <w:t>FDS Avionics Corp. (dba Flight Display Systems)</w:t>
            </w:r>
          </w:p>
        </w:tc>
        <w:tc>
          <w:tcPr>
            <w:tcW w:w="80" w:type="dxa"/>
            <w:vAlign w:val="bottom"/>
            <w:gridSpan w:val="2"/>
          </w:tcPr>
          <w:p>
            <w:pPr>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5,007</w:t>
            </w:r>
          </w:p>
        </w:tc>
        <w:tc>
          <w:tcPr>
            <w:tcW w:w="1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5,403</w:t>
            </w:r>
          </w:p>
        </w:tc>
        <w:tc>
          <w:tcPr>
            <w:tcW w:w="10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328</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(1,661)</w:t>
            </w:r>
          </w:p>
        </w:tc>
        <w:tc>
          <w:tcPr>
            <w:tcW w:w="1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4,070</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(1,661)</w:t>
            </w:r>
          </w:p>
        </w:tc>
        <w:tc>
          <w:tcPr>
            <w:tcW w:w="1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221</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326</w:t>
            </w:r>
          </w:p>
        </w:tc>
        <w:tc>
          <w:tcPr>
            <w:tcW w:w="2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6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GreenFiber, LLC</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21,135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16,417</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4,524</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(1,022)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19,919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504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1,127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997</w:t>
            </w:r>
          </w:p>
        </w:tc>
        <w:tc>
          <w:tcPr>
            <w:tcW w:w="2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9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Control Investments</w:t>
            </w: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26,142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21,820</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4,852</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(2,683</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23,989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(1,157)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1,348</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1,323</w:t>
            </w: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Affiliate Investments</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gridSpan w:val="2"/>
          </w:tcPr>
          <w:p>
            <w:pPr>
              <w:spacing w:after="0" w:line="135" w:lineRule="exact"/>
              <w:rPr>
                <w:sz w:val="20"/>
                <w:szCs w:val="20"/>
                <w:color w:val="auto"/>
              </w:rPr>
            </w:pPr>
            <w:r>
              <w:rPr>
                <w:rFonts w:ascii="Arial" w:cs="Arial" w:eastAsia="Arial" w:hAnsi="Arial"/>
                <w:sz w:val="13"/>
                <w:szCs w:val="13"/>
                <w:color w:val="auto"/>
              </w:rPr>
              <w:t>FAR Research Inc.</w:t>
            </w:r>
          </w:p>
        </w:tc>
        <w:tc>
          <w:tcPr>
            <w:tcW w:w="80" w:type="dxa"/>
            <w:vAlign w:val="bottom"/>
            <w:gridSpan w:val="2"/>
          </w:tcPr>
          <w:p>
            <w:pPr>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ind w:left="54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10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28</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42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6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Fiber Materials, Inc.</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10,449</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9,681</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(20,088)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9,681</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(9,762)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355</w:t>
            </w: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40" w:type="dxa"/>
            <w:vAlign w:val="bottom"/>
            <w:gridSpan w:val="2"/>
          </w:tcPr>
          <w:p>
            <w:pPr>
              <w:spacing w:after="0" w:line="135" w:lineRule="exact"/>
              <w:rPr>
                <w:sz w:val="20"/>
                <w:szCs w:val="20"/>
                <w:color w:val="auto"/>
              </w:rPr>
            </w:pPr>
            <w:r>
              <w:rPr>
                <w:rFonts w:ascii="Arial" w:cs="Arial" w:eastAsia="Arial" w:hAnsi="Arial"/>
                <w:sz w:val="13"/>
                <w:szCs w:val="13"/>
                <w:color w:val="auto"/>
              </w:rPr>
              <w:t>Medsurant Holdings, LLC</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8,031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16,980</w:t>
            </w:r>
          </w:p>
        </w:tc>
        <w:tc>
          <w:tcPr>
            <w:tcW w:w="14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1,720</w:t>
            </w:r>
          </w:p>
        </w:tc>
        <w:tc>
          <w:tcPr>
            <w:tcW w:w="10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(7,660)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11,040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1,714</w:t>
            </w: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(2,223)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859</w:t>
            </w:r>
          </w:p>
        </w:tc>
        <w:tc>
          <w:tcPr>
            <w:tcW w:w="100" w:type="dxa"/>
            <w:vAlign w:val="bottom"/>
          </w:tcPr>
          <w:p>
            <w:pPr>
              <w:spacing w:after="0"/>
              <w:rPr>
                <w:sz w:val="11"/>
                <w:szCs w:val="11"/>
                <w:color w:val="auto"/>
              </w:rPr>
            </w:pPr>
          </w:p>
        </w:tc>
        <w:tc>
          <w:tcPr>
            <w:tcW w:w="68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3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20" w:type="dxa"/>
            <w:vAlign w:val="bottom"/>
          </w:tcPr>
          <w:p>
            <w:pPr>
              <w:ind w:left="200"/>
              <w:spacing w:after="0" w:line="135" w:lineRule="exact"/>
              <w:rPr>
                <w:sz w:val="20"/>
                <w:szCs w:val="20"/>
                <w:color w:val="auto"/>
              </w:rPr>
            </w:pPr>
            <w:r>
              <w:rPr>
                <w:rFonts w:ascii="Arial" w:cs="Arial" w:eastAsia="Arial" w:hAnsi="Arial"/>
                <w:sz w:val="12"/>
                <w:szCs w:val="12"/>
                <w:color w:val="auto"/>
                <w:w w:val="74"/>
              </w:rPr>
              <w:t>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Microbiology Research Associates, Inc.</w:t>
            </w:r>
            <w:r>
              <w:rPr>
                <w:rFonts w:ascii="Arial" w:cs="Arial" w:eastAsia="Arial" w:hAnsi="Arial"/>
                <w:sz w:val="10"/>
                <w:szCs w:val="10"/>
                <w:color w:val="auto"/>
              </w:rPr>
              <w:t>(5)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11,611</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(11,632)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(751)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w:t>
            </w:r>
          </w:p>
        </w:tc>
        <w:tc>
          <w:tcPr>
            <w:tcW w:w="2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40" w:type="dxa"/>
            <w:vAlign w:val="bottom"/>
            <w:gridSpan w:val="2"/>
          </w:tcPr>
          <w:p>
            <w:pPr>
              <w:spacing w:after="0" w:line="135" w:lineRule="exact"/>
              <w:rPr>
                <w:sz w:val="20"/>
                <w:szCs w:val="20"/>
                <w:color w:val="auto"/>
              </w:rPr>
            </w:pPr>
            <w:r>
              <w:rPr>
                <w:rFonts w:ascii="Arial" w:cs="Arial" w:eastAsia="Arial" w:hAnsi="Arial"/>
                <w:sz w:val="13"/>
                <w:szCs w:val="13"/>
                <w:color w:val="auto"/>
              </w:rPr>
              <w:t>Mirage Trailers LLC</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6,327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7,218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147</w:t>
            </w:r>
          </w:p>
        </w:tc>
        <w:tc>
          <w:tcPr>
            <w:tcW w:w="10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(1,038)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6,327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(1,037)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531</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76</w:t>
            </w:r>
          </w:p>
        </w:tc>
        <w:tc>
          <w:tcPr>
            <w:tcW w:w="260" w:type="dxa"/>
            <w:vAlign w:val="bottom"/>
          </w:tcPr>
          <w:p>
            <w:pPr>
              <w:spacing w:after="0"/>
              <w:rPr>
                <w:sz w:val="11"/>
                <w:szCs w:val="11"/>
                <w:color w:val="auto"/>
              </w:rPr>
            </w:pPr>
          </w:p>
        </w:tc>
        <w:tc>
          <w:tcPr>
            <w:tcW w:w="3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4</w:t>
            </w:r>
          </w:p>
        </w:tc>
        <w:tc>
          <w:tcPr>
            <w:tcW w:w="80" w:type="dxa"/>
            <w:vAlign w:val="bottom"/>
          </w:tcPr>
          <w:p>
            <w:pPr>
              <w:spacing w:after="0"/>
              <w:rPr>
                <w:sz w:val="11"/>
                <w:szCs w:val="11"/>
                <w:color w:val="auto"/>
              </w:rPr>
            </w:pPr>
          </w:p>
        </w:tc>
        <w:tc>
          <w:tcPr>
            <w:tcW w:w="36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Pfanstiehl, Inc.</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6,208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32,822</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13,727</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(13,237)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33,312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12,812</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912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491</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106</w:t>
            </w: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40" w:type="dxa"/>
            <w:vAlign w:val="bottom"/>
            <w:gridSpan w:val="2"/>
          </w:tcPr>
          <w:p>
            <w:pPr>
              <w:spacing w:after="0" w:line="135" w:lineRule="exact"/>
              <w:rPr>
                <w:sz w:val="20"/>
                <w:szCs w:val="20"/>
                <w:color w:val="auto"/>
              </w:rPr>
            </w:pPr>
            <w:r>
              <w:rPr>
                <w:rFonts w:ascii="Arial" w:cs="Arial" w:eastAsia="Arial" w:hAnsi="Arial"/>
                <w:sz w:val="13"/>
                <w:szCs w:val="13"/>
                <w:color w:val="auto"/>
              </w:rPr>
              <w:t>Pinnergy, Ltd.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5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32,978</w:t>
            </w:r>
          </w:p>
        </w:tc>
        <w:tc>
          <w:tcPr>
            <w:tcW w:w="140" w:type="dxa"/>
            <w:vAlign w:val="bottom"/>
          </w:tcPr>
          <w:p>
            <w:pPr>
              <w:spacing w:after="0"/>
              <w:rPr>
                <w:sz w:val="11"/>
                <w:szCs w:val="11"/>
                <w:color w:val="auto"/>
              </w:rPr>
            </w:pPr>
          </w:p>
        </w:tc>
        <w:tc>
          <w:tcPr>
            <w:tcW w:w="66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(15,976)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17,002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(15,974)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3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6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0"/>
        </w:trPr>
        <w:tc>
          <w:tcPr>
            <w:tcW w:w="29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Steward Holding LLC (dba Steward Advanced</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Materials)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7,754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10,101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698</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9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Affiliate Investments</w:t>
            </w: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28,320</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121,555</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25,928</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(69,631</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77,852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24,207</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(28,295)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2,663</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ind w:left="400"/>
              <w:spacing w:after="0" w:line="142" w:lineRule="exact"/>
              <w:rPr>
                <w:sz w:val="20"/>
                <w:szCs w:val="20"/>
                <w:color w:val="auto"/>
              </w:rPr>
            </w:pPr>
            <w:r>
              <w:rPr>
                <w:rFonts w:ascii="Arial" w:cs="Arial" w:eastAsia="Arial" w:hAnsi="Arial"/>
                <w:sz w:val="13"/>
                <w:szCs w:val="13"/>
                <w:color w:val="auto"/>
                <w:w w:val="73"/>
              </w:rPr>
              <w:t>175</w:t>
            </w: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3"/>
                <w:szCs w:val="13"/>
                <w:color w:val="auto"/>
                <w:w w:val="73"/>
              </w:rPr>
              <w:t>465</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2"/>
                <w:szCs w:val="12"/>
                <w:color w:val="auto"/>
                <w:w w:val="74"/>
              </w:rPr>
              <w:t>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93980</wp:posOffset>
            </wp:positionV>
            <wp:extent cx="7696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62" w:lineRule="exact"/>
        <w:rPr>
          <w:sz w:val="20"/>
          <w:szCs w:val="20"/>
          <w:color w:val="auto"/>
        </w:rPr>
      </w:pPr>
    </w:p>
    <w:p>
      <w:pPr>
        <w:ind w:left="560" w:hanging="431"/>
        <w:spacing w:after="0"/>
        <w:tabs>
          <w:tab w:leader="none" w:pos="5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investment type, industry, ownership detail for equity investments, and if the investment is income producing is disclosed in the consolidated schedule of investments.</w:t>
      </w:r>
    </w:p>
    <w:p>
      <w:pPr>
        <w:ind w:left="560" w:right="220" w:hanging="431"/>
        <w:spacing w:after="0" w:line="220" w:lineRule="auto"/>
        <w:tabs>
          <w:tab w:leader="none" w:pos="560" w:val="left"/>
        </w:tabs>
        <w:numPr>
          <w:ilvl w:val="0"/>
          <w:numId w:val="9"/>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spacing w:after="0" w:line="1" w:lineRule="exact"/>
        <w:rPr>
          <w:rFonts w:ascii="Arial" w:cs="Arial" w:eastAsia="Arial" w:hAnsi="Arial"/>
          <w:sz w:val="14"/>
          <w:szCs w:val="14"/>
          <w:color w:val="auto"/>
        </w:rPr>
      </w:pPr>
    </w:p>
    <w:p>
      <w:pPr>
        <w:ind w:left="560" w:right="140" w:hanging="431"/>
        <w:spacing w:after="0" w:line="220" w:lineRule="auto"/>
        <w:tabs>
          <w:tab w:leader="none" w:pos="560" w:val="left"/>
        </w:tabs>
        <w:numPr>
          <w:ilvl w:val="0"/>
          <w:numId w:val="9"/>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repayments or sales and net unrealized (depreciation) recognized during the period. Gross reductions also include include transfers of portfolio companies out of the control or affiliate classification during the period, as applicable.</w:t>
      </w:r>
    </w:p>
    <w:p>
      <w:pPr>
        <w:spacing w:after="0" w:line="1" w:lineRule="exact"/>
        <w:rPr>
          <w:rFonts w:ascii="Arial" w:cs="Arial" w:eastAsia="Arial" w:hAnsi="Arial"/>
          <w:sz w:val="14"/>
          <w:szCs w:val="14"/>
          <w:color w:val="auto"/>
        </w:rPr>
      </w:pPr>
    </w:p>
    <w:p>
      <w:pPr>
        <w:ind w:left="560" w:right="40" w:hanging="431"/>
        <w:spacing w:after="0" w:line="220" w:lineRule="auto"/>
        <w:tabs>
          <w:tab w:leader="none" w:pos="5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spacing w:after="0" w:line="1" w:lineRule="exact"/>
        <w:rPr>
          <w:rFonts w:ascii="Arial" w:cs="Arial" w:eastAsia="Arial" w:hAnsi="Arial"/>
          <w:sz w:val="14"/>
          <w:szCs w:val="14"/>
          <w:color w:val="auto"/>
        </w:rPr>
      </w:pPr>
    </w:p>
    <w:p>
      <w:pPr>
        <w:ind w:left="560" w:hanging="431"/>
        <w:spacing w:after="0"/>
        <w:tabs>
          <w:tab w:leader="none" w:pos="5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Portfolio company was transferred to Non-control/Non-affiliate investments from Affiliate investments during the nine months ended September 30, 2020.</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8"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Unconsolidated Significant Subsidiaries</w:t>
      </w:r>
    </w:p>
    <w:p>
      <w:pPr>
        <w:spacing w:after="0" w:line="120" w:lineRule="exact"/>
        <w:rPr>
          <w:sz w:val="20"/>
          <w:szCs w:val="20"/>
          <w:color w:val="auto"/>
        </w:rPr>
      </w:pPr>
    </w:p>
    <w:p>
      <w:pPr>
        <w:ind w:left="120" w:right="40" w:firstLine="439"/>
        <w:spacing w:after="0" w:line="268" w:lineRule="auto"/>
        <w:rPr>
          <w:sz w:val="20"/>
          <w:szCs w:val="20"/>
          <w:color w:val="auto"/>
        </w:rPr>
      </w:pPr>
      <w:r>
        <w:rPr>
          <w:rFonts w:ascii="Arial" w:cs="Arial" w:eastAsia="Arial" w:hAnsi="Arial"/>
          <w:sz w:val="17"/>
          <w:szCs w:val="17"/>
          <w:color w:val="auto"/>
        </w:rPr>
        <w:t>In accordance with Rules 3-09 and 4-08(g) of Regulation S-X, the Company must determine which of its unconsolidated controlled portfolio companies, if any, are considered “significant subsidiaries.” In evaluating these unconsolidated controlled portfolio companies, there are three tests utilized to determine if any of the Company’s Control Investments (as defined in Note 2) are considered significant subsidiaries: the investment test, the asset test and the income test. The income test is measured by dividing the absolute value of the combined total of investment income, net realized gain (loss) and net unrealized appreciation (depreciation) from each Control Investment for the period being tested by the absolute value of the Company’s pre-tax income for the same period. Rule 3-09 of Regulation S-X, as interpreted by the SEC, requires the Company to include separate audited financial statements of an unconsolidated majority-owned subsidiary (Control Investments in which the Company owns greater than 50% of the voting securities) in an annual report if any of the three tests exceeds 20% of the Company’s total assets or total income, as applicable. Rule 4-08(g) of Regulation S-X requires summarized financial information of a Control Investment in an annual report if any of the three tests exceeds 10% of the Company’s annual total amounts and Rule 10-01(b)(1) of Regulation S-X requires summarized financial information in a quarterly report if any of the three tests exceeds 20% of the Company’s year-to-date total amounts.</w:t>
      </w:r>
    </w:p>
    <w:p>
      <w:pPr>
        <w:spacing w:after="0" w:line="185" w:lineRule="exact"/>
        <w:rPr>
          <w:sz w:val="20"/>
          <w:szCs w:val="20"/>
          <w:color w:val="auto"/>
        </w:rPr>
      </w:pPr>
    </w:p>
    <w:p>
      <w:pPr>
        <w:ind w:left="120" w:firstLine="439"/>
        <w:spacing w:after="0" w:line="293" w:lineRule="auto"/>
        <w:rPr>
          <w:sz w:val="20"/>
          <w:szCs w:val="20"/>
          <w:color w:val="auto"/>
        </w:rPr>
      </w:pPr>
      <w:r>
        <w:rPr>
          <w:rFonts w:ascii="Arial" w:cs="Arial" w:eastAsia="Arial" w:hAnsi="Arial"/>
          <w:sz w:val="16"/>
          <w:szCs w:val="16"/>
          <w:color w:val="auto"/>
        </w:rPr>
        <w:t>As of September 30, 2020 and December 31, 2019, the Company had no single investment that represented greater than 10% of its total investment portfolio at fair value and no single investment whose total assets represented greater than 10% of its total assets. After performing the income test for the nine months ended September 30, 2020, the Company determined that its income from US GreenFiber, LLC (“US GreenFiber”) and FDS Avionics Corp. (dba Flight Display Systems) (“FDS”) generated more than 20% of its total income, primarily due to the net unrealized appreciation (depreciation) that was recognized by the Company for the nine months ended September 30, 2020. As such, US GreenFiber and FDS, unconsolidated portfolio companies that were Control Investments, were considered significant subsidiaries at the 20% level as of September 30, 2020.</w:t>
      </w:r>
    </w:p>
    <w:p>
      <w:pPr>
        <w:spacing w:after="0" w:line="161" w:lineRule="exact"/>
        <w:rPr>
          <w:sz w:val="20"/>
          <w:szCs w:val="20"/>
          <w:color w:val="auto"/>
        </w:rPr>
      </w:pPr>
    </w:p>
    <w:p>
      <w:pPr>
        <w:ind w:left="120" w:right="780" w:firstLine="439"/>
        <w:spacing w:after="0" w:line="276" w:lineRule="auto"/>
        <w:rPr>
          <w:sz w:val="20"/>
          <w:szCs w:val="20"/>
          <w:color w:val="auto"/>
        </w:rPr>
      </w:pPr>
      <w:r>
        <w:rPr>
          <w:rFonts w:ascii="Arial" w:cs="Arial" w:eastAsia="Arial" w:hAnsi="Arial"/>
          <w:sz w:val="18"/>
          <w:szCs w:val="18"/>
          <w:color w:val="auto"/>
        </w:rPr>
        <w:t>Based on the requirements under Regulation S-X Rule 10-01(b)(1), the summarized unaudited consolidated financial information of US GreenFiber and FDS is presented below:</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September 30,</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vMerge w:val="restart"/>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Balance Sheet Data</w:t>
            </w:r>
          </w:p>
        </w:tc>
        <w:tc>
          <w:tcPr>
            <w:tcW w:w="288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24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00" w:type="dxa"/>
            <w:vAlign w:val="bottom"/>
            <w:tcBorders>
              <w:bottom w:val="single" w:sz="8" w:color="auto"/>
            </w:tcBorders>
            <w:gridSpan w:val="2"/>
            <w:vMerge w:val="continue"/>
          </w:tcPr>
          <w:p>
            <w:pPr>
              <w:spacing w:after="0"/>
              <w:rPr>
                <w:sz w:val="11"/>
                <w:szCs w:val="11"/>
                <w:color w:val="auto"/>
              </w:rPr>
            </w:pPr>
          </w:p>
        </w:tc>
        <w:tc>
          <w:tcPr>
            <w:tcW w:w="2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gridSpan w:val="5"/>
          </w:tcPr>
          <w:p>
            <w:pPr>
              <w:jc w:val="right"/>
              <w:ind w:right="390"/>
              <w:spacing w:after="0" w:line="129" w:lineRule="exact"/>
              <w:rPr>
                <w:sz w:val="20"/>
                <w:szCs w:val="20"/>
                <w:color w:val="auto"/>
              </w:rPr>
            </w:pPr>
            <w:r>
              <w:rPr>
                <w:rFonts w:ascii="Arial" w:cs="Arial" w:eastAsia="Arial" w:hAnsi="Arial"/>
                <w:sz w:val="14"/>
                <w:szCs w:val="14"/>
                <w:b w:val="1"/>
                <w:bCs w:val="1"/>
                <w:color w:val="auto"/>
                <w:w w:val="95"/>
              </w:rPr>
              <w:t>(dollars in thousands)</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18,437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22,943</w:t>
            </w:r>
          </w:p>
        </w:tc>
        <w:tc>
          <w:tcPr>
            <w:tcW w:w="10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37,382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40,619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55,819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63,562</w:t>
            </w:r>
          </w:p>
        </w:tc>
        <w:tc>
          <w:tcPr>
            <w:tcW w:w="10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gridSpan w:val="4"/>
            <w:vMerge w:val="restart"/>
          </w:tcPr>
          <w:p>
            <w:pPr>
              <w:ind w:left="8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4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16,618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30,566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54,849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37,194</w:t>
            </w:r>
          </w:p>
        </w:tc>
        <w:tc>
          <w:tcPr>
            <w:tcW w:w="10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4"/>
          </w:tcPr>
          <w:p>
            <w:pPr>
              <w:ind w:left="84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71,467</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67,760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equity</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jc w:val="right"/>
              <w:ind w:right="17"/>
              <w:spacing w:after="0"/>
              <w:rPr>
                <w:sz w:val="20"/>
                <w:szCs w:val="20"/>
                <w:color w:val="auto"/>
              </w:rPr>
            </w:pPr>
            <w:r>
              <w:rPr>
                <w:rFonts w:ascii="Arial" w:cs="Arial" w:eastAsia="Arial" w:hAnsi="Arial"/>
                <w:sz w:val="18"/>
                <w:szCs w:val="18"/>
                <w:color w:val="auto"/>
              </w:rPr>
              <w:t>(15,648)</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(4,198)</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gridSpan w:val="4"/>
          </w:tcPr>
          <w:p>
            <w:pPr>
              <w:ind w:left="840"/>
              <w:spacing w:after="0"/>
              <w:rPr>
                <w:sz w:val="20"/>
                <w:szCs w:val="20"/>
                <w:color w:val="auto"/>
              </w:rPr>
            </w:pPr>
            <w:r>
              <w:rPr>
                <w:rFonts w:ascii="Arial" w:cs="Arial" w:eastAsia="Arial" w:hAnsi="Arial"/>
                <w:sz w:val="18"/>
                <w:szCs w:val="18"/>
                <w:color w:val="auto"/>
              </w:rPr>
              <w:t>Total liabilities and equity</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55,819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63,562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80" w:type="dxa"/>
            <w:vAlign w:val="bottom"/>
            <w:gridSpan w:val="2"/>
          </w:tcPr>
          <w:p>
            <w:pPr>
              <w:jc w:val="center"/>
              <w:ind w:right="197"/>
              <w:spacing w:after="0"/>
              <w:rPr>
                <w:sz w:val="20"/>
                <w:szCs w:val="20"/>
                <w:color w:val="auto"/>
              </w:rPr>
            </w:pPr>
            <w:r>
              <w:rPr>
                <w:rFonts w:ascii="Arial" w:cs="Arial" w:eastAsia="Arial" w:hAnsi="Arial"/>
                <w:sz w:val="14"/>
                <w:szCs w:val="14"/>
                <w:b w:val="1"/>
                <w:bCs w:val="1"/>
                <w:color w:val="auto"/>
                <w:w w:val="93"/>
              </w:rPr>
              <w:t>Three Months</w:t>
            </w:r>
          </w:p>
        </w:tc>
        <w:tc>
          <w:tcPr>
            <w:tcW w:w="1100" w:type="dxa"/>
            <w:vAlign w:val="bottom"/>
            <w:gridSpan w:val="4"/>
          </w:tcPr>
          <w:p>
            <w:pPr>
              <w:ind w:left="220"/>
              <w:spacing w:after="0"/>
              <w:rPr>
                <w:sz w:val="20"/>
                <w:szCs w:val="20"/>
                <w:color w:val="auto"/>
              </w:rPr>
            </w:pPr>
            <w:r>
              <w:rPr>
                <w:rFonts w:ascii="Arial" w:cs="Arial" w:eastAsia="Arial" w:hAnsi="Arial"/>
                <w:sz w:val="14"/>
                <w:szCs w:val="14"/>
                <w:b w:val="1"/>
                <w:bCs w:val="1"/>
                <w:color w:val="auto"/>
                <w:w w:val="93"/>
              </w:rPr>
              <w:t>Three Months</w:t>
            </w:r>
          </w:p>
        </w:tc>
        <w:tc>
          <w:tcPr>
            <w:tcW w:w="50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Nine Months</w:t>
            </w:r>
          </w:p>
        </w:tc>
        <w:tc>
          <w:tcPr>
            <w:tcW w:w="520" w:type="dxa"/>
            <w:vAlign w:val="bottom"/>
          </w:tcPr>
          <w:p>
            <w:pPr>
              <w:spacing w:after="0"/>
              <w:rPr>
                <w:sz w:val="24"/>
                <w:szCs w:val="2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right="437"/>
              <w:spacing w:after="0" w:line="148"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720" w:type="dxa"/>
            <w:vAlign w:val="bottom"/>
            <w:gridSpan w:val="3"/>
          </w:tcPr>
          <w:p>
            <w:pPr>
              <w:jc w:val="right"/>
              <w:ind w:right="182"/>
              <w:spacing w:after="0" w:line="148" w:lineRule="exact"/>
              <w:rPr>
                <w:sz w:val="20"/>
                <w:szCs w:val="20"/>
                <w:color w:val="auto"/>
              </w:rPr>
            </w:pPr>
            <w:r>
              <w:rPr>
                <w:rFonts w:ascii="Arial" w:cs="Arial" w:eastAsia="Arial" w:hAnsi="Arial"/>
                <w:sz w:val="14"/>
                <w:szCs w:val="14"/>
                <w:b w:val="1"/>
                <w:bCs w:val="1"/>
                <w:color w:val="auto"/>
              </w:rPr>
              <w:t>Ended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67"/>
              <w:spacing w:after="0" w:line="148" w:lineRule="exact"/>
              <w:rPr>
                <w:sz w:val="20"/>
                <w:szCs w:val="20"/>
                <w:color w:val="auto"/>
              </w:rPr>
            </w:pPr>
            <w:r>
              <w:rPr>
                <w:rFonts w:ascii="Arial" w:cs="Arial" w:eastAsia="Arial" w:hAnsi="Arial"/>
                <w:sz w:val="14"/>
                <w:szCs w:val="14"/>
                <w:b w:val="1"/>
                <w:bCs w:val="1"/>
                <w:color w:val="auto"/>
              </w:rPr>
              <w:t>Ended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180" w:type="dxa"/>
            <w:vAlign w:val="bottom"/>
            <w:gridSpan w:val="2"/>
          </w:tcPr>
          <w:p>
            <w:pPr>
              <w:jc w:val="center"/>
              <w:ind w:right="197"/>
              <w:spacing w:after="0" w:line="148" w:lineRule="exact"/>
              <w:rPr>
                <w:sz w:val="20"/>
                <w:szCs w:val="20"/>
                <w:color w:val="auto"/>
              </w:rPr>
            </w:pPr>
            <w:r>
              <w:rPr>
                <w:rFonts w:ascii="Arial" w:cs="Arial" w:eastAsia="Arial" w:hAnsi="Arial"/>
                <w:sz w:val="14"/>
                <w:szCs w:val="14"/>
                <w:b w:val="1"/>
                <w:bCs w:val="1"/>
                <w:color w:val="auto"/>
                <w:w w:val="89"/>
              </w:rPr>
              <w:t>September 30,</w:t>
            </w:r>
          </w:p>
        </w:tc>
        <w:tc>
          <w:tcPr>
            <w:tcW w:w="1100" w:type="dxa"/>
            <w:vAlign w:val="bottom"/>
            <w:gridSpan w:val="4"/>
          </w:tcPr>
          <w:p>
            <w:pPr>
              <w:ind w:left="220"/>
              <w:spacing w:after="0" w:line="148" w:lineRule="exact"/>
              <w:rPr>
                <w:sz w:val="20"/>
                <w:szCs w:val="20"/>
                <w:color w:val="auto"/>
              </w:rPr>
            </w:pPr>
            <w:r>
              <w:rPr>
                <w:rFonts w:ascii="Arial" w:cs="Arial" w:eastAsia="Arial" w:hAnsi="Arial"/>
                <w:sz w:val="14"/>
                <w:szCs w:val="14"/>
                <w:b w:val="1"/>
                <w:bCs w:val="1"/>
                <w:color w:val="auto"/>
                <w:w w:val="89"/>
              </w:rPr>
              <w:t>September 30,</w:t>
            </w:r>
          </w:p>
        </w:tc>
        <w:tc>
          <w:tcPr>
            <w:tcW w:w="500" w:type="dxa"/>
            <w:vAlign w:val="bottom"/>
          </w:tcPr>
          <w:p>
            <w:pPr>
              <w:spacing w:after="0"/>
              <w:rPr>
                <w:sz w:val="12"/>
                <w:szCs w:val="12"/>
                <w:color w:val="auto"/>
              </w:rPr>
            </w:pPr>
          </w:p>
        </w:tc>
        <w:tc>
          <w:tcPr>
            <w:tcW w:w="8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89"/>
              </w:rPr>
              <w:t>September 30,</w:t>
            </w:r>
          </w:p>
        </w:tc>
        <w:tc>
          <w:tcPr>
            <w:tcW w:w="520" w:type="dxa"/>
            <w:vAlign w:val="bottom"/>
          </w:tcPr>
          <w:p>
            <w:pPr>
              <w:spacing w:after="0"/>
              <w:rPr>
                <w:sz w:val="12"/>
                <w:szCs w:val="12"/>
                <w:color w:val="auto"/>
              </w:rPr>
            </w:pPr>
          </w:p>
        </w:tc>
        <w:tc>
          <w:tcPr>
            <w:tcW w:w="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49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Summary of Operations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17"/>
              <w:spacing w:after="0"/>
              <w:rPr>
                <w:sz w:val="20"/>
                <w:szCs w:val="20"/>
                <w:color w:val="auto"/>
              </w:rPr>
            </w:pPr>
            <w:r>
              <w:rPr>
                <w:rFonts w:ascii="Arial" w:cs="Arial" w:eastAsia="Arial" w:hAnsi="Arial"/>
                <w:sz w:val="14"/>
                <w:szCs w:val="14"/>
                <w:b w:val="1"/>
                <w:bCs w:val="1"/>
                <w:color w:val="auto"/>
                <w:w w:val="96"/>
              </w:rPr>
              <w:t>2020</w:t>
            </w: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27"/>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940" w:type="dxa"/>
            <w:vAlign w:val="bottom"/>
            <w:gridSpan w:val="5"/>
            <w:vMerge w:val="continue"/>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00" w:type="dxa"/>
            <w:vAlign w:val="bottom"/>
            <w:gridSpan w:val="7"/>
          </w:tcPr>
          <w:p>
            <w:pPr>
              <w:jc w:val="right"/>
              <w:ind w:right="387"/>
              <w:spacing w:after="0" w:line="129"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4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23,962</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24,045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gridSpan w:val="4"/>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7"/>
              <w:spacing w:after="0"/>
              <w:rPr>
                <w:sz w:val="20"/>
                <w:szCs w:val="20"/>
                <w:color w:val="auto"/>
              </w:rPr>
            </w:pPr>
            <w:r>
              <w:rPr>
                <w:rFonts w:ascii="Arial" w:cs="Arial" w:eastAsia="Arial" w:hAnsi="Arial"/>
                <w:sz w:val="18"/>
                <w:szCs w:val="18"/>
                <w:color w:val="auto"/>
              </w:rPr>
              <w:t>2,829</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4,101</w:t>
            </w: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7,424</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12,020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(4,118)</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CEEFF"/>
          </w:tcPr>
          <w:p>
            <w:pPr>
              <w:jc w:val="right"/>
              <w:ind w:right="352"/>
              <w:spacing w:after="0"/>
              <w:rPr>
                <w:sz w:val="20"/>
                <w:szCs w:val="20"/>
                <w:color w:val="auto"/>
              </w:rPr>
            </w:pPr>
            <w:r>
              <w:rPr>
                <w:rFonts w:ascii="Arial" w:cs="Arial" w:eastAsia="Arial" w:hAnsi="Arial"/>
                <w:sz w:val="18"/>
                <w:szCs w:val="18"/>
                <w:color w:val="auto"/>
              </w:rPr>
              <w:t>(2,707)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(13,013)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(9,328)</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89"/>
              </w:rPr>
              <w:t>24</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8"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Measurements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w:t>
      </w:r>
    </w:p>
    <w:p>
      <w:pPr>
        <w:spacing w:after="0" w:line="116" w:lineRule="exact"/>
        <w:rPr>
          <w:sz w:val="20"/>
          <w:szCs w:val="20"/>
          <w:color w:val="auto"/>
        </w:rPr>
      </w:pPr>
    </w:p>
    <w:p>
      <w:pPr>
        <w:ind w:left="120" w:firstLine="439"/>
        <w:spacing w:after="0" w:line="254" w:lineRule="auto"/>
        <w:rPr>
          <w:sz w:val="20"/>
          <w:szCs w:val="20"/>
          <w:color w:val="auto"/>
        </w:rPr>
      </w:pPr>
      <w:r>
        <w:rPr>
          <w:rFonts w:ascii="Arial" w:cs="Arial" w:eastAsia="Arial" w:hAnsi="Arial"/>
          <w:sz w:val="18"/>
          <w:szCs w:val="18"/>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unadjusted, quoted prices in active markets for identical assets as of the measurement date.</w:t>
      </w:r>
    </w:p>
    <w:p>
      <w:pPr>
        <w:spacing w:after="0" w:line="116" w:lineRule="exact"/>
        <w:rPr>
          <w:sz w:val="20"/>
          <w:szCs w:val="20"/>
          <w:color w:val="auto"/>
        </w:rPr>
      </w:pPr>
    </w:p>
    <w:p>
      <w:pPr>
        <w:ind w:left="120" w:right="120" w:firstLine="439"/>
        <w:spacing w:after="0" w:line="341"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include quoted prices for similar assets in active markets, or that are quoted prices for identical or similar assets in markets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active and inputs that are observable, either directly or indirectly, for substantially the full term, if applicable, of the investment.</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include those that are both unobservable and significant to the overall fair value measurement.</w:t>
      </w:r>
    </w:p>
    <w:p>
      <w:pPr>
        <w:spacing w:after="0" w:line="224" w:lineRule="exact"/>
        <w:rPr>
          <w:sz w:val="20"/>
          <w:szCs w:val="20"/>
          <w:color w:val="auto"/>
        </w:rPr>
      </w:pPr>
    </w:p>
    <w:p>
      <w:pPr>
        <w:ind w:left="120" w:firstLine="439"/>
        <w:spacing w:after="0" w:line="269" w:lineRule="auto"/>
        <w:rPr>
          <w:sz w:val="20"/>
          <w:szCs w:val="20"/>
          <w:color w:val="auto"/>
        </w:rPr>
      </w:pPr>
      <w:r>
        <w:rPr>
          <w:rFonts w:ascii="Arial" w:cs="Arial" w:eastAsia="Arial" w:hAnsi="Arial"/>
          <w:sz w:val="17"/>
          <w:szCs w:val="17"/>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using Level 3 inputs. The degree of judgment exercised by the Board in determining fair value is greatest for investments classified as Level 3 inputs. Due to the inherent uncertainty of determining the fair values of investments that do not have readily available market values,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83" w:lineRule="exact"/>
        <w:rPr>
          <w:sz w:val="20"/>
          <w:szCs w:val="20"/>
          <w:color w:val="auto"/>
        </w:rPr>
      </w:pPr>
    </w:p>
    <w:p>
      <w:pPr>
        <w:ind w:left="120" w:right="500" w:firstLine="439"/>
        <w:spacing w:after="0" w:line="276" w:lineRule="auto"/>
        <w:rPr>
          <w:sz w:val="20"/>
          <w:szCs w:val="20"/>
          <w:color w:val="auto"/>
        </w:rPr>
      </w:pPr>
      <w:r>
        <w:rPr>
          <w:rFonts w:ascii="Arial" w:cs="Arial" w:eastAsia="Arial" w:hAnsi="Arial"/>
          <w:sz w:val="18"/>
          <w:szCs w:val="18"/>
          <w:color w:val="auto"/>
        </w:rPr>
        <w:t>With respect to investments for which market quotations are not readily available, the Board undertakes a multi-step valuation process each quarter, as described below:</w:t>
      </w:r>
    </w:p>
    <w:p>
      <w:pPr>
        <w:spacing w:after="0" w:line="76" w:lineRule="exact"/>
        <w:rPr>
          <w:sz w:val="20"/>
          <w:szCs w:val="20"/>
          <w:color w:val="auto"/>
        </w:rPr>
      </w:pPr>
    </w:p>
    <w:p>
      <w:pPr>
        <w:ind w:left="1100" w:right="340" w:hanging="432"/>
        <w:spacing w:after="0" w:line="276"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evaluated and rated by the investment professionals of the Investment Advisor responsible for the portfolio investment;</w:t>
      </w:r>
    </w:p>
    <w:p>
      <w:pPr>
        <w:spacing w:after="0" w:line="76" w:lineRule="exact"/>
        <w:rPr>
          <w:rFonts w:ascii="Arial" w:cs="Arial" w:eastAsia="Arial" w:hAnsi="Arial"/>
          <w:sz w:val="18"/>
          <w:szCs w:val="18"/>
          <w:color w:val="auto"/>
        </w:rPr>
      </w:pPr>
    </w:p>
    <w:p>
      <w:pPr>
        <w:ind w:left="1100" w:hanging="432"/>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preliminary valuation conclusions are then documented and discussed with the investment committee of the Investment Advisor;</w:t>
      </w:r>
    </w:p>
    <w:p>
      <w:pPr>
        <w:spacing w:after="0" w:line="141" w:lineRule="exact"/>
        <w:rPr>
          <w:rFonts w:ascii="Arial" w:cs="Arial" w:eastAsia="Arial" w:hAnsi="Arial"/>
          <w:sz w:val="17"/>
          <w:szCs w:val="17"/>
          <w:color w:val="auto"/>
        </w:rPr>
      </w:pPr>
    </w:p>
    <w:p>
      <w:pPr>
        <w:ind w:left="1100" w:right="20" w:hanging="432"/>
        <w:spacing w:after="0" w:line="271" w:lineRule="auto"/>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w:t>
      </w:r>
    </w:p>
    <w:p>
      <w:pPr>
        <w:spacing w:after="0" w:line="84" w:lineRule="exact"/>
        <w:rPr>
          <w:rFonts w:ascii="Arial" w:cs="Arial" w:eastAsia="Arial" w:hAnsi="Arial"/>
          <w:sz w:val="17"/>
          <w:szCs w:val="17"/>
          <w:color w:val="auto"/>
        </w:rPr>
      </w:pPr>
    </w:p>
    <w:p>
      <w:pPr>
        <w:ind w:left="1100" w:right="240" w:hanging="432"/>
        <w:spacing w:after="0" w:line="276"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76" w:lineRule="exact"/>
        <w:rPr>
          <w:rFonts w:ascii="Arial" w:cs="Arial" w:eastAsia="Arial" w:hAnsi="Arial"/>
          <w:sz w:val="18"/>
          <w:szCs w:val="18"/>
          <w:color w:val="auto"/>
        </w:rPr>
      </w:pPr>
    </w:p>
    <w:p>
      <w:pPr>
        <w:ind w:left="1100" w:right="160" w:hanging="432"/>
        <w:spacing w:after="0" w:line="276"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170" w:lineRule="exact"/>
        <w:rPr>
          <w:sz w:val="20"/>
          <w:szCs w:val="20"/>
          <w:color w:val="auto"/>
        </w:rPr>
      </w:pPr>
    </w:p>
    <w:p>
      <w:pPr>
        <w:ind w:left="120" w:right="200" w:firstLine="439"/>
        <w:spacing w:after="0" w:line="263" w:lineRule="auto"/>
        <w:rPr>
          <w:sz w:val="20"/>
          <w:szCs w:val="20"/>
          <w:color w:val="auto"/>
        </w:rPr>
      </w:pPr>
      <w:r>
        <w:rPr>
          <w:rFonts w:ascii="Arial" w:cs="Arial" w:eastAsia="Arial" w:hAnsi="Arial"/>
          <w:sz w:val="18"/>
          <w:szCs w:val="18"/>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2" w:lineRule="exact"/>
        <w:rPr>
          <w:sz w:val="20"/>
          <w:szCs w:val="20"/>
          <w:color w:val="auto"/>
        </w:rPr>
      </w:pPr>
    </w:p>
    <w:p>
      <w:pPr>
        <w:ind w:left="120" w:firstLine="439"/>
        <w:spacing w:after="0" w:line="254" w:lineRule="auto"/>
        <w:rPr>
          <w:sz w:val="20"/>
          <w:szCs w:val="20"/>
          <w:color w:val="auto"/>
        </w:rPr>
      </w:pPr>
      <w:r>
        <w:rPr>
          <w:rFonts w:ascii="Arial" w:cs="Arial" w:eastAsia="Arial" w:hAnsi="Arial"/>
          <w:sz w:val="18"/>
          <w:szCs w:val="18"/>
          <w:color w:val="auto"/>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ectPr>
          <w:pgSz w:w="11900" w:h="16838" w:orient="portrait"/>
          <w:cols w:equalWidth="0" w:num="1">
            <w:col w:w="11100"/>
          </w:cols>
          <w:pgMar w:left="320" w:top="458" w:right="479" w:bottom="1440" w:gutter="0" w:footer="0" w:header="0"/>
        </w:sectPr>
      </w:pP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00"/>
          </w:cols>
          <w:pgMar w:left="320" w:top="458" w:right="47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ind w:left="120" w:right="200" w:firstLine="439"/>
        <w:spacing w:after="0" w:line="263" w:lineRule="auto"/>
        <w:rPr>
          <w:sz w:val="20"/>
          <w:szCs w:val="20"/>
          <w:color w:val="auto"/>
        </w:rPr>
      </w:pPr>
      <w:r>
        <w:rPr>
          <w:rFonts w:ascii="Arial" w:cs="Arial" w:eastAsia="Arial" w:hAnsi="Arial"/>
          <w:sz w:val="18"/>
          <w:szCs w:val="18"/>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182" w:lineRule="exact"/>
        <w:rPr>
          <w:sz w:val="20"/>
          <w:szCs w:val="20"/>
          <w:color w:val="auto"/>
        </w:rPr>
      </w:pPr>
    </w:p>
    <w:p>
      <w:pPr>
        <w:ind w:left="120" w:firstLine="439"/>
        <w:spacing w:after="0" w:line="267" w:lineRule="auto"/>
        <w:rPr>
          <w:sz w:val="20"/>
          <w:szCs w:val="20"/>
          <w:color w:val="auto"/>
        </w:rPr>
      </w:pPr>
      <w:r>
        <w:rPr>
          <w:rFonts w:ascii="Arial" w:cs="Arial" w:eastAsia="Arial" w:hAnsi="Arial"/>
          <w:sz w:val="17"/>
          <w:szCs w:val="17"/>
          <w:color w:val="auto"/>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spacing w:after="0" w:line="186" w:lineRule="exact"/>
        <w:rPr>
          <w:sz w:val="20"/>
          <w:szCs w:val="20"/>
          <w:color w:val="auto"/>
        </w:rPr>
      </w:pPr>
    </w:p>
    <w:p>
      <w:pPr>
        <w:ind w:left="120" w:right="400" w:firstLine="439"/>
        <w:spacing w:after="0" w:line="271" w:lineRule="auto"/>
        <w:rPr>
          <w:sz w:val="20"/>
          <w:szCs w:val="20"/>
          <w:color w:val="auto"/>
        </w:rPr>
      </w:pPr>
      <w:r>
        <w:rPr>
          <w:rFonts w:ascii="Arial" w:cs="Arial" w:eastAsia="Arial" w:hAnsi="Arial"/>
          <w:sz w:val="17"/>
          <w:szCs w:val="17"/>
          <w:color w:val="auto"/>
        </w:rPr>
        <w:t>For the Company’s equity investments, including equity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79" w:lineRule="exact"/>
        <w:rPr>
          <w:sz w:val="20"/>
          <w:szCs w:val="20"/>
          <w:color w:val="auto"/>
        </w:rPr>
      </w:pPr>
    </w:p>
    <w:p>
      <w:pPr>
        <w:ind w:left="120" w:right="80" w:firstLine="439"/>
        <w:spacing w:after="0" w:line="293" w:lineRule="auto"/>
        <w:rPr>
          <w:sz w:val="20"/>
          <w:szCs w:val="20"/>
          <w:color w:val="auto"/>
        </w:rPr>
      </w:pPr>
      <w:r>
        <w:rPr>
          <w:rFonts w:ascii="Arial" w:cs="Arial" w:eastAsia="Arial" w:hAnsi="Arial"/>
          <w:sz w:val="16"/>
          <w:szCs w:val="16"/>
          <w:color w:val="auto"/>
        </w:rPr>
        <w:t>The Company may also utilize an income approach when estimating the fair value of its equity securities,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61" w:lineRule="exact"/>
        <w:rPr>
          <w:sz w:val="20"/>
          <w:szCs w:val="20"/>
          <w:color w:val="auto"/>
        </w:rPr>
      </w:pPr>
    </w:p>
    <w:p>
      <w:pPr>
        <w:ind w:left="120" w:right="320" w:firstLine="439"/>
        <w:spacing w:after="0" w:line="341" w:lineRule="auto"/>
        <w:rPr>
          <w:sz w:val="20"/>
          <w:szCs w:val="20"/>
          <w:color w:val="auto"/>
        </w:rPr>
      </w:pPr>
      <w:r>
        <w:rPr>
          <w:rFonts w:ascii="Arial" w:cs="Arial" w:eastAsia="Arial" w:hAnsi="Arial"/>
          <w:sz w:val="16"/>
          <w:szCs w:val="16"/>
          <w:color w:val="auto"/>
        </w:rPr>
        <w:t>The fair value of the Company’s royalty rights are calculated based on projected future cash flows and the specific provisions contained in the pertinent agreements. The determination of the fair value of such royalty rights is not a significant component of the Company’s valuation process.</w:t>
      </w:r>
    </w:p>
    <w:p>
      <w:pPr>
        <w:spacing w:after="0" w:line="124" w:lineRule="exact"/>
        <w:rPr>
          <w:sz w:val="20"/>
          <w:szCs w:val="20"/>
          <w:color w:val="auto"/>
        </w:rPr>
      </w:pPr>
    </w:p>
    <w:p>
      <w:pPr>
        <w:jc w:val="both"/>
        <w:ind w:left="120" w:right="80" w:firstLine="439"/>
        <w:spacing w:after="0" w:line="263" w:lineRule="auto"/>
        <w:rPr>
          <w:sz w:val="20"/>
          <w:szCs w:val="20"/>
          <w:color w:val="auto"/>
        </w:rPr>
      </w:pPr>
      <w:r>
        <w:rPr>
          <w:rFonts w:ascii="Arial" w:cs="Arial" w:eastAsia="Arial" w:hAnsi="Arial"/>
          <w:sz w:val="18"/>
          <w:szCs w:val="18"/>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nine months ended September 30, 2020 and 2019.</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8"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ind w:left="120" w:right="680" w:firstLine="439"/>
        <w:spacing w:after="0" w:line="276" w:lineRule="auto"/>
        <w:rPr>
          <w:sz w:val="20"/>
          <w:szCs w:val="20"/>
          <w:color w:val="auto"/>
        </w:rPr>
      </w:pPr>
      <w:r>
        <w:rPr>
          <w:rFonts w:ascii="Arial" w:cs="Arial" w:eastAsia="Arial" w:hAnsi="Arial"/>
          <w:sz w:val="18"/>
          <w:szCs w:val="18"/>
          <w:color w:val="auto"/>
        </w:rPr>
        <w:t>The following tables present a reconciliation of the beginning and ending balances for fair valued investments measured using significant unobservable inputs (Level 3) for the nine months ended September 30, 2020 and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6"/>
              </w:rPr>
              <w:t>Second Lien</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Subordinated</w:t>
            </w:r>
          </w:p>
        </w:tc>
        <w:tc>
          <w:tcPr>
            <w:tcW w:w="80" w:type="dxa"/>
            <w:vAlign w:val="bottom"/>
          </w:tcPr>
          <w:p>
            <w:pPr>
              <w:spacing w:after="0"/>
              <w:rPr>
                <w:sz w:val="14"/>
                <w:szCs w:val="1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First Lien</w:t>
            </w:r>
          </w:p>
        </w:tc>
        <w:tc>
          <w:tcPr>
            <w:tcW w:w="100" w:type="dxa"/>
            <w:vAlign w:val="bottom"/>
          </w:tcPr>
          <w:p>
            <w:pPr>
              <w:spacing w:after="0"/>
              <w:rPr>
                <w:sz w:val="14"/>
                <w:szCs w:val="14"/>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Warrants</w:t>
            </w:r>
          </w:p>
        </w:tc>
        <w:tc>
          <w:tcPr>
            <w:tcW w:w="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Royalty</w:t>
            </w: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Debt</w:t>
            </w:r>
          </w:p>
        </w:tc>
        <w:tc>
          <w:tcPr>
            <w:tcW w:w="18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Rights</w:t>
            </w: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$ 366,517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104,225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51,790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106,707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13,743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$ 642,982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Net realized gains (losses) on investments</w:t>
            </w:r>
          </w:p>
        </w:tc>
        <w:tc>
          <w:tcPr>
            <w:tcW w:w="2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9,016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(185)</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8,831</w:t>
            </w:r>
          </w:p>
        </w:tc>
        <w:tc>
          <w:tcPr>
            <w:tcW w:w="0" w:type="dxa"/>
            <w:vAlign w:val="bottom"/>
          </w:tcPr>
          <w:p>
            <w:pPr>
              <w:spacing w:after="0"/>
              <w:rPr>
                <w:sz w:val="1"/>
                <w:szCs w:val="1"/>
                <w:color w:val="auto"/>
              </w:rPr>
            </w:pPr>
          </w:p>
        </w:tc>
      </w:tr>
      <w:tr>
        <w:trPr>
          <w:trHeight w:val="201"/>
        </w:trPr>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change in unrealized appreciation (depreciation) on</w:t>
            </w: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(12,899)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185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43,445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70,036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55,150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6,904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175,535</w:t>
            </w:r>
          </w:p>
        </w:tc>
        <w:tc>
          <w:tcPr>
            <w:tcW w:w="0" w:type="dxa"/>
            <w:vAlign w:val="bottom"/>
          </w:tcPr>
          <w:p>
            <w:pPr>
              <w:spacing w:after="0"/>
              <w:rPr>
                <w:sz w:val="1"/>
                <w:szCs w:val="1"/>
                <w:color w:val="auto"/>
              </w:rPr>
            </w:pPr>
          </w:p>
        </w:tc>
      </w:tr>
      <w:tr>
        <w:trPr>
          <w:trHeight w:val="215"/>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repayments of investments</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(39,475)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(13,433)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(13,852)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(98,805)</w:t>
            </w:r>
          </w:p>
        </w:tc>
        <w:tc>
          <w:tcPr>
            <w:tcW w:w="0" w:type="dxa"/>
            <w:vAlign w:val="bottom"/>
          </w:tcPr>
          <w:p>
            <w:pPr>
              <w:spacing w:after="0"/>
              <w:rPr>
                <w:sz w:val="1"/>
                <w:szCs w:val="1"/>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Interest and dividend income paid-in-kind</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6,854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7,838</w:t>
            </w:r>
          </w:p>
        </w:tc>
        <w:tc>
          <w:tcPr>
            <w:tcW w:w="0" w:type="dxa"/>
            <w:vAlign w:val="bottom"/>
          </w:tcPr>
          <w:p>
            <w:pPr>
              <w:spacing w:after="0"/>
              <w:rPr>
                <w:sz w:val="1"/>
                <w:szCs w:val="1"/>
                <w:color w:val="auto"/>
              </w:rPr>
            </w:pPr>
          </w:p>
        </w:tc>
      </w:tr>
      <w:tr>
        <w:trPr>
          <w:trHeight w:val="215"/>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 origination fees</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Accretion of loan origination fees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5"/>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4880" w:type="dxa"/>
            <w:vAlign w:val="bottom"/>
          </w:tcPr>
          <w:p>
            <w:pPr>
              <w:spacing w:after="0"/>
              <w:rPr>
                <w:sz w:val="20"/>
                <w:szCs w:val="20"/>
                <w:color w:val="auto"/>
              </w:rPr>
            </w:pPr>
            <w:r>
              <w:rPr>
                <w:rFonts w:ascii="Arial" w:cs="Arial" w:eastAsia="Arial" w:hAnsi="Arial"/>
                <w:sz w:val="18"/>
                <w:szCs w:val="18"/>
                <w:b w:val="1"/>
                <w:bCs w:val="1"/>
                <w:color w:val="auto"/>
              </w:rPr>
              <w:t>Balance, September 30, 2019</w:t>
            </w: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$ 377,887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144,799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79,965</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113,960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12,831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$ 729,442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$ 383,077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140,843</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108,327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126,564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8,108</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$ 766,919</w:t>
            </w:r>
          </w:p>
        </w:tc>
        <w:tc>
          <w:tcPr>
            <w:tcW w:w="0" w:type="dxa"/>
            <w:vAlign w:val="bottom"/>
          </w:tcPr>
          <w:p>
            <w:pPr>
              <w:spacing w:after="0"/>
              <w:rPr>
                <w:sz w:val="1"/>
                <w:szCs w:val="1"/>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Net realized gains (losses) on investments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30,958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1,862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32,897</w:t>
            </w:r>
          </w:p>
        </w:tc>
        <w:tc>
          <w:tcPr>
            <w:tcW w:w="0" w:type="dxa"/>
            <w:vAlign w:val="bottom"/>
          </w:tcPr>
          <w:p>
            <w:pPr>
              <w:spacing w:after="0"/>
              <w:rPr>
                <w:sz w:val="1"/>
                <w:szCs w:val="1"/>
                <w:color w:val="auto"/>
              </w:rPr>
            </w:pPr>
          </w:p>
        </w:tc>
      </w:tr>
      <w:tr>
        <w:trPr>
          <w:trHeight w:val="201"/>
        </w:trPr>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change in unrealized appreciation (depreciation) on</w:t>
            </w: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(31,030)</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(29,485)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(2,874)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(63,434)</w:t>
            </w:r>
          </w:p>
        </w:tc>
        <w:tc>
          <w:tcPr>
            <w:tcW w:w="0" w:type="dxa"/>
            <w:vAlign w:val="bottom"/>
          </w:tcPr>
          <w:p>
            <w:pPr>
              <w:spacing w:after="0"/>
              <w:rPr>
                <w:sz w:val="1"/>
                <w:szCs w:val="1"/>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22,000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13,500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49,239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86,121</w:t>
            </w:r>
          </w:p>
        </w:tc>
        <w:tc>
          <w:tcPr>
            <w:tcW w:w="0" w:type="dxa"/>
            <w:vAlign w:val="bottom"/>
          </w:tcPr>
          <w:p>
            <w:pPr>
              <w:spacing w:after="0"/>
              <w:rPr>
                <w:sz w:val="1"/>
                <w:szCs w:val="1"/>
                <w:color w:val="auto"/>
              </w:rPr>
            </w:pPr>
          </w:p>
        </w:tc>
      </w:tr>
      <w:tr>
        <w:trPr>
          <w:trHeight w:val="215"/>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repayments of investments</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(25,195)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(26,264)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(43,633)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(4,492)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(110,149)</w:t>
            </w:r>
          </w:p>
        </w:tc>
        <w:tc>
          <w:tcPr>
            <w:tcW w:w="0" w:type="dxa"/>
            <w:vAlign w:val="bottom"/>
          </w:tcPr>
          <w:p>
            <w:pPr>
              <w:spacing w:after="0"/>
              <w:rPr>
                <w:sz w:val="1"/>
                <w:szCs w:val="1"/>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Interest and dividend income paid-in-kind</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3,022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15"/>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 origination fees</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Accretion of loan origination fees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5"/>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2"/>
        </w:trPr>
        <w:tc>
          <w:tcPr>
            <w:tcW w:w="4880" w:type="dxa"/>
            <w:vAlign w:val="bottom"/>
          </w:tcPr>
          <w:p>
            <w:pPr>
              <w:spacing w:after="0"/>
              <w:rPr>
                <w:sz w:val="20"/>
                <w:szCs w:val="20"/>
                <w:color w:val="auto"/>
              </w:rPr>
            </w:pPr>
            <w:r>
              <w:rPr>
                <w:rFonts w:ascii="Arial" w:cs="Arial" w:eastAsia="Arial" w:hAnsi="Arial"/>
                <w:sz w:val="18"/>
                <w:szCs w:val="18"/>
                <w:b w:val="1"/>
                <w:bCs w:val="1"/>
                <w:color w:val="auto"/>
              </w:rPr>
              <w:t>Balance, September 30, 2020</w:t>
            </w:r>
          </w:p>
        </w:tc>
        <w:tc>
          <w:tcPr>
            <w:tcW w:w="2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$ 352,223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144,109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130,680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85,789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$ 715,405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39"/>
        <w:spacing w:after="0" w:line="285" w:lineRule="auto"/>
        <w:rPr>
          <w:sz w:val="20"/>
          <w:szCs w:val="20"/>
          <w:color w:val="auto"/>
        </w:rPr>
      </w:pPr>
      <w:r>
        <w:rPr>
          <w:rFonts w:ascii="Arial" w:cs="Arial" w:eastAsia="Arial" w:hAnsi="Arial"/>
          <w:sz w:val="17"/>
          <w:szCs w:val="17"/>
          <w:color w:val="auto"/>
        </w:rPr>
        <w:t>Net change in unrealized appreciation and (depreciation) of $12,489 and $(62,591) for the three and nine months ended September 30, 2020, respectively, was attributable to Level 3 investments held at September 30, 2020. Net change in unrealized (depreciation) of $(10,334) and $(14,655) for the three and nine months ended September 30, 2019 was attributable to Level 3 investments held at September 30, 2019.</w:t>
      </w:r>
    </w:p>
    <w:p>
      <w:pPr>
        <w:spacing w:after="0" w:line="166" w:lineRule="exact"/>
        <w:rPr>
          <w:sz w:val="20"/>
          <w:szCs w:val="20"/>
          <w:color w:val="auto"/>
        </w:rPr>
      </w:pPr>
    </w:p>
    <w:p>
      <w:pPr>
        <w:ind w:left="120" w:right="360" w:firstLine="439"/>
        <w:spacing w:after="0" w:line="263" w:lineRule="auto"/>
        <w:rPr>
          <w:sz w:val="20"/>
          <w:szCs w:val="20"/>
          <w:color w:val="auto"/>
        </w:rPr>
      </w:pPr>
      <w:r>
        <w:rPr>
          <w:rFonts w:ascii="Arial" w:cs="Arial" w:eastAsia="Arial" w:hAnsi="Arial"/>
          <w:sz w:val="18"/>
          <w:szCs w:val="18"/>
          <w:color w:val="auto"/>
        </w:rPr>
        <w:t>The following tables summarize the significant unobservable inputs by valuation technique used to determine the fair value of the Company’s Level 3 debt and equity investments as of September 30, 2020 and December 31, 2019. The tables are not intended to be all-inclusive, but instead capture the significant unobservable inputs relevant to the Company’s determination of fair values.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8"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Fair Value at</w:t>
            </w: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04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1"/>
              </w:rPr>
              <w:t>September 30,</w:t>
            </w:r>
          </w:p>
        </w:tc>
        <w:tc>
          <w:tcPr>
            <w:tcW w:w="25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Valuation Techniques</w:t>
            </w:r>
          </w:p>
        </w:tc>
        <w:tc>
          <w:tcPr>
            <w:tcW w:w="252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Unobservable Inputs</w:t>
            </w:r>
          </w:p>
        </w:tc>
        <w:tc>
          <w:tcPr>
            <w:tcW w:w="1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Range (weighted average)</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Debt investments:</w:t>
            </w: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080" w:type="dxa"/>
            <w:vAlign w:val="bottom"/>
          </w:tcPr>
          <w:p>
            <w:pPr>
              <w:ind w:left="480"/>
              <w:spacing w:after="0"/>
              <w:rPr>
                <w:sz w:val="20"/>
                <w:szCs w:val="20"/>
                <w:color w:val="auto"/>
              </w:rPr>
            </w:pPr>
            <w:r>
              <w:rPr>
                <w:rFonts w:ascii="Arial" w:cs="Arial" w:eastAsia="Arial" w:hAnsi="Arial"/>
                <w:sz w:val="18"/>
                <w:szCs w:val="18"/>
                <w:color w:val="auto"/>
              </w:rPr>
              <w:t>Second Lien Debt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$312,191</w:t>
            </w:r>
          </w:p>
        </w:tc>
        <w:tc>
          <w:tcPr>
            <w:tcW w:w="2520" w:type="dxa"/>
            <w:vAlign w:val="bottom"/>
            <w:gridSpan w:val="2"/>
          </w:tcPr>
          <w:p>
            <w:pPr>
              <w:spacing w:after="0"/>
              <w:rPr>
                <w:sz w:val="20"/>
                <w:szCs w:val="20"/>
                <w:color w:val="auto"/>
              </w:rPr>
            </w:pPr>
            <w:r>
              <w:rPr>
                <w:rFonts w:ascii="Arial" w:cs="Arial" w:eastAsia="Arial" w:hAnsi="Arial"/>
                <w:sz w:val="18"/>
                <w:szCs w:val="18"/>
                <w:color w:val="auto"/>
              </w:rPr>
              <w:t>Discounted cash flow</w:t>
            </w:r>
          </w:p>
        </w:tc>
        <w:tc>
          <w:tcPr>
            <w:tcW w:w="2520" w:type="dxa"/>
            <w:vAlign w:val="bottom"/>
            <w:gridSpan w:val="2"/>
          </w:tcPr>
          <w:p>
            <w:pPr>
              <w:spacing w:after="0"/>
              <w:rPr>
                <w:sz w:val="20"/>
                <w:szCs w:val="20"/>
                <w:color w:val="auto"/>
              </w:rPr>
            </w:pPr>
            <w:r>
              <w:rPr>
                <w:rFonts w:ascii="Arial" w:cs="Arial" w:eastAsia="Arial" w:hAnsi="Arial"/>
                <w:sz w:val="18"/>
                <w:szCs w:val="18"/>
                <w:color w:val="auto"/>
                <w:w w:val="95"/>
              </w:rPr>
              <w:t>Weighted average cost of capital</w:t>
            </w:r>
          </w:p>
        </w:tc>
        <w:tc>
          <w:tcPr>
            <w:tcW w:w="1780" w:type="dxa"/>
            <w:vAlign w:val="bottom"/>
            <w:gridSpan w:val="2"/>
          </w:tcPr>
          <w:p>
            <w:pPr>
              <w:ind w:left="40"/>
              <w:spacing w:after="0"/>
              <w:rPr>
                <w:sz w:val="20"/>
                <w:szCs w:val="20"/>
                <w:color w:val="auto"/>
              </w:rPr>
            </w:pPr>
            <w:r>
              <w:rPr>
                <w:rFonts w:ascii="Arial" w:cs="Arial" w:eastAsia="Arial" w:hAnsi="Arial"/>
                <w:sz w:val="18"/>
                <w:szCs w:val="18"/>
                <w:color w:val="auto"/>
                <w:w w:val="97"/>
              </w:rPr>
              <w:t>8.9% - 27.0% (14.1%)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32,611</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4.0x</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- 5.5x (5.0x)</w:t>
            </w:r>
          </w:p>
        </w:tc>
        <w:tc>
          <w:tcPr>
            <w:tcW w:w="0" w:type="dxa"/>
            <w:vAlign w:val="bottom"/>
          </w:tcPr>
          <w:p>
            <w:pPr>
              <w:spacing w:after="0"/>
              <w:rPr>
                <w:sz w:val="1"/>
                <w:szCs w:val="1"/>
                <w:color w:val="auto"/>
              </w:rPr>
            </w:pPr>
          </w:p>
        </w:tc>
      </w:tr>
      <w:tr>
        <w:trPr>
          <w:trHeight w:val="215"/>
        </w:trPr>
        <w:tc>
          <w:tcPr>
            <w:tcW w:w="30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5,334</w:t>
            </w:r>
          </w:p>
        </w:tc>
        <w:tc>
          <w:tcPr>
            <w:tcW w:w="2520" w:type="dxa"/>
            <w:vAlign w:val="bottom"/>
            <w:gridSpan w:val="2"/>
          </w:tcPr>
          <w:p>
            <w:pPr>
              <w:spacing w:after="0"/>
              <w:rPr>
                <w:sz w:val="20"/>
                <w:szCs w:val="20"/>
                <w:color w:val="auto"/>
              </w:rPr>
            </w:pPr>
            <w:r>
              <w:rPr>
                <w:rFonts w:ascii="Arial" w:cs="Arial" w:eastAsia="Arial" w:hAnsi="Arial"/>
                <w:sz w:val="18"/>
                <w:szCs w:val="18"/>
                <w:color w:val="auto"/>
              </w:rPr>
              <w:t>Enterprise value</w:t>
            </w:r>
          </w:p>
        </w:tc>
        <w:tc>
          <w:tcPr>
            <w:tcW w:w="2520" w:type="dxa"/>
            <w:vAlign w:val="bottom"/>
            <w:gridSpan w:val="2"/>
          </w:tcPr>
          <w:p>
            <w:pPr>
              <w:spacing w:after="0"/>
              <w:rPr>
                <w:sz w:val="20"/>
                <w:szCs w:val="20"/>
                <w:color w:val="auto"/>
              </w:rPr>
            </w:pPr>
            <w:r>
              <w:rPr>
                <w:rFonts w:ascii="Arial" w:cs="Arial" w:eastAsia="Arial" w:hAnsi="Arial"/>
                <w:sz w:val="18"/>
                <w:szCs w:val="18"/>
                <w:color w:val="auto"/>
              </w:rPr>
              <w:t>Revenue multiples</w:t>
            </w:r>
          </w:p>
        </w:tc>
        <w:tc>
          <w:tcPr>
            <w:tcW w:w="380" w:type="dxa"/>
            <w:vAlign w:val="bottom"/>
          </w:tcPr>
          <w:p>
            <w:pPr>
              <w:ind w:left="40"/>
              <w:spacing w:after="0"/>
              <w:rPr>
                <w:sz w:val="20"/>
                <w:szCs w:val="20"/>
                <w:color w:val="auto"/>
              </w:rPr>
            </w:pPr>
            <w:r>
              <w:rPr>
                <w:rFonts w:ascii="Arial" w:cs="Arial" w:eastAsia="Arial" w:hAnsi="Arial"/>
                <w:sz w:val="18"/>
                <w:szCs w:val="18"/>
                <w:color w:val="auto"/>
                <w:w w:val="93"/>
              </w:rPr>
              <w:t>0.8x</w:t>
            </w: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- 0.8x (0.8x)</w:t>
            </w:r>
          </w:p>
        </w:tc>
        <w:tc>
          <w:tcPr>
            <w:tcW w:w="0" w:type="dxa"/>
            <w:vAlign w:val="bottom"/>
          </w:tcPr>
          <w:p>
            <w:pPr>
              <w:spacing w:after="0"/>
              <w:rPr>
                <w:sz w:val="1"/>
                <w:szCs w:val="1"/>
                <w:color w:val="auto"/>
              </w:rPr>
            </w:pPr>
          </w:p>
        </w:tc>
      </w:tr>
      <w:tr>
        <w:trPr>
          <w:trHeight w:val="215"/>
        </w:trPr>
        <w:tc>
          <w:tcPr>
            <w:tcW w:w="30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2,087</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Coverage</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1.2x</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- 1.2x (1.2x)</w:t>
            </w:r>
          </w:p>
        </w:tc>
        <w:tc>
          <w:tcPr>
            <w:tcW w:w="0" w:type="dxa"/>
            <w:vAlign w:val="bottom"/>
          </w:tcPr>
          <w:p>
            <w:pPr>
              <w:spacing w:after="0"/>
              <w:rPr>
                <w:sz w:val="1"/>
                <w:szCs w:val="1"/>
                <w:color w:val="auto"/>
              </w:rPr>
            </w:pPr>
          </w:p>
        </w:tc>
      </w:tr>
      <w:tr>
        <w:trPr>
          <w:trHeight w:val="215"/>
        </w:trPr>
        <w:tc>
          <w:tcPr>
            <w:tcW w:w="3080" w:type="dxa"/>
            <w:vAlign w:val="bottom"/>
          </w:tcPr>
          <w:p>
            <w:pPr>
              <w:ind w:left="480"/>
              <w:spacing w:after="0"/>
              <w:rPr>
                <w:sz w:val="20"/>
                <w:szCs w:val="20"/>
                <w:color w:val="auto"/>
              </w:rPr>
            </w:pPr>
            <w:r>
              <w:rPr>
                <w:rFonts w:ascii="Arial" w:cs="Arial" w:eastAsia="Arial" w:hAnsi="Arial"/>
                <w:sz w:val="18"/>
                <w:szCs w:val="18"/>
                <w:color w:val="auto"/>
              </w:rPr>
              <w:t>Subordinated Debt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144,109</w:t>
            </w:r>
          </w:p>
        </w:tc>
        <w:tc>
          <w:tcPr>
            <w:tcW w:w="2520" w:type="dxa"/>
            <w:vAlign w:val="bottom"/>
            <w:gridSpan w:val="2"/>
          </w:tcPr>
          <w:p>
            <w:pPr>
              <w:spacing w:after="0"/>
              <w:rPr>
                <w:sz w:val="20"/>
                <w:szCs w:val="20"/>
                <w:color w:val="auto"/>
              </w:rPr>
            </w:pPr>
            <w:r>
              <w:rPr>
                <w:rFonts w:ascii="Arial" w:cs="Arial" w:eastAsia="Arial" w:hAnsi="Arial"/>
                <w:sz w:val="18"/>
                <w:szCs w:val="18"/>
                <w:color w:val="auto"/>
              </w:rPr>
              <w:t>Discounted cash flow</w:t>
            </w:r>
          </w:p>
        </w:tc>
        <w:tc>
          <w:tcPr>
            <w:tcW w:w="2520" w:type="dxa"/>
            <w:vAlign w:val="bottom"/>
            <w:gridSpan w:val="2"/>
          </w:tcPr>
          <w:p>
            <w:pPr>
              <w:spacing w:after="0"/>
              <w:rPr>
                <w:sz w:val="20"/>
                <w:szCs w:val="20"/>
                <w:color w:val="auto"/>
              </w:rPr>
            </w:pPr>
            <w:r>
              <w:rPr>
                <w:rFonts w:ascii="Arial" w:cs="Arial" w:eastAsia="Arial" w:hAnsi="Arial"/>
                <w:sz w:val="18"/>
                <w:szCs w:val="18"/>
                <w:color w:val="auto"/>
                <w:w w:val="95"/>
              </w:rPr>
              <w:t>Weighted average cost of capital</w:t>
            </w:r>
          </w:p>
        </w:tc>
        <w:tc>
          <w:tcPr>
            <w:tcW w:w="1780" w:type="dxa"/>
            <w:vAlign w:val="bottom"/>
            <w:gridSpan w:val="2"/>
          </w:tcPr>
          <w:p>
            <w:pPr>
              <w:ind w:left="40"/>
              <w:spacing w:after="0"/>
              <w:rPr>
                <w:sz w:val="20"/>
                <w:szCs w:val="20"/>
                <w:color w:val="auto"/>
              </w:rPr>
            </w:pPr>
            <w:r>
              <w:rPr>
                <w:rFonts w:ascii="Arial" w:cs="Arial" w:eastAsia="Arial" w:hAnsi="Arial"/>
                <w:sz w:val="18"/>
                <w:szCs w:val="18"/>
                <w:color w:val="auto"/>
                <w:w w:val="92"/>
              </w:rPr>
              <w:t>10.9% - 13.8% (12.0%)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First Lien Debt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122,052</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Discounted cash flow</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Weighted average cost of capital</w:t>
            </w:r>
          </w:p>
        </w:tc>
        <w:tc>
          <w:tcPr>
            <w:tcW w:w="1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6.9% - 16.3% (12.0%)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4,512</w:t>
            </w:r>
          </w:p>
        </w:tc>
        <w:tc>
          <w:tcPr>
            <w:tcW w:w="2520" w:type="dxa"/>
            <w:vAlign w:val="bottom"/>
            <w:gridSpan w:val="2"/>
          </w:tcPr>
          <w:p>
            <w:pPr>
              <w:spacing w:after="0"/>
              <w:rPr>
                <w:sz w:val="20"/>
                <w:szCs w:val="20"/>
                <w:color w:val="auto"/>
              </w:rPr>
            </w:pPr>
            <w:r>
              <w:rPr>
                <w:rFonts w:ascii="Arial" w:cs="Arial" w:eastAsia="Arial" w:hAnsi="Arial"/>
                <w:sz w:val="18"/>
                <w:szCs w:val="18"/>
                <w:color w:val="auto"/>
              </w:rPr>
              <w:t>Enterprise value</w:t>
            </w:r>
          </w:p>
        </w:tc>
        <w:tc>
          <w:tcPr>
            <w:tcW w:w="2520" w:type="dxa"/>
            <w:vAlign w:val="bottom"/>
            <w:gridSpan w:val="2"/>
          </w:tcPr>
          <w:p>
            <w:pPr>
              <w:spacing w:after="0"/>
              <w:rPr>
                <w:sz w:val="20"/>
                <w:szCs w:val="20"/>
                <w:color w:val="auto"/>
              </w:rPr>
            </w:pPr>
            <w:r>
              <w:rPr>
                <w:rFonts w:ascii="Arial" w:cs="Arial" w:eastAsia="Arial" w:hAnsi="Arial"/>
                <w:sz w:val="18"/>
                <w:szCs w:val="18"/>
                <w:color w:val="auto"/>
              </w:rPr>
              <w:t>Revenue multiples</w:t>
            </w:r>
          </w:p>
        </w:tc>
        <w:tc>
          <w:tcPr>
            <w:tcW w:w="380" w:type="dxa"/>
            <w:vAlign w:val="bottom"/>
          </w:tcPr>
          <w:p>
            <w:pPr>
              <w:ind w:left="40"/>
              <w:spacing w:after="0"/>
              <w:rPr>
                <w:sz w:val="20"/>
                <w:szCs w:val="20"/>
                <w:color w:val="auto"/>
              </w:rPr>
            </w:pPr>
            <w:r>
              <w:rPr>
                <w:rFonts w:ascii="Arial" w:cs="Arial" w:eastAsia="Arial" w:hAnsi="Arial"/>
                <w:sz w:val="18"/>
                <w:szCs w:val="18"/>
                <w:color w:val="auto"/>
                <w:w w:val="93"/>
              </w:rPr>
              <w:t>0.6x</w:t>
            </w: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- 0.6x (0.6x)</w:t>
            </w:r>
          </w:p>
        </w:tc>
        <w:tc>
          <w:tcPr>
            <w:tcW w:w="0" w:type="dxa"/>
            <w:vAlign w:val="bottom"/>
          </w:tcPr>
          <w:p>
            <w:pPr>
              <w:spacing w:after="0"/>
              <w:rPr>
                <w:sz w:val="1"/>
                <w:szCs w:val="1"/>
                <w:color w:val="auto"/>
              </w:rPr>
            </w:pPr>
          </w:p>
        </w:tc>
      </w:tr>
      <w:tr>
        <w:trPr>
          <w:trHeight w:val="215"/>
        </w:trPr>
        <w:tc>
          <w:tcPr>
            <w:tcW w:w="30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4,116</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Coverage</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1.6x</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- 1.6x (1.6x)</w:t>
            </w:r>
          </w:p>
        </w:tc>
        <w:tc>
          <w:tcPr>
            <w:tcW w:w="0" w:type="dxa"/>
            <w:vAlign w:val="bottom"/>
          </w:tcPr>
          <w:p>
            <w:pPr>
              <w:spacing w:after="0"/>
              <w:rPr>
                <w:sz w:val="1"/>
                <w:szCs w:val="1"/>
                <w:color w:val="auto"/>
              </w:rPr>
            </w:pPr>
          </w:p>
        </w:tc>
      </w:tr>
      <w:tr>
        <w:trPr>
          <w:trHeight w:val="215"/>
        </w:trPr>
        <w:tc>
          <w:tcPr>
            <w:tcW w:w="3080" w:type="dxa"/>
            <w:vAlign w:val="bottom"/>
          </w:tcPr>
          <w:p>
            <w:pPr>
              <w:spacing w:after="0"/>
              <w:rPr>
                <w:sz w:val="20"/>
                <w:szCs w:val="20"/>
                <w:color w:val="auto"/>
              </w:rPr>
            </w:pPr>
            <w:r>
              <w:rPr>
                <w:rFonts w:ascii="Arial" w:cs="Arial" w:eastAsia="Arial" w:hAnsi="Arial"/>
                <w:sz w:val="18"/>
                <w:szCs w:val="18"/>
                <w:b w:val="1"/>
                <w:bCs w:val="1"/>
                <w:color w:val="auto"/>
              </w:rPr>
              <w:t>Equity investments: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Equity</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85,491</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3.9x</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- 14.5x (7.8x)</w:t>
            </w:r>
          </w:p>
        </w:tc>
        <w:tc>
          <w:tcPr>
            <w:tcW w:w="0" w:type="dxa"/>
            <w:vAlign w:val="bottom"/>
          </w:tcPr>
          <w:p>
            <w:pPr>
              <w:spacing w:after="0"/>
              <w:rPr>
                <w:sz w:val="1"/>
                <w:szCs w:val="1"/>
                <w:color w:val="auto"/>
              </w:rPr>
            </w:pPr>
          </w:p>
        </w:tc>
      </w:tr>
      <w:tr>
        <w:trPr>
          <w:trHeight w:val="215"/>
        </w:trPr>
        <w:tc>
          <w:tcPr>
            <w:tcW w:w="30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2520" w:type="dxa"/>
            <w:vAlign w:val="bottom"/>
            <w:gridSpan w:val="2"/>
          </w:tcPr>
          <w:p>
            <w:pPr>
              <w:spacing w:after="0"/>
              <w:rPr>
                <w:sz w:val="20"/>
                <w:szCs w:val="20"/>
                <w:color w:val="auto"/>
              </w:rPr>
            </w:pPr>
            <w:r>
              <w:rPr>
                <w:rFonts w:ascii="Arial" w:cs="Arial" w:eastAsia="Arial" w:hAnsi="Arial"/>
                <w:sz w:val="18"/>
                <w:szCs w:val="18"/>
                <w:color w:val="auto"/>
              </w:rPr>
              <w:t>Enterprise value</w:t>
            </w:r>
          </w:p>
        </w:tc>
        <w:tc>
          <w:tcPr>
            <w:tcW w:w="2520" w:type="dxa"/>
            <w:vAlign w:val="bottom"/>
            <w:gridSpan w:val="2"/>
          </w:tcPr>
          <w:p>
            <w:pPr>
              <w:spacing w:after="0"/>
              <w:rPr>
                <w:sz w:val="20"/>
                <w:szCs w:val="20"/>
                <w:color w:val="auto"/>
              </w:rPr>
            </w:pPr>
            <w:r>
              <w:rPr>
                <w:rFonts w:ascii="Arial" w:cs="Arial" w:eastAsia="Arial" w:hAnsi="Arial"/>
                <w:sz w:val="18"/>
                <w:szCs w:val="18"/>
                <w:color w:val="auto"/>
              </w:rPr>
              <w:t>Revenue multiples</w:t>
            </w:r>
          </w:p>
        </w:tc>
        <w:tc>
          <w:tcPr>
            <w:tcW w:w="380" w:type="dxa"/>
            <w:vAlign w:val="bottom"/>
          </w:tcPr>
          <w:p>
            <w:pPr>
              <w:ind w:left="40"/>
              <w:spacing w:after="0"/>
              <w:rPr>
                <w:sz w:val="20"/>
                <w:szCs w:val="20"/>
                <w:color w:val="auto"/>
              </w:rPr>
            </w:pPr>
            <w:r>
              <w:rPr>
                <w:rFonts w:ascii="Arial" w:cs="Arial" w:eastAsia="Arial" w:hAnsi="Arial"/>
                <w:sz w:val="18"/>
                <w:szCs w:val="18"/>
                <w:color w:val="auto"/>
                <w:w w:val="93"/>
              </w:rPr>
              <w:t>1.1x</w:t>
            </w: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- 4.4x (4.4x)</w:t>
            </w:r>
          </w:p>
        </w:tc>
        <w:tc>
          <w:tcPr>
            <w:tcW w:w="0" w:type="dxa"/>
            <w:vAlign w:val="bottom"/>
          </w:tcPr>
          <w:p>
            <w:pPr>
              <w:spacing w:after="0"/>
              <w:rPr>
                <w:sz w:val="1"/>
                <w:szCs w:val="1"/>
                <w:color w:val="auto"/>
              </w:rPr>
            </w:pPr>
          </w:p>
        </w:tc>
      </w:tr>
      <w:tr>
        <w:trPr>
          <w:trHeight w:val="215"/>
        </w:trPr>
        <w:tc>
          <w:tcPr>
            <w:tcW w:w="3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Warrants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2,604</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4.0x</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- 6.0x (5.8x)</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60" w:hanging="431"/>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Unobservable inputs were weighted by the relative fair value of the instruments.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Fair Value at</w:t>
            </w: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00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2"/>
              </w:rPr>
              <w:t>December 31,</w:t>
            </w:r>
          </w:p>
        </w:tc>
        <w:tc>
          <w:tcPr>
            <w:tcW w:w="25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Valuation Techniques</w:t>
            </w:r>
          </w:p>
        </w:tc>
        <w:tc>
          <w:tcPr>
            <w:tcW w:w="25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Pr>
          <w:p>
            <w:pPr>
              <w:spacing w:after="0"/>
              <w:rPr>
                <w:sz w:val="12"/>
                <w:szCs w:val="12"/>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Range (weighted average)</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Debt investments:</w:t>
            </w: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080" w:type="dxa"/>
            <w:vAlign w:val="bottom"/>
          </w:tcPr>
          <w:p>
            <w:pPr>
              <w:ind w:left="480"/>
              <w:spacing w:after="0"/>
              <w:rPr>
                <w:sz w:val="20"/>
                <w:szCs w:val="20"/>
                <w:color w:val="auto"/>
              </w:rPr>
            </w:pPr>
            <w:r>
              <w:rPr>
                <w:rFonts w:ascii="Arial" w:cs="Arial" w:eastAsia="Arial" w:hAnsi="Arial"/>
                <w:sz w:val="18"/>
                <w:szCs w:val="18"/>
                <w:color w:val="auto"/>
              </w:rPr>
              <w:t>Second Lien Debt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  364,351</w:t>
            </w:r>
          </w:p>
        </w:tc>
        <w:tc>
          <w:tcPr>
            <w:tcW w:w="2520" w:type="dxa"/>
            <w:vAlign w:val="bottom"/>
            <w:gridSpan w:val="2"/>
          </w:tcPr>
          <w:p>
            <w:pPr>
              <w:spacing w:after="0"/>
              <w:rPr>
                <w:sz w:val="20"/>
                <w:szCs w:val="20"/>
                <w:color w:val="auto"/>
              </w:rPr>
            </w:pPr>
            <w:r>
              <w:rPr>
                <w:rFonts w:ascii="Arial" w:cs="Arial" w:eastAsia="Arial" w:hAnsi="Arial"/>
                <w:sz w:val="18"/>
                <w:szCs w:val="18"/>
                <w:color w:val="auto"/>
              </w:rPr>
              <w:t>Discounted cash flow</w:t>
            </w:r>
          </w:p>
        </w:tc>
        <w:tc>
          <w:tcPr>
            <w:tcW w:w="2520" w:type="dxa"/>
            <w:vAlign w:val="bottom"/>
          </w:tcPr>
          <w:p>
            <w:pPr>
              <w:spacing w:after="0"/>
              <w:rPr>
                <w:sz w:val="20"/>
                <w:szCs w:val="20"/>
                <w:color w:val="auto"/>
              </w:rPr>
            </w:pPr>
            <w:r>
              <w:rPr>
                <w:rFonts w:ascii="Arial" w:cs="Arial" w:eastAsia="Arial" w:hAnsi="Arial"/>
                <w:sz w:val="18"/>
                <w:szCs w:val="18"/>
                <w:color w:val="auto"/>
                <w:w w:val="95"/>
              </w:rPr>
              <w:t>Weighted average cost of capital</w:t>
            </w:r>
          </w:p>
        </w:tc>
        <w:tc>
          <w:tcPr>
            <w:tcW w:w="1880" w:type="dxa"/>
            <w:vAlign w:val="bottom"/>
            <w:gridSpan w:val="3"/>
          </w:tcPr>
          <w:p>
            <w:pPr>
              <w:ind w:left="100"/>
              <w:spacing w:after="0"/>
              <w:rPr>
                <w:sz w:val="20"/>
                <w:szCs w:val="20"/>
                <w:color w:val="auto"/>
              </w:rPr>
            </w:pPr>
            <w:r>
              <w:rPr>
                <w:rFonts w:ascii="Arial" w:cs="Arial" w:eastAsia="Arial" w:hAnsi="Arial"/>
                <w:sz w:val="18"/>
                <w:szCs w:val="18"/>
                <w:color w:val="auto"/>
                <w:w w:val="94"/>
              </w:rPr>
              <w:t>10.3% - 18.2% (13.2%)</w:t>
            </w:r>
          </w:p>
        </w:tc>
        <w:tc>
          <w:tcPr>
            <w:tcW w:w="0" w:type="dxa"/>
            <w:vAlign w:val="bottom"/>
          </w:tcPr>
          <w:p>
            <w:pPr>
              <w:spacing w:after="0"/>
              <w:rPr>
                <w:sz w:val="1"/>
                <w:szCs w:val="1"/>
                <w:color w:val="auto"/>
              </w:rPr>
            </w:pPr>
          </w:p>
        </w:tc>
      </w:tr>
      <w:tr>
        <w:trPr>
          <w:trHeight w:val="215"/>
        </w:trPr>
        <w:tc>
          <w:tcPr>
            <w:tcW w:w="30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16,417</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EBITDA multiples</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5.3x</w:t>
            </w: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- 5.3x (5.3x)</w:t>
            </w:r>
          </w:p>
        </w:tc>
        <w:tc>
          <w:tcPr>
            <w:tcW w:w="0" w:type="dxa"/>
            <w:vAlign w:val="bottom"/>
          </w:tcPr>
          <w:p>
            <w:pPr>
              <w:spacing w:after="0"/>
              <w:rPr>
                <w:sz w:val="1"/>
                <w:szCs w:val="1"/>
                <w:color w:val="auto"/>
              </w:rPr>
            </w:pPr>
          </w:p>
        </w:tc>
      </w:tr>
      <w:tr>
        <w:trPr>
          <w:trHeight w:val="215"/>
        </w:trPr>
        <w:tc>
          <w:tcPr>
            <w:tcW w:w="30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2,309</w:t>
            </w:r>
          </w:p>
        </w:tc>
        <w:tc>
          <w:tcPr>
            <w:tcW w:w="2520" w:type="dxa"/>
            <w:vAlign w:val="bottom"/>
            <w:gridSpan w:val="2"/>
          </w:tcPr>
          <w:p>
            <w:pPr>
              <w:spacing w:after="0"/>
              <w:rPr>
                <w:sz w:val="20"/>
                <w:szCs w:val="20"/>
                <w:color w:val="auto"/>
              </w:rPr>
            </w:pPr>
            <w:r>
              <w:rPr>
                <w:rFonts w:ascii="Arial" w:cs="Arial" w:eastAsia="Arial" w:hAnsi="Arial"/>
                <w:sz w:val="18"/>
                <w:szCs w:val="18"/>
                <w:color w:val="auto"/>
              </w:rPr>
              <w:t>Enterprise value</w:t>
            </w:r>
          </w:p>
        </w:tc>
        <w:tc>
          <w:tcPr>
            <w:tcW w:w="2520" w:type="dxa"/>
            <w:vAlign w:val="bottom"/>
          </w:tcPr>
          <w:p>
            <w:pPr>
              <w:spacing w:after="0"/>
              <w:rPr>
                <w:sz w:val="20"/>
                <w:szCs w:val="20"/>
                <w:color w:val="auto"/>
              </w:rPr>
            </w:pPr>
            <w:r>
              <w:rPr>
                <w:rFonts w:ascii="Arial" w:cs="Arial" w:eastAsia="Arial" w:hAnsi="Arial"/>
                <w:sz w:val="18"/>
                <w:szCs w:val="18"/>
                <w:color w:val="auto"/>
              </w:rPr>
              <w:t>Asset Coverage</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w w:val="93"/>
              </w:rPr>
              <w:t>1.2x</w:t>
            </w:r>
          </w:p>
        </w:tc>
        <w:tc>
          <w:tcPr>
            <w:tcW w:w="1440" w:type="dxa"/>
            <w:vAlign w:val="bottom"/>
          </w:tcPr>
          <w:p>
            <w:pPr>
              <w:ind w:left="20"/>
              <w:spacing w:after="0"/>
              <w:rPr>
                <w:sz w:val="20"/>
                <w:szCs w:val="20"/>
                <w:color w:val="auto"/>
              </w:rPr>
            </w:pPr>
            <w:r>
              <w:rPr>
                <w:rFonts w:ascii="Arial" w:cs="Arial" w:eastAsia="Arial" w:hAnsi="Arial"/>
                <w:sz w:val="18"/>
                <w:szCs w:val="18"/>
                <w:color w:val="auto"/>
              </w:rPr>
              <w:t>- 1.2x (1.2x)</w:t>
            </w:r>
          </w:p>
        </w:tc>
        <w:tc>
          <w:tcPr>
            <w:tcW w:w="0" w:type="dxa"/>
            <w:vAlign w:val="bottom"/>
          </w:tcPr>
          <w:p>
            <w:pPr>
              <w:spacing w:after="0"/>
              <w:rPr>
                <w:sz w:val="1"/>
                <w:szCs w:val="1"/>
                <w:color w:val="auto"/>
              </w:rPr>
            </w:pPr>
          </w:p>
        </w:tc>
      </w:tr>
      <w:tr>
        <w:trPr>
          <w:trHeight w:val="215"/>
        </w:trPr>
        <w:tc>
          <w:tcPr>
            <w:tcW w:w="3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Subordinated Debt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140,843</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Discounted cash flow</w:t>
            </w: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cost of capital</w:t>
            </w:r>
          </w:p>
        </w:tc>
        <w:tc>
          <w:tcPr>
            <w:tcW w:w="18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4"/>
              </w:rPr>
              <w:t>10.9% - 21.6% (12.0%)</w:t>
            </w:r>
          </w:p>
        </w:tc>
        <w:tc>
          <w:tcPr>
            <w:tcW w:w="0" w:type="dxa"/>
            <w:vAlign w:val="bottom"/>
          </w:tcPr>
          <w:p>
            <w:pPr>
              <w:spacing w:after="0"/>
              <w:rPr>
                <w:sz w:val="1"/>
                <w:szCs w:val="1"/>
                <w:color w:val="auto"/>
              </w:rPr>
            </w:pPr>
          </w:p>
        </w:tc>
      </w:tr>
      <w:tr>
        <w:trPr>
          <w:trHeight w:val="215"/>
        </w:trPr>
        <w:tc>
          <w:tcPr>
            <w:tcW w:w="3080" w:type="dxa"/>
            <w:vAlign w:val="bottom"/>
          </w:tcPr>
          <w:p>
            <w:pPr>
              <w:ind w:left="480"/>
              <w:spacing w:after="0"/>
              <w:rPr>
                <w:sz w:val="20"/>
                <w:szCs w:val="20"/>
                <w:color w:val="auto"/>
              </w:rPr>
            </w:pPr>
            <w:r>
              <w:rPr>
                <w:rFonts w:ascii="Arial" w:cs="Arial" w:eastAsia="Arial" w:hAnsi="Arial"/>
                <w:sz w:val="18"/>
                <w:szCs w:val="18"/>
                <w:color w:val="auto"/>
              </w:rPr>
              <w:t>First Lien Debt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101,162</w:t>
            </w:r>
          </w:p>
        </w:tc>
        <w:tc>
          <w:tcPr>
            <w:tcW w:w="2520" w:type="dxa"/>
            <w:vAlign w:val="bottom"/>
            <w:gridSpan w:val="2"/>
          </w:tcPr>
          <w:p>
            <w:pPr>
              <w:spacing w:after="0"/>
              <w:rPr>
                <w:sz w:val="20"/>
                <w:szCs w:val="20"/>
                <w:color w:val="auto"/>
              </w:rPr>
            </w:pPr>
            <w:r>
              <w:rPr>
                <w:rFonts w:ascii="Arial" w:cs="Arial" w:eastAsia="Arial" w:hAnsi="Arial"/>
                <w:sz w:val="18"/>
                <w:szCs w:val="18"/>
                <w:color w:val="auto"/>
              </w:rPr>
              <w:t>Discounted cash flow</w:t>
            </w:r>
          </w:p>
        </w:tc>
        <w:tc>
          <w:tcPr>
            <w:tcW w:w="2520" w:type="dxa"/>
            <w:vAlign w:val="bottom"/>
          </w:tcPr>
          <w:p>
            <w:pPr>
              <w:spacing w:after="0"/>
              <w:rPr>
                <w:sz w:val="20"/>
                <w:szCs w:val="20"/>
                <w:color w:val="auto"/>
              </w:rPr>
            </w:pPr>
            <w:r>
              <w:rPr>
                <w:rFonts w:ascii="Arial" w:cs="Arial" w:eastAsia="Arial" w:hAnsi="Arial"/>
                <w:sz w:val="18"/>
                <w:szCs w:val="18"/>
                <w:color w:val="auto"/>
                <w:w w:val="95"/>
              </w:rPr>
              <w:t>Weighted average cost of capital</w:t>
            </w:r>
          </w:p>
        </w:tc>
        <w:tc>
          <w:tcPr>
            <w:tcW w:w="1880" w:type="dxa"/>
            <w:vAlign w:val="bottom"/>
            <w:gridSpan w:val="3"/>
          </w:tcPr>
          <w:p>
            <w:pPr>
              <w:ind w:left="100"/>
              <w:spacing w:after="0"/>
              <w:rPr>
                <w:sz w:val="20"/>
                <w:szCs w:val="20"/>
                <w:color w:val="auto"/>
              </w:rPr>
            </w:pPr>
            <w:r>
              <w:rPr>
                <w:rFonts w:ascii="Arial" w:cs="Arial" w:eastAsia="Arial" w:hAnsi="Arial"/>
                <w:sz w:val="18"/>
                <w:szCs w:val="18"/>
                <w:color w:val="auto"/>
                <w:w w:val="99"/>
              </w:rPr>
              <w:t>8.4% - 14.8% (11.8%)</w:t>
            </w:r>
          </w:p>
        </w:tc>
        <w:tc>
          <w:tcPr>
            <w:tcW w:w="0" w:type="dxa"/>
            <w:vAlign w:val="bottom"/>
          </w:tcPr>
          <w:p>
            <w:pPr>
              <w:spacing w:after="0"/>
              <w:rPr>
                <w:sz w:val="1"/>
                <w:szCs w:val="1"/>
                <w:color w:val="auto"/>
              </w:rPr>
            </w:pPr>
          </w:p>
        </w:tc>
      </w:tr>
      <w:tr>
        <w:trPr>
          <w:trHeight w:val="215"/>
        </w:trPr>
        <w:tc>
          <w:tcPr>
            <w:tcW w:w="30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7,165</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Revenue multiples</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4.4x</w:t>
            </w: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- 4.4x (4.4x)</w:t>
            </w:r>
          </w:p>
        </w:tc>
        <w:tc>
          <w:tcPr>
            <w:tcW w:w="0" w:type="dxa"/>
            <w:vAlign w:val="bottom"/>
          </w:tcPr>
          <w:p>
            <w:pPr>
              <w:spacing w:after="0"/>
              <w:rPr>
                <w:sz w:val="1"/>
                <w:szCs w:val="1"/>
                <w:color w:val="auto"/>
              </w:rPr>
            </w:pPr>
          </w:p>
        </w:tc>
      </w:tr>
      <w:tr>
        <w:trPr>
          <w:trHeight w:val="215"/>
        </w:trPr>
        <w:tc>
          <w:tcPr>
            <w:tcW w:w="3080" w:type="dxa"/>
            <w:vAlign w:val="bottom"/>
          </w:tcPr>
          <w:p>
            <w:pPr>
              <w:spacing w:after="0"/>
              <w:rPr>
                <w:sz w:val="20"/>
                <w:szCs w:val="20"/>
                <w:color w:val="auto"/>
              </w:rPr>
            </w:pPr>
            <w:r>
              <w:rPr>
                <w:rFonts w:ascii="Arial" w:cs="Arial" w:eastAsia="Arial" w:hAnsi="Arial"/>
                <w:sz w:val="18"/>
                <w:szCs w:val="18"/>
                <w:b w:val="1"/>
                <w:bCs w:val="1"/>
                <w:color w:val="auto"/>
              </w:rPr>
              <w:t>Equity investments: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Equity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125,370</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EBITDA multiples</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3.5x</w:t>
            </w: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- 20.7x (8.5x)</w:t>
            </w:r>
          </w:p>
        </w:tc>
        <w:tc>
          <w:tcPr>
            <w:tcW w:w="0" w:type="dxa"/>
            <w:vAlign w:val="bottom"/>
          </w:tcPr>
          <w:p>
            <w:pPr>
              <w:spacing w:after="0"/>
              <w:rPr>
                <w:sz w:val="1"/>
                <w:szCs w:val="1"/>
                <w:color w:val="auto"/>
              </w:rPr>
            </w:pPr>
          </w:p>
        </w:tc>
      </w:tr>
      <w:tr>
        <w:trPr>
          <w:trHeight w:val="215"/>
        </w:trPr>
        <w:tc>
          <w:tcPr>
            <w:tcW w:w="30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1,194</w:t>
            </w:r>
          </w:p>
        </w:tc>
        <w:tc>
          <w:tcPr>
            <w:tcW w:w="2520" w:type="dxa"/>
            <w:vAlign w:val="bottom"/>
            <w:gridSpan w:val="2"/>
          </w:tcPr>
          <w:p>
            <w:pPr>
              <w:spacing w:after="0"/>
              <w:rPr>
                <w:sz w:val="20"/>
                <w:szCs w:val="20"/>
                <w:color w:val="auto"/>
              </w:rPr>
            </w:pPr>
            <w:r>
              <w:rPr>
                <w:rFonts w:ascii="Arial" w:cs="Arial" w:eastAsia="Arial" w:hAnsi="Arial"/>
                <w:sz w:val="18"/>
                <w:szCs w:val="18"/>
                <w:color w:val="auto"/>
              </w:rPr>
              <w:t>Enterprise value</w:t>
            </w:r>
          </w:p>
        </w:tc>
        <w:tc>
          <w:tcPr>
            <w:tcW w:w="2520" w:type="dxa"/>
            <w:vAlign w:val="bottom"/>
          </w:tcPr>
          <w:p>
            <w:pPr>
              <w:spacing w:after="0"/>
              <w:rPr>
                <w:sz w:val="20"/>
                <w:szCs w:val="20"/>
                <w:color w:val="auto"/>
              </w:rPr>
            </w:pPr>
            <w:r>
              <w:rPr>
                <w:rFonts w:ascii="Arial" w:cs="Arial" w:eastAsia="Arial" w:hAnsi="Arial"/>
                <w:sz w:val="18"/>
                <w:szCs w:val="18"/>
                <w:color w:val="auto"/>
              </w:rPr>
              <w:t>Revenue multiples</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w w:val="93"/>
              </w:rPr>
              <w:t>1.2x</w:t>
            </w:r>
          </w:p>
        </w:tc>
        <w:tc>
          <w:tcPr>
            <w:tcW w:w="1440" w:type="dxa"/>
            <w:vAlign w:val="bottom"/>
          </w:tcPr>
          <w:p>
            <w:pPr>
              <w:ind w:left="20"/>
              <w:spacing w:after="0"/>
              <w:rPr>
                <w:sz w:val="20"/>
                <w:szCs w:val="20"/>
                <w:color w:val="auto"/>
              </w:rPr>
            </w:pPr>
            <w:r>
              <w:rPr>
                <w:rFonts w:ascii="Arial" w:cs="Arial" w:eastAsia="Arial" w:hAnsi="Arial"/>
                <w:sz w:val="18"/>
                <w:szCs w:val="18"/>
                <w:color w:val="auto"/>
              </w:rPr>
              <w:t>- 4.4x (2.0x)</w:t>
            </w:r>
          </w:p>
        </w:tc>
        <w:tc>
          <w:tcPr>
            <w:tcW w:w="0" w:type="dxa"/>
            <w:vAlign w:val="bottom"/>
          </w:tcPr>
          <w:p>
            <w:pPr>
              <w:spacing w:after="0"/>
              <w:rPr>
                <w:sz w:val="1"/>
                <w:szCs w:val="1"/>
                <w:color w:val="auto"/>
              </w:rPr>
            </w:pPr>
          </w:p>
        </w:tc>
      </w:tr>
      <w:tr>
        <w:trPr>
          <w:trHeight w:val="215"/>
        </w:trPr>
        <w:tc>
          <w:tcPr>
            <w:tcW w:w="3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Warrants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8,108</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EBITDA multiples</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4.0x</w:t>
            </w: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- 7.0x (6.6x)</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60" w:hanging="431"/>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Unobservable inputs were weighted by the relative fair value of the instruments.</w:t>
      </w:r>
    </w:p>
    <w:p>
      <w:pPr>
        <w:spacing w:after="0" w:line="224" w:lineRule="exact"/>
        <w:rPr>
          <w:sz w:val="20"/>
          <w:szCs w:val="20"/>
          <w:color w:val="auto"/>
        </w:rPr>
      </w:pPr>
    </w:p>
    <w:p>
      <w:pPr>
        <w:ind w:left="120" w:right="300" w:firstLine="439"/>
        <w:spacing w:after="0" w:line="341" w:lineRule="auto"/>
        <w:rPr>
          <w:sz w:val="20"/>
          <w:szCs w:val="20"/>
          <w:color w:val="auto"/>
        </w:rPr>
      </w:pPr>
      <w:r>
        <w:rPr>
          <w:rFonts w:ascii="Arial" w:cs="Arial" w:eastAsia="Arial" w:hAnsi="Arial"/>
          <w:sz w:val="16"/>
          <w:szCs w:val="16"/>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124" w:lineRule="exact"/>
        <w:rPr>
          <w:sz w:val="20"/>
          <w:szCs w:val="20"/>
          <w:color w:val="auto"/>
        </w:rPr>
      </w:pPr>
    </w:p>
    <w:p>
      <w:pPr>
        <w:ind w:left="120" w:right="300" w:firstLine="439"/>
        <w:spacing w:after="0" w:line="341" w:lineRule="auto"/>
        <w:rPr>
          <w:sz w:val="20"/>
          <w:szCs w:val="20"/>
          <w:color w:val="auto"/>
        </w:rPr>
      </w:pPr>
      <w:r>
        <w:rPr>
          <w:rFonts w:ascii="Arial" w:cs="Arial" w:eastAsia="Arial" w:hAnsi="Arial"/>
          <w:sz w:val="16"/>
          <w:szCs w:val="16"/>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116" w:lineRule="exact"/>
        <w:rPr>
          <w:sz w:val="20"/>
          <w:szCs w:val="20"/>
          <w:color w:val="auto"/>
        </w:rPr>
      </w:pPr>
    </w:p>
    <w:p>
      <w:pPr>
        <w:ind w:left="120" w:right="20" w:firstLine="439"/>
        <w:spacing w:after="0" w:line="278" w:lineRule="auto"/>
        <w:rPr>
          <w:sz w:val="20"/>
          <w:szCs w:val="20"/>
          <w:color w:val="auto"/>
        </w:rPr>
      </w:pPr>
      <w:r>
        <w:rPr>
          <w:rFonts w:ascii="Arial" w:cs="Arial" w:eastAsia="Arial" w:hAnsi="Arial"/>
          <w:sz w:val="17"/>
          <w:szCs w:val="17"/>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SBA debentures, and Public Notes (as defined in Note 6) are recorded at their respective carrying values.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8"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summarize the carrying value and fair value of the Company’s debt obligations as of September 30, 2020 and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 2020</w:t>
            </w:r>
          </w:p>
        </w:tc>
        <w:tc>
          <w:tcPr>
            <w:tcW w:w="300" w:type="dxa"/>
            <w:vAlign w:val="bottom"/>
          </w:tcPr>
          <w:p>
            <w:pPr>
              <w:spacing w:after="0"/>
              <w:rPr>
                <w:sz w:val="14"/>
                <w:szCs w:val="14"/>
                <w:color w:val="auto"/>
              </w:rPr>
            </w:pPr>
          </w:p>
        </w:tc>
        <w:tc>
          <w:tcPr>
            <w:tcW w:w="21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 2019</w:t>
            </w:r>
          </w:p>
        </w:tc>
      </w:tr>
      <w:tr>
        <w:trPr>
          <w:trHeight w:val="142"/>
        </w:trPr>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 xml:space="preserve">Carrying Value </w:t>
            </w:r>
            <w:r>
              <w:rPr>
                <w:rFonts w:ascii="Arial" w:cs="Arial" w:eastAsia="Arial" w:hAnsi="Arial"/>
                <w:sz w:val="12"/>
                <w:szCs w:val="12"/>
                <w:b w:val="1"/>
                <w:bCs w:val="1"/>
                <w:color w:val="auto"/>
              </w:rPr>
              <w:t>(1)</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560" w:type="dxa"/>
            <w:vAlign w:val="bottom"/>
          </w:tcPr>
          <w:p>
            <w:pPr>
              <w:spacing w:after="0"/>
              <w:rPr>
                <w:sz w:val="12"/>
                <w:szCs w:val="12"/>
                <w:color w:val="auto"/>
              </w:rPr>
            </w:pPr>
          </w:p>
        </w:tc>
        <w:tc>
          <w:tcPr>
            <w:tcW w:w="14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 xml:space="preserve">Carrying Value </w:t>
            </w:r>
            <w:r>
              <w:rPr>
                <w:rFonts w:ascii="Arial" w:cs="Arial" w:eastAsia="Arial" w:hAnsi="Arial"/>
                <w:sz w:val="12"/>
                <w:szCs w:val="12"/>
                <w:b w:val="1"/>
                <w:bCs w:val="1"/>
                <w:color w:val="auto"/>
              </w:rPr>
              <w:t>(1)</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2"/>
                <w:szCs w:val="12"/>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SBA debentures </w:t>
            </w:r>
            <w:r>
              <w:rPr>
                <w:rFonts w:ascii="Arial" w:cs="Arial" w:eastAsia="Arial" w:hAnsi="Arial"/>
                <w:sz w:val="15"/>
                <w:szCs w:val="15"/>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$147,000</w:t>
            </w:r>
          </w:p>
        </w:tc>
        <w:tc>
          <w:tcPr>
            <w:tcW w:w="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$157,500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4740" w:type="dxa"/>
            <w:vAlign w:val="bottom"/>
          </w:tcPr>
          <w:p>
            <w:pPr>
              <w:spacing w:after="0"/>
              <w:rPr>
                <w:sz w:val="20"/>
                <w:szCs w:val="20"/>
                <w:color w:val="auto"/>
              </w:rPr>
            </w:pPr>
            <w:r>
              <w:rPr>
                <w:rFonts w:ascii="Arial" w:cs="Arial" w:eastAsia="Arial" w:hAnsi="Arial"/>
                <w:sz w:val="18"/>
                <w:szCs w:val="18"/>
                <w:color w:val="auto"/>
              </w:rPr>
              <w:t xml:space="preserve">Credit Facility borrowings </w:t>
            </w:r>
            <w:r>
              <w:rPr>
                <w:rFonts w:ascii="Arial" w:cs="Arial" w:eastAsia="Arial" w:hAnsi="Arial"/>
                <w:sz w:val="15"/>
                <w:szCs w:val="15"/>
                <w:color w:val="auto"/>
              </w:rPr>
              <w:t>(3)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23,000</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23,000</w:t>
            </w: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25,000</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25,000</w:t>
            </w:r>
          </w:p>
        </w:tc>
      </w:tr>
      <w:tr>
        <w:trPr>
          <w:trHeight w:val="215"/>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2023 Notes </w:t>
            </w:r>
            <w:r>
              <w:rPr>
                <w:rFonts w:ascii="Arial" w:cs="Arial" w:eastAsia="Arial" w:hAnsi="Arial"/>
                <w:sz w:val="15"/>
                <w:szCs w:val="15"/>
                <w:color w:val="auto"/>
              </w:rPr>
              <w:t>(4)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49,100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51,900</w:t>
            </w:r>
          </w:p>
        </w:tc>
      </w:tr>
      <w:tr>
        <w:trPr>
          <w:trHeight w:val="215"/>
        </w:trPr>
        <w:tc>
          <w:tcPr>
            <w:tcW w:w="4740" w:type="dxa"/>
            <w:vAlign w:val="bottom"/>
          </w:tcPr>
          <w:p>
            <w:pPr>
              <w:spacing w:after="0"/>
              <w:rPr>
                <w:sz w:val="20"/>
                <w:szCs w:val="20"/>
                <w:color w:val="auto"/>
              </w:rPr>
            </w:pPr>
            <w:r>
              <w:rPr>
                <w:rFonts w:ascii="Arial" w:cs="Arial" w:eastAsia="Arial" w:hAnsi="Arial"/>
                <w:sz w:val="18"/>
                <w:szCs w:val="18"/>
                <w:color w:val="auto"/>
              </w:rPr>
              <w:t xml:space="preserve">February 2024 Notes </w:t>
            </w:r>
            <w:r>
              <w:rPr>
                <w:rFonts w:ascii="Arial" w:cs="Arial" w:eastAsia="Arial" w:hAnsi="Arial"/>
                <w:sz w:val="15"/>
                <w:szCs w:val="15"/>
                <w:color w:val="auto"/>
              </w:rPr>
              <w:t>(4)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69,000</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68,310</w:t>
            </w: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69,000</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72,422</w:t>
            </w:r>
          </w:p>
        </w:tc>
      </w:tr>
      <w:tr>
        <w:trPr>
          <w:trHeight w:val="215"/>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November 2024 Notes </w:t>
            </w:r>
            <w:r>
              <w:rPr>
                <w:rFonts w:ascii="Arial" w:cs="Arial" w:eastAsia="Arial" w:hAnsi="Arial"/>
                <w:sz w:val="15"/>
                <w:szCs w:val="15"/>
                <w:color w:val="auto"/>
              </w:rPr>
              <w:t>(4)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63,250</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61,428</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63,250</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65,148</w:t>
            </w: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352,250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348,838</w:t>
            </w:r>
          </w:p>
        </w:tc>
        <w:tc>
          <w:tcPr>
            <w:tcW w:w="5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364,750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371,970</w:t>
            </w:r>
          </w:p>
        </w:tc>
        <w:tc>
          <w:tcPr>
            <w:tcW w:w="6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hanging="431"/>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Carrying value represents the outstanding principal balance of the debt obligation.</w:t>
      </w:r>
    </w:p>
    <w:p>
      <w:pPr>
        <w:spacing w:after="0" w:line="22" w:lineRule="exact"/>
        <w:rPr>
          <w:rFonts w:ascii="Arial" w:cs="Arial" w:eastAsia="Arial" w:hAnsi="Arial"/>
          <w:sz w:val="18"/>
          <w:szCs w:val="18"/>
          <w:color w:val="auto"/>
        </w:rPr>
      </w:pPr>
    </w:p>
    <w:p>
      <w:pPr>
        <w:ind w:left="560" w:right="140" w:hanging="431"/>
        <w:spacing w:after="0" w:line="249"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fair value of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spacing w:after="0" w:line="2" w:lineRule="exact"/>
        <w:rPr>
          <w:rFonts w:ascii="Arial" w:cs="Arial" w:eastAsia="Arial" w:hAnsi="Arial"/>
          <w:sz w:val="18"/>
          <w:szCs w:val="18"/>
          <w:color w:val="auto"/>
        </w:rPr>
      </w:pPr>
    </w:p>
    <w:p>
      <w:pPr>
        <w:ind w:left="560" w:right="160" w:hanging="431"/>
        <w:spacing w:after="0" w:line="249"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fair value of borrowings under the Credit Facility, if valued under ASC Topic 820, are based on a market yield approach and current interest rates, which are Level 3 inputs to the market yield model.</w:t>
      </w:r>
    </w:p>
    <w:p>
      <w:pPr>
        <w:spacing w:after="0" w:line="1" w:lineRule="exact"/>
        <w:rPr>
          <w:rFonts w:ascii="Arial" w:cs="Arial" w:eastAsia="Arial" w:hAnsi="Arial"/>
          <w:sz w:val="18"/>
          <w:szCs w:val="18"/>
          <w:color w:val="auto"/>
        </w:rPr>
      </w:pPr>
    </w:p>
    <w:p>
      <w:pPr>
        <w:ind w:left="560" w:hanging="431"/>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Public Notes, if valued under ASC Topic 820, are valued using available market quotes, which is a Level 1 input.</w:t>
      </w:r>
    </w:p>
    <w:p>
      <w:pPr>
        <w:spacing w:after="0" w:line="210" w:lineRule="exact"/>
        <w:rPr>
          <w:sz w:val="20"/>
          <w:szCs w:val="20"/>
          <w:color w:val="auto"/>
        </w:rPr>
      </w:pPr>
    </w:p>
    <w:p>
      <w:pPr>
        <w:ind w:left="120" w:right="180" w:firstLine="439"/>
        <w:spacing w:after="0" w:line="276" w:lineRule="auto"/>
        <w:rPr>
          <w:sz w:val="20"/>
          <w:szCs w:val="20"/>
          <w:color w:val="auto"/>
        </w:rPr>
      </w:pPr>
      <w:r>
        <w:rPr>
          <w:rFonts w:ascii="Arial" w:cs="Arial" w:eastAsia="Arial" w:hAnsi="Arial"/>
          <w:sz w:val="18"/>
          <w:szCs w:val="18"/>
          <w:color w:val="auto"/>
        </w:rPr>
        <w:t>The following table summarizes the inputs used to value the Company’s debt obligations if measured at fair value as of September 30, 2020 and December 31, 2019.</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Fair Value</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3"/>
              </w:rPr>
              <w:t>Valuation Inputs</w:t>
            </w:r>
          </w:p>
        </w:tc>
        <w:tc>
          <w:tcPr>
            <w:tcW w:w="5020" w:type="dxa"/>
            <w:vAlign w:val="bottom"/>
          </w:tcPr>
          <w:p>
            <w:pPr>
              <w:spacing w:after="0"/>
              <w:rPr>
                <w:sz w:val="10"/>
                <w:szCs w:val="10"/>
                <w:color w:val="auto"/>
              </w:rPr>
            </w:pPr>
          </w:p>
        </w:tc>
        <w:tc>
          <w:tcPr>
            <w:tcW w:w="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520" w:type="dxa"/>
            <w:vAlign w:val="bottom"/>
          </w:tcPr>
          <w:p>
            <w:pPr>
              <w:spacing w:after="0"/>
              <w:rPr>
                <w:sz w:val="10"/>
                <w:szCs w:val="10"/>
                <w:color w:val="auto"/>
              </w:rPr>
            </w:pPr>
          </w:p>
        </w:tc>
        <w:tc>
          <w:tcPr>
            <w:tcW w:w="8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4"/>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40" w:type="dxa"/>
            <w:vAlign w:val="bottom"/>
            <w:tcBorders>
              <w:bottom w:val="single" w:sz="8" w:color="auto"/>
            </w:tcBorders>
            <w:vMerge w:val="continue"/>
          </w:tcPr>
          <w:p>
            <w:pPr>
              <w:spacing w:after="0"/>
              <w:rPr>
                <w:sz w:val="15"/>
                <w:szCs w:val="15"/>
                <w:color w:val="auto"/>
              </w:rPr>
            </w:pPr>
          </w:p>
        </w:tc>
        <w:tc>
          <w:tcPr>
            <w:tcW w:w="5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ind w:left="100"/>
              <w:spacing w:after="0" w:line="157"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74"/>
              <w:spacing w:after="0" w:line="157"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Level 1</w:t>
            </w:r>
          </w:p>
        </w:tc>
        <w:tc>
          <w:tcPr>
            <w:tcW w:w="50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100"/>
              <w:spacing w:after="0" w:line="202" w:lineRule="exact"/>
              <w:rPr>
                <w:sz w:val="20"/>
                <w:szCs w:val="20"/>
                <w:color w:val="auto"/>
              </w:rPr>
            </w:pPr>
            <w:r>
              <w:rPr>
                <w:rFonts w:ascii="Arial" w:cs="Arial" w:eastAsia="Arial" w:hAnsi="Arial"/>
                <w:sz w:val="18"/>
                <w:szCs w:val="18"/>
                <w:color w:val="auto"/>
                <w:w w:val="86"/>
              </w:rPr>
              <w:t>178,838</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189,470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40" w:type="dxa"/>
            <w:vAlign w:val="bottom"/>
          </w:tcPr>
          <w:p>
            <w:pPr>
              <w:spacing w:after="0"/>
              <w:rPr>
                <w:sz w:val="20"/>
                <w:szCs w:val="20"/>
                <w:color w:val="auto"/>
              </w:rPr>
            </w:pPr>
            <w:r>
              <w:rPr>
                <w:rFonts w:ascii="Arial" w:cs="Arial" w:eastAsia="Arial" w:hAnsi="Arial"/>
                <w:sz w:val="18"/>
                <w:szCs w:val="18"/>
                <w:color w:val="auto"/>
              </w:rPr>
              <w:t>Level 2</w:t>
            </w:r>
          </w:p>
        </w:tc>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Level 3</w:t>
            </w:r>
          </w:p>
        </w:tc>
        <w:tc>
          <w:tcPr>
            <w:tcW w:w="5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170,000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182,500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Total</w:t>
            </w:r>
          </w:p>
        </w:tc>
        <w:tc>
          <w:tcPr>
            <w:tcW w:w="50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6"/>
              </w:rPr>
              <w:t>348,838</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371,970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Related Party Transactions</w:t>
      </w:r>
    </w:p>
    <w:p>
      <w:pPr>
        <w:spacing w:after="0" w:line="120" w:lineRule="exact"/>
        <w:rPr>
          <w:sz w:val="20"/>
          <w:szCs w:val="20"/>
          <w:color w:val="auto"/>
        </w:rPr>
      </w:pPr>
    </w:p>
    <w:p>
      <w:pPr>
        <w:ind w:left="120" w:right="120" w:firstLine="439"/>
        <w:spacing w:after="0" w:line="301" w:lineRule="auto"/>
        <w:rPr>
          <w:sz w:val="20"/>
          <w:szCs w:val="20"/>
          <w:color w:val="auto"/>
        </w:rPr>
      </w:pPr>
      <w:r>
        <w:rPr>
          <w:rFonts w:ascii="Arial" w:cs="Arial" w:eastAsia="Arial" w:hAnsi="Arial"/>
          <w:sz w:val="16"/>
          <w:szCs w:val="16"/>
          <w:i w:val="1"/>
          <w:iCs w:val="1"/>
          <w:color w:val="auto"/>
        </w:rPr>
        <w:t xml:space="preserve">Investment Advisory Agreement: </w:t>
      </w:r>
      <w:r>
        <w:rPr>
          <w:rFonts w:ascii="Arial" w:cs="Arial" w:eastAsia="Arial" w:hAnsi="Arial"/>
          <w:sz w:val="16"/>
          <w:szCs w:val="16"/>
          <w:color w:val="auto"/>
        </w:rPr>
        <w:t>The Company has entered into an Investment Advisory Agreement with the Investment Advisor. On June 4,</w:t>
      </w:r>
      <w:r>
        <w:rPr>
          <w:rFonts w:ascii="Arial" w:cs="Arial" w:eastAsia="Arial" w:hAnsi="Arial"/>
          <w:sz w:val="16"/>
          <w:szCs w:val="16"/>
          <w:i w:val="1"/>
          <w:iCs w:val="1"/>
          <w:color w:val="auto"/>
        </w:rPr>
        <w:t xml:space="preserve"> </w:t>
      </w:r>
      <w:r>
        <w:rPr>
          <w:rFonts w:ascii="Arial" w:cs="Arial" w:eastAsia="Arial" w:hAnsi="Arial"/>
          <w:sz w:val="16"/>
          <w:szCs w:val="16"/>
          <w:color w:val="auto"/>
        </w:rPr>
        <w:t>2020, the Board approved the renewal of the Investment Advisory Agreement through June 20, 2021.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54" w:lineRule="exact"/>
        <w:rPr>
          <w:sz w:val="20"/>
          <w:szCs w:val="20"/>
          <w:color w:val="auto"/>
        </w:rPr>
      </w:pPr>
    </w:p>
    <w:p>
      <w:pPr>
        <w:ind w:left="120" w:right="80" w:firstLine="439"/>
        <w:spacing w:after="0" w:line="296" w:lineRule="auto"/>
        <w:rPr>
          <w:sz w:val="20"/>
          <w:szCs w:val="20"/>
          <w:color w:val="auto"/>
        </w:rPr>
      </w:pPr>
      <w:r>
        <w:rPr>
          <w:rFonts w:ascii="Arial" w:cs="Arial" w:eastAsia="Arial" w:hAnsi="Arial"/>
          <w:sz w:val="16"/>
          <w:szCs w:val="16"/>
          <w:color w:val="auto"/>
        </w:rPr>
        <w:t>The base management fee is calculated at an annual rate of 1.75% based on the average value of total assets (other than cash or cash equivalents but including assets purchased with borrowed amounts) at the end of the two most recently completed calendar quarters. The base management fee is payable quarterly in arrears. The base management fee under the Investment Advisory Agreement was $3,223 and $9,688 for the three and nine months ended September 30, 2020, respectively and $3,179 and $9,066, for the three and nine months ended September 30, 2019, respectively. As of September 30, 2020 and December 31, 2019, the base management fee payable was $3,224 and $3,334, respectively.</w:t>
      </w:r>
    </w:p>
    <w:p>
      <w:pPr>
        <w:spacing w:after="0" w:line="158" w:lineRule="exact"/>
        <w:rPr>
          <w:sz w:val="20"/>
          <w:szCs w:val="20"/>
          <w:color w:val="auto"/>
        </w:rPr>
      </w:pPr>
    </w:p>
    <w:p>
      <w:pPr>
        <w:ind w:left="120" w:firstLine="439"/>
        <w:spacing w:after="0" w:line="288" w:lineRule="auto"/>
        <w:rPr>
          <w:sz w:val="20"/>
          <w:szCs w:val="20"/>
          <w:color w:val="auto"/>
        </w:rPr>
      </w:pPr>
      <w:r>
        <w:rPr>
          <w:rFonts w:ascii="Arial" w:cs="Arial" w:eastAsia="Arial" w:hAnsi="Arial"/>
          <w:sz w:val="16"/>
          <w:szCs w:val="16"/>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debt instruments with PIK income, preferred stock with PIK dividends and zero-coupon securities), accrued income the Company has not yet received in cash. The Investment Advisor is not under any obligation to reimburse the Company for any part of the incentive fee it receives that was based on accrued interest that the Company never collects.</w:t>
      </w:r>
    </w:p>
    <w:p>
      <w:pPr>
        <w:sectPr>
          <w:pgSz w:w="11900" w:h="16838" w:orient="portrait"/>
          <w:cols w:equalWidth="0" w:num="1">
            <w:col w:w="11100"/>
          </w:cols>
          <w:pgMar w:left="320" w:top="458" w:right="479" w:bottom="1440" w:gutter="0" w:footer="0" w:header="0"/>
        </w:sectPr>
      </w:pP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00"/>
          </w:cols>
          <w:pgMar w:left="320" w:top="458" w:right="47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ind w:left="120" w:right="40" w:firstLine="439"/>
        <w:spacing w:after="0" w:line="256" w:lineRule="auto"/>
        <w:rPr>
          <w:sz w:val="20"/>
          <w:szCs w:val="20"/>
          <w:color w:val="auto"/>
        </w:rPr>
      </w:pPr>
      <w:r>
        <w:rPr>
          <w:rFonts w:ascii="Arial" w:cs="Arial" w:eastAsia="Arial" w:hAnsi="Arial"/>
          <w:sz w:val="18"/>
          <w:szCs w:val="18"/>
          <w:color w:val="auto"/>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189" w:lineRule="exact"/>
        <w:rPr>
          <w:sz w:val="20"/>
          <w:szCs w:val="20"/>
          <w:color w:val="auto"/>
        </w:rPr>
      </w:pPr>
    </w:p>
    <w:p>
      <w:pPr>
        <w:ind w:left="120" w:right="40" w:firstLine="439"/>
        <w:spacing w:after="0" w:line="275" w:lineRule="auto"/>
        <w:rPr>
          <w:sz w:val="20"/>
          <w:szCs w:val="20"/>
          <w:color w:val="auto"/>
        </w:rPr>
      </w:pPr>
      <w:r>
        <w:rPr>
          <w:rFonts w:ascii="Arial" w:cs="Arial" w:eastAsia="Arial" w:hAnsi="Arial"/>
          <w:sz w:val="17"/>
          <w:szCs w:val="17"/>
          <w:color w:val="auto"/>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If market interest rates rise,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173" w:lineRule="exact"/>
        <w:rPr>
          <w:sz w:val="20"/>
          <w:szCs w:val="20"/>
          <w:color w:val="auto"/>
        </w:rPr>
      </w:pPr>
    </w:p>
    <w:p>
      <w:pPr>
        <w:ind w:left="120" w:right="260" w:firstLine="439"/>
        <w:spacing w:after="0" w:line="276" w:lineRule="auto"/>
        <w:rPr>
          <w:sz w:val="20"/>
          <w:szCs w:val="20"/>
          <w:color w:val="auto"/>
        </w:rPr>
      </w:pPr>
      <w:r>
        <w:rPr>
          <w:rFonts w:ascii="Arial" w:cs="Arial" w:eastAsia="Arial" w:hAnsi="Arial"/>
          <w:sz w:val="18"/>
          <w:szCs w:val="18"/>
          <w:color w:val="auto"/>
        </w:rPr>
        <w:t>The Company pays the Investment Advisor an incentive fee with respect to pre-incentive fee net investment income in each calendar quarter as follows:</w:t>
      </w:r>
    </w:p>
    <w:p>
      <w:pPr>
        <w:spacing w:after="0" w:line="197" w:lineRule="exact"/>
        <w:rPr>
          <w:sz w:val="20"/>
          <w:szCs w:val="20"/>
          <w:color w:val="auto"/>
        </w:rPr>
      </w:pPr>
    </w:p>
    <w:p>
      <w:pPr>
        <w:ind w:left="1100" w:hanging="432"/>
        <w:spacing w:after="0"/>
        <w:tabs>
          <w:tab w:leader="none" w:pos="11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the pre-incentive fee net investment income does not exceed the hurdle rate of 2.0%;</w:t>
      </w:r>
    </w:p>
    <w:p>
      <w:pPr>
        <w:spacing w:after="0" w:line="152" w:lineRule="exact"/>
        <w:rPr>
          <w:rFonts w:ascii="Arial" w:cs="Arial" w:eastAsia="Arial" w:hAnsi="Arial"/>
          <w:sz w:val="16"/>
          <w:szCs w:val="16"/>
          <w:color w:val="auto"/>
        </w:rPr>
      </w:pPr>
    </w:p>
    <w:p>
      <w:pPr>
        <w:ind w:left="1100" w:hanging="432"/>
        <w:spacing w:after="0" w:line="256"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94" w:lineRule="exact"/>
        <w:rPr>
          <w:rFonts w:ascii="Arial" w:cs="Arial" w:eastAsia="Arial" w:hAnsi="Arial"/>
          <w:sz w:val="18"/>
          <w:szCs w:val="18"/>
          <w:color w:val="auto"/>
        </w:rPr>
      </w:pPr>
    </w:p>
    <w:p>
      <w:pPr>
        <w:ind w:left="1100" w:hanging="432"/>
        <w:spacing w:after="0"/>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20.0% of the amount of the Company’s pre-incentive fee net investment income, if any, that exceeds 2.5% in any calendar quarter.</w:t>
      </w:r>
    </w:p>
    <w:p>
      <w:pPr>
        <w:spacing w:after="0" w:line="236" w:lineRule="exact"/>
        <w:rPr>
          <w:sz w:val="20"/>
          <w:szCs w:val="20"/>
          <w:color w:val="auto"/>
        </w:rPr>
      </w:pPr>
    </w:p>
    <w:p>
      <w:pPr>
        <w:ind w:left="120" w:right="140" w:firstLine="439"/>
        <w:spacing w:after="0" w:line="271" w:lineRule="auto"/>
        <w:rPr>
          <w:sz w:val="20"/>
          <w:szCs w:val="20"/>
          <w:color w:val="auto"/>
        </w:rPr>
      </w:pPr>
      <w:r>
        <w:rPr>
          <w:rFonts w:ascii="Arial" w:cs="Arial" w:eastAsia="Arial" w:hAnsi="Arial"/>
          <w:sz w:val="17"/>
          <w:szCs w:val="17"/>
          <w:color w:val="auto"/>
        </w:rPr>
        <w:t>The sum of the calculations above equals the income incentive fee. The income incentive fee is appropriately prorated for any period of less than three months and adjusted for any share issuances or repurchases during the calendar quarter. The income incentive fee was $2,374 and $6,342, for the three and nine months ended September 30, 2020, respectively, and $2,163 and $5,947, for the three and nine months ended September 30, 2019, respectively. The Investment Advisor, in consultation with the Board, agreed to voluntarily waive $423 of the income incentive fee for the nine months ended September 30, 2020. There was no income incentive fee waiver for the three months ended September 30, 2020. There was no income incentive fee waiver for the three and nine months ended September 30, 2019. As of September 30, 2020 and December 31, 2019, the income incentive fee payable was $2,374 and $1,497, respectively.</w:t>
      </w:r>
    </w:p>
    <w:p>
      <w:pPr>
        <w:spacing w:after="0" w:line="179" w:lineRule="exact"/>
        <w:rPr>
          <w:sz w:val="20"/>
          <w:szCs w:val="20"/>
          <w:color w:val="auto"/>
        </w:rPr>
      </w:pPr>
    </w:p>
    <w:p>
      <w:pPr>
        <w:ind w:left="120" w:right="40" w:firstLine="439"/>
        <w:spacing w:after="0" w:line="283" w:lineRule="auto"/>
        <w:rPr>
          <w:sz w:val="20"/>
          <w:szCs w:val="20"/>
          <w:color w:val="auto"/>
        </w:rPr>
      </w:pPr>
      <w:r>
        <w:rPr>
          <w:rFonts w:ascii="Arial" w:cs="Arial" w:eastAsia="Arial" w:hAnsi="Arial"/>
          <w:sz w:val="16"/>
          <w:szCs w:val="16"/>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Formation Transactions (realized capital gains and losses include realized gains and losses on investments, net of income tax provision from realized gains on investments, and realized losses on extinguishment of debt),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w:t>
      </w:r>
    </w:p>
    <w:p>
      <w:pPr>
        <w:spacing w:after="0" w:line="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20.0% of such amount, less the aggregate amount of any capital gains incentive fees paid in all prior years. As of September 30, 2020 and December 31, 2019, the capital gains incentive fee payable in cash was $0 (as cumulative aggregate realized capital gains and losses on investments plus aggregate unrealized capital depreciation on investments plus realized losses on extinguishment of debt was negative as of each period). The aggregate amount of capital gains incentive fees paid from the IPO through September 30, 2020 was $348.</w:t>
      </w:r>
    </w:p>
    <w:p>
      <w:pPr>
        <w:spacing w:after="0" w:line="177" w:lineRule="exact"/>
        <w:rPr>
          <w:sz w:val="20"/>
          <w:szCs w:val="20"/>
          <w:color w:val="auto"/>
        </w:rPr>
      </w:pPr>
    </w:p>
    <w:p>
      <w:pPr>
        <w:ind w:left="120" w:right="80" w:firstLine="439"/>
        <w:spacing w:after="0" w:line="285" w:lineRule="auto"/>
        <w:rPr>
          <w:sz w:val="20"/>
          <w:szCs w:val="20"/>
          <w:color w:val="auto"/>
        </w:rPr>
      </w:pPr>
      <w:r>
        <w:rPr>
          <w:rFonts w:ascii="Arial" w:cs="Arial" w:eastAsia="Arial" w:hAnsi="Arial"/>
          <w:sz w:val="16"/>
          <w:szCs w:val="16"/>
          <w:color w:val="auto"/>
        </w:rPr>
        <w:t>In addition, the Company accrues, but does not pay in cash, a capital gains incentive fee in connection with any unrealized capital appreciation on investments, as applicable. If, on a cumulative basis, the sum of (i) net realized gains/(losses)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w:t>
      </w:r>
    </w:p>
    <w:p>
      <w:pPr>
        <w:spacing w:after="0" w:line="3" w:lineRule="exact"/>
        <w:rPr>
          <w:sz w:val="20"/>
          <w:szCs w:val="20"/>
          <w:color w:val="auto"/>
        </w:rPr>
      </w:pPr>
    </w:p>
    <w:p>
      <w:pPr>
        <w:ind w:left="120" w:right="140" w:firstLine="9"/>
        <w:spacing w:after="0" w:line="272" w:lineRule="auto"/>
        <w:tabs>
          <w:tab w:leader="none" w:pos="334"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net realized gains/(losses) on investments plus (ii) net unrealized appreciation/(depreciation) on investments plus (iii) realized losses on extinguishment of debt. The capital gains incentive fee accrued (reversed) during the three and nine months ended September 30, 2020 was $2,761 and $(6,380) respectively, and $1,307 and $373 for the three and nine months ended September 30, 2019, respectively. As of September 30, 2020 and December 31, 2019, the accrued capital gains incentive fee payable was $6,335 and $12,715, respectively.</w:t>
      </w:r>
    </w:p>
    <w:p>
      <w:pPr>
        <w:sectPr>
          <w:pgSz w:w="11900" w:h="16838" w:orient="portrait"/>
          <w:cols w:equalWidth="0" w:num="1">
            <w:col w:w="11120"/>
          </w:cols>
          <w:pgMar w:left="320" w:top="458" w:right="459" w:bottom="1440" w:gutter="0" w:footer="0" w:header="0"/>
        </w:sectPr>
      </w:pP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20"/>
          </w:cols>
          <w:pgMar w:left="320" w:top="458" w:right="4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ind w:left="120" w:right="120" w:firstLine="439"/>
        <w:spacing w:after="0" w:line="293" w:lineRule="auto"/>
        <w:rPr>
          <w:sz w:val="20"/>
          <w:szCs w:val="20"/>
          <w:color w:val="auto"/>
        </w:rPr>
      </w:pPr>
      <w:r>
        <w:rPr>
          <w:rFonts w:ascii="Arial" w:cs="Arial" w:eastAsia="Arial" w:hAnsi="Arial"/>
          <w:sz w:val="16"/>
          <w:szCs w:val="16"/>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holders of a majority of the Company’s outstanding voting securities may also terminate the Investment Advisory Agreement without penalty.</w:t>
      </w:r>
    </w:p>
    <w:p>
      <w:pPr>
        <w:spacing w:after="0" w:line="161" w:lineRule="exact"/>
        <w:rPr>
          <w:sz w:val="20"/>
          <w:szCs w:val="20"/>
          <w:color w:val="auto"/>
        </w:rPr>
      </w:pPr>
    </w:p>
    <w:p>
      <w:pPr>
        <w:ind w:left="120" w:right="60" w:firstLine="439"/>
        <w:spacing w:after="0" w:line="268" w:lineRule="auto"/>
        <w:rPr>
          <w:sz w:val="20"/>
          <w:szCs w:val="20"/>
          <w:color w:val="auto"/>
        </w:rPr>
      </w:pPr>
      <w:r>
        <w:rPr>
          <w:rFonts w:ascii="Arial" w:cs="Arial" w:eastAsia="Arial" w:hAnsi="Arial"/>
          <w:sz w:val="17"/>
          <w:szCs w:val="17"/>
          <w:i w:val="1"/>
          <w:iCs w:val="1"/>
          <w:color w:val="auto"/>
        </w:rPr>
        <w:t xml:space="preserve">Administration Agreement: </w:t>
      </w:r>
      <w:r>
        <w:rPr>
          <w:rFonts w:ascii="Arial" w:cs="Arial" w:eastAsia="Arial" w:hAnsi="Arial"/>
          <w:sz w:val="17"/>
          <w:szCs w:val="17"/>
          <w:color w:val="auto"/>
        </w:rPr>
        <w:t>The Company also entered into an administration agreement (the “Administration Agreement”) with the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Advisor. On June 4, 2020, the Board approved the renewal of the Administration Agreement through June 20, 2021.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to which the Company is required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Arial" w:cs="Arial" w:eastAsia="Arial" w:hAnsi="Arial"/>
          <w:sz w:val="17"/>
          <w:szCs w:val="17"/>
          <w:i w:val="1"/>
          <w:iCs w:val="1"/>
          <w:color w:val="auto"/>
        </w:rPr>
        <w:t>.</w:t>
      </w:r>
      <w:r>
        <w:rPr>
          <w:rFonts w:ascii="Arial" w:cs="Arial" w:eastAsia="Arial" w:hAnsi="Arial"/>
          <w:sz w:val="17"/>
          <w:szCs w:val="17"/>
          <w:color w:val="auto"/>
        </w:rPr>
        <w:t xml:space="preserve"> Under the Administration Agreement, administrative service expenses for the three and nine months ended September 30, 2020 were $412 and $1,242, respectively, and $422 and $1,199 for the three and nine months ended September 30, 2019. As of September 30, 2020 and December 31, 2019, the accrued administrative service expense payable was $554 and $528, respectively.</w:t>
      </w:r>
    </w:p>
    <w:p>
      <w:pPr>
        <w:spacing w:after="0" w:line="179" w:lineRule="exact"/>
        <w:rPr>
          <w:sz w:val="20"/>
          <w:szCs w:val="20"/>
          <w:color w:val="auto"/>
        </w:rPr>
      </w:pPr>
    </w:p>
    <w:p>
      <w:pPr>
        <w:ind w:left="120" w:right="60" w:firstLine="439"/>
        <w:spacing w:after="0" w:line="275" w:lineRule="auto"/>
        <w:rPr>
          <w:sz w:val="20"/>
          <w:szCs w:val="20"/>
          <w:color w:val="auto"/>
        </w:rPr>
      </w:pPr>
      <w:r>
        <w:rPr>
          <w:rFonts w:ascii="Arial" w:cs="Arial" w:eastAsia="Arial" w:hAnsi="Arial"/>
          <w:sz w:val="17"/>
          <w:szCs w:val="17"/>
          <w:i w:val="1"/>
          <w:iCs w:val="1"/>
          <w:color w:val="auto"/>
        </w:rPr>
        <w:t>Fidus Equity Fund I, L.P.</w:t>
      </w:r>
      <w:r>
        <w:rPr>
          <w:rFonts w:ascii="Arial" w:cs="Arial" w:eastAsia="Arial" w:hAnsi="Arial"/>
          <w:sz w:val="17"/>
          <w:szCs w:val="17"/>
          <w:color w:val="auto"/>
        </w:rPr>
        <w:t>: On February 25, 2020, the Company entered into a Limited Partnership Agreement (the “Agreement”) with Fidus</w:t>
      </w:r>
      <w:r>
        <w:rPr>
          <w:rFonts w:ascii="Arial" w:cs="Arial" w:eastAsia="Arial" w:hAnsi="Arial"/>
          <w:sz w:val="17"/>
          <w:szCs w:val="17"/>
          <w:i w:val="1"/>
          <w:iCs w:val="1"/>
          <w:color w:val="auto"/>
        </w:rPr>
        <w:t xml:space="preserve"> </w:t>
      </w:r>
      <w:r>
        <w:rPr>
          <w:rFonts w:ascii="Arial" w:cs="Arial" w:eastAsia="Arial" w:hAnsi="Arial"/>
          <w:sz w:val="17"/>
          <w:szCs w:val="17"/>
          <w:color w:val="auto"/>
        </w:rPr>
        <w:t>Equity Fund I, L.P. (“FEF I”). Pursuant to the Agreement, the Company will serve as the General Partner of FEF I. Owned by third-party investors, FEF I was formed to purchase 50% of select equity investments from the Company. On February 25, 2020, the Company sold 50% of its equity investments in 20 portfolio companies to FEF I and received net proceeds of $35,903, resulting in a realized gain, net of estimated taxes, of $20,404. The Company will not receive any fees from FEF I for any services provided in its capacity as the General Partner of FEF I.</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Debt</w:t>
      </w:r>
    </w:p>
    <w:p>
      <w:pPr>
        <w:spacing w:after="0" w:line="120" w:lineRule="exact"/>
        <w:rPr>
          <w:sz w:val="20"/>
          <w:szCs w:val="20"/>
          <w:color w:val="auto"/>
        </w:rPr>
      </w:pPr>
    </w:p>
    <w:p>
      <w:pPr>
        <w:ind w:left="120" w:firstLine="439"/>
        <w:spacing w:after="0" w:line="269" w:lineRule="auto"/>
        <w:rPr>
          <w:sz w:val="20"/>
          <w:szCs w:val="20"/>
          <w:color w:val="auto"/>
        </w:rPr>
      </w:pPr>
      <w:r>
        <w:rPr>
          <w:rFonts w:ascii="Arial" w:cs="Arial" w:eastAsia="Arial" w:hAnsi="Arial"/>
          <w:sz w:val="17"/>
          <w:szCs w:val="17"/>
          <w:i w:val="1"/>
          <w:iCs w:val="1"/>
          <w:color w:val="auto"/>
        </w:rPr>
        <w:t>Revolving Credit Facility</w:t>
      </w:r>
      <w:r>
        <w:rPr>
          <w:rFonts w:ascii="Arial" w:cs="Arial" w:eastAsia="Arial" w:hAnsi="Arial"/>
          <w:sz w:val="17"/>
          <w:szCs w:val="17"/>
          <w:color w:val="auto"/>
        </w:rPr>
        <w:t>: On June 16, 2014, FIC entered into a senior secured revolving credit agreement (the “Credit Facility”) with ING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LLC (“ING”), as the administrative agent, collateral agent, and lender. The Credit Facility is secured by certain portfolio investments held by the Company, but portfolio investments held by the Funds are not collateral for the Credit Facility. On April 24, 2019, the Company entered into an Amended &amp; Restated Senior Secured Revolving Credit Agreement (the “Amended Credit Agreement”) among the Company, as borrower, the lenders party thereto, and ING Capital LLC, as administrative agent. The Amended Credit Agreement amends, restates, and replaces the Credit Facility. On June 26, 2020, the Company amended the Amended Credit Agreement, however the material terms were unchanged. Among other revisions, the amendment to the Amended Credit Agreement modifies certain covenants therein, including to amend the minimum consolidated interest coverage ratio to be 2.25 to 1.00 for the four quarter period ending on June 30, 2020, 2.00 to 1.00 for the four quarter periods ending on each of September 30, 2020 and December 31, 2020, and 1.75 to 1.00 for each four quarter period ending at the end of each quarter thereafter.</w:t>
      </w:r>
    </w:p>
    <w:p>
      <w:pPr>
        <w:spacing w:after="0" w:line="183" w:lineRule="exact"/>
        <w:rPr>
          <w:sz w:val="20"/>
          <w:szCs w:val="20"/>
          <w:color w:val="auto"/>
        </w:rPr>
      </w:pPr>
    </w:p>
    <w:p>
      <w:pPr>
        <w:ind w:left="120" w:right="200" w:firstLine="439"/>
        <w:spacing w:after="0" w:line="283" w:lineRule="auto"/>
        <w:rPr>
          <w:sz w:val="20"/>
          <w:szCs w:val="20"/>
          <w:color w:val="auto"/>
        </w:rPr>
      </w:pPr>
      <w:r>
        <w:rPr>
          <w:rFonts w:ascii="Arial" w:cs="Arial" w:eastAsia="Arial" w:hAnsi="Arial"/>
          <w:sz w:val="16"/>
          <w:szCs w:val="16"/>
          <w:color w:val="auto"/>
        </w:rPr>
        <w:t>Under the Amended Credit Agreement, (i) revolving commitments by lenders were increased from $90,000 to $100,000, with an accordion feature that allows for an increase in total commitments up to $250,000,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w:t>
      </w:r>
    </w:p>
    <w:p>
      <w:pPr>
        <w:spacing w:after="0" w:line="3" w:lineRule="exact"/>
        <w:rPr>
          <w:sz w:val="20"/>
          <w:szCs w:val="20"/>
          <w:color w:val="auto"/>
        </w:rPr>
      </w:pPr>
    </w:p>
    <w:p>
      <w:pPr>
        <w:ind w:left="120" w:right="60" w:firstLine="9"/>
        <w:spacing w:after="0" w:line="291" w:lineRule="auto"/>
        <w:tabs>
          <w:tab w:leader="none" w:pos="40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three month LIBOR plus 1.0%, and (D) zero. The Company pays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(on a regulatory basis). The Credit Facility is secured by a first priority security interest in all of our assets, excluding the assets of our SBIC subsidiaries.</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8"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ind w:left="120" w:right="160" w:firstLine="439"/>
        <w:spacing w:after="0" w:line="301" w:lineRule="auto"/>
        <w:rPr>
          <w:sz w:val="20"/>
          <w:szCs w:val="20"/>
          <w:color w:val="auto"/>
        </w:rPr>
      </w:pPr>
      <w:r>
        <w:rPr>
          <w:rFonts w:ascii="Arial" w:cs="Arial" w:eastAsia="Arial" w:hAnsi="Arial"/>
          <w:sz w:val="16"/>
          <w:szCs w:val="16"/>
          <w:color w:val="auto"/>
        </w:rPr>
        <w:t>Amounts available to borrow under the Credit Facility are subject to a minimum borrowing/collateral base that applies an advance rate to certain investments held by the Company, excluding investments held by the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54" w:lineRule="exact"/>
        <w:rPr>
          <w:sz w:val="20"/>
          <w:szCs w:val="20"/>
          <w:color w:val="auto"/>
        </w:rPr>
      </w:pPr>
    </w:p>
    <w:p>
      <w:pPr>
        <w:ind w:left="120" w:right="180" w:firstLine="439"/>
        <w:spacing w:after="0" w:line="258" w:lineRule="auto"/>
        <w:rPr>
          <w:sz w:val="20"/>
          <w:szCs w:val="20"/>
          <w:color w:val="auto"/>
        </w:rPr>
      </w:pPr>
      <w:r>
        <w:rPr>
          <w:rFonts w:ascii="Arial" w:cs="Arial" w:eastAsia="Arial" w:hAnsi="Arial"/>
          <w:sz w:val="18"/>
          <w:szCs w:val="18"/>
          <w:color w:val="auto"/>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September 30, 2020 and December 31, 2019, the Company was in compliance in all material respect with the terms of the Credit Facility.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SBA debentures: </w:t>
      </w:r>
      <w:r>
        <w:rPr>
          <w:rFonts w:ascii="Arial" w:cs="Arial" w:eastAsia="Arial" w:hAnsi="Arial"/>
          <w:sz w:val="18"/>
          <w:szCs w:val="18"/>
          <w:color w:val="auto"/>
        </w:rPr>
        <w:t>The Company uses debenture leverage provided through the SBA to fund a portion of its investment purchases.</w:t>
      </w:r>
    </w:p>
    <w:p>
      <w:pPr>
        <w:spacing w:after="0" w:line="224" w:lineRule="exact"/>
        <w:rPr>
          <w:sz w:val="20"/>
          <w:szCs w:val="20"/>
          <w:color w:val="auto"/>
        </w:rPr>
      </w:pPr>
    </w:p>
    <w:p>
      <w:pPr>
        <w:ind w:left="120" w:firstLine="439"/>
        <w:spacing w:after="0" w:line="275" w:lineRule="auto"/>
        <w:rPr>
          <w:sz w:val="20"/>
          <w:szCs w:val="20"/>
          <w:color w:val="auto"/>
        </w:rPr>
      </w:pPr>
      <w:r>
        <w:rPr>
          <w:rFonts w:ascii="Arial" w:cs="Arial" w:eastAsia="Arial" w:hAnsi="Arial"/>
          <w:sz w:val="17"/>
          <w:szCs w:val="17"/>
          <w:color w:val="auto"/>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September 30, 2020 and December 31, 2019, approved and unused SBA debenture commitments were $11,500 and $17,500, respectively. The SBA may limit the amount that may be drawn each year under these commitments, and each issuance of leverage is conditioned on the Company’s full compliance, as determined by the SBA, with the terms and conditions set forth in the SBIC Act.</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30, 2020 and December 31, 2019, the Company’s issued and outstanding SBA debentures mature as follows: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Pooling</w:t>
            </w:r>
          </w:p>
        </w:tc>
        <w:tc>
          <w:tcPr>
            <w:tcW w:w="24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Maturity</w:t>
            </w:r>
          </w:p>
        </w:tc>
        <w:tc>
          <w:tcPr>
            <w:tcW w:w="2420" w:type="dxa"/>
            <w:vAlign w:val="bottom"/>
            <w:gridSpan w:val="2"/>
          </w:tcPr>
          <w:p>
            <w:pPr>
              <w:jc w:val="center"/>
              <w:ind w:right="1920"/>
              <w:spacing w:after="0"/>
              <w:rPr>
                <w:sz w:val="20"/>
                <w:szCs w:val="20"/>
                <w:color w:val="auto"/>
              </w:rPr>
            </w:pPr>
            <w:r>
              <w:rPr>
                <w:rFonts w:ascii="Arial" w:cs="Arial" w:eastAsia="Arial" w:hAnsi="Arial"/>
                <w:sz w:val="14"/>
                <w:szCs w:val="14"/>
                <w:b w:val="1"/>
                <w:bCs w:val="1"/>
                <w:color w:val="auto"/>
                <w:w w:val="92"/>
              </w:rPr>
              <w:t>Fixed</w:t>
            </w:r>
          </w:p>
        </w:tc>
        <w:tc>
          <w:tcPr>
            <w:tcW w:w="20" w:type="dxa"/>
            <w:vAlign w:val="bottom"/>
          </w:tcPr>
          <w:p>
            <w:pPr>
              <w:spacing w:after="0"/>
              <w:rPr>
                <w:sz w:val="14"/>
                <w:szCs w:val="14"/>
                <w:color w:val="auto"/>
              </w:rPr>
            </w:pPr>
          </w:p>
        </w:tc>
        <w:tc>
          <w:tcPr>
            <w:tcW w:w="26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8"/>
        </w:trPr>
        <w:tc>
          <w:tcPr>
            <w:tcW w:w="2560" w:type="dxa"/>
            <w:vAlign w:val="bottom"/>
            <w:gridSpan w:val="2"/>
            <w:vMerge w:val="continue"/>
          </w:tcPr>
          <w:p>
            <w:pPr>
              <w:spacing w:after="0"/>
              <w:rPr>
                <w:sz w:val="12"/>
                <w:szCs w:val="12"/>
                <w:color w:val="auto"/>
              </w:rPr>
            </w:pPr>
          </w:p>
        </w:tc>
        <w:tc>
          <w:tcPr>
            <w:tcW w:w="2480" w:type="dxa"/>
            <w:vAlign w:val="bottom"/>
            <w:gridSpan w:val="2"/>
            <w:vMerge w:val="continue"/>
          </w:tcPr>
          <w:p>
            <w:pPr>
              <w:spacing w:after="0"/>
              <w:rPr>
                <w:sz w:val="12"/>
                <w:szCs w:val="12"/>
                <w:color w:val="auto"/>
              </w:rPr>
            </w:pPr>
          </w:p>
        </w:tc>
        <w:tc>
          <w:tcPr>
            <w:tcW w:w="2420" w:type="dxa"/>
            <w:vAlign w:val="bottom"/>
            <w:gridSpan w:val="2"/>
          </w:tcPr>
          <w:p>
            <w:pPr>
              <w:jc w:val="center"/>
              <w:ind w:right="1920"/>
              <w:spacing w:after="0" w:line="148" w:lineRule="exact"/>
              <w:rPr>
                <w:sz w:val="20"/>
                <w:szCs w:val="20"/>
                <w:color w:val="auto"/>
              </w:rPr>
            </w:pPr>
            <w:r>
              <w:rPr>
                <w:rFonts w:ascii="Arial" w:cs="Arial" w:eastAsia="Arial" w:hAnsi="Arial"/>
                <w:sz w:val="14"/>
                <w:szCs w:val="14"/>
                <w:b w:val="1"/>
                <w:bCs w:val="1"/>
                <w:color w:val="auto"/>
                <w:w w:val="90"/>
              </w:rPr>
              <w:t>Interest</w:t>
            </w:r>
          </w:p>
        </w:tc>
        <w:tc>
          <w:tcPr>
            <w:tcW w:w="20" w:type="dxa"/>
            <w:vAlign w:val="bottom"/>
          </w:tcPr>
          <w:p>
            <w:pPr>
              <w:spacing w:after="0"/>
              <w:rPr>
                <w:sz w:val="12"/>
                <w:szCs w:val="12"/>
                <w:color w:val="auto"/>
              </w:rPr>
            </w:pPr>
          </w:p>
        </w:tc>
        <w:tc>
          <w:tcPr>
            <w:tcW w:w="2640" w:type="dxa"/>
            <w:vAlign w:val="bottom"/>
            <w:gridSpan w:val="4"/>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xml:space="preserve">Date </w:t>
            </w:r>
            <w:r>
              <w:rPr>
                <w:rFonts w:ascii="Arial" w:cs="Arial" w:eastAsia="Arial" w:hAnsi="Arial"/>
                <w:sz w:val="12"/>
                <w:szCs w:val="12"/>
                <w:b w:val="1"/>
                <w:bCs w:val="1"/>
                <w:color w:val="auto"/>
              </w:rPr>
              <w:t>(1)</w:t>
            </w:r>
          </w:p>
        </w:tc>
        <w:tc>
          <w:tcPr>
            <w:tcW w:w="17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Date</w:t>
            </w:r>
          </w:p>
        </w:tc>
        <w:tc>
          <w:tcPr>
            <w:tcW w:w="17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9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9/24/2014</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9/1/2024</w:t>
            </w:r>
          </w:p>
        </w:tc>
        <w:tc>
          <w:tcPr>
            <w:tcW w:w="178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3.775%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gridSpan w:val="2"/>
          </w:tcPr>
          <w:p>
            <w:pPr>
              <w:ind w:left="80"/>
              <w:spacing w:after="0"/>
              <w:rPr>
                <w:sz w:val="20"/>
                <w:szCs w:val="20"/>
                <w:color w:val="auto"/>
              </w:rPr>
            </w:pPr>
            <w:r>
              <w:rPr>
                <w:rFonts w:ascii="Arial" w:cs="Arial" w:eastAsia="Arial" w:hAnsi="Arial"/>
                <w:sz w:val="18"/>
                <w:szCs w:val="18"/>
                <w:color w:val="auto"/>
              </w:rPr>
              <w:t>3/25/2015</w:t>
            </w:r>
          </w:p>
        </w:tc>
        <w:tc>
          <w:tcPr>
            <w:tcW w:w="2480" w:type="dxa"/>
            <w:vAlign w:val="bottom"/>
            <w:gridSpan w:val="2"/>
          </w:tcPr>
          <w:p>
            <w:pPr>
              <w:ind w:left="80"/>
              <w:spacing w:after="0"/>
              <w:rPr>
                <w:sz w:val="20"/>
                <w:szCs w:val="20"/>
                <w:color w:val="auto"/>
              </w:rPr>
            </w:pPr>
            <w:r>
              <w:rPr>
                <w:rFonts w:ascii="Arial" w:cs="Arial" w:eastAsia="Arial" w:hAnsi="Arial"/>
                <w:sz w:val="18"/>
                <w:szCs w:val="18"/>
                <w:color w:val="auto"/>
              </w:rPr>
              <w:t>3/1/2025</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3.277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22,500</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9/23/2015</w:t>
            </w:r>
          </w:p>
        </w:tc>
        <w:tc>
          <w:tcPr>
            <w:tcW w:w="2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9/1/2025</w:t>
            </w:r>
          </w:p>
        </w:tc>
        <w:tc>
          <w:tcPr>
            <w:tcW w:w="2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3.571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16,700</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16,700</w:t>
            </w:r>
          </w:p>
        </w:tc>
        <w:tc>
          <w:tcPr>
            <w:tcW w:w="0" w:type="dxa"/>
            <w:vAlign w:val="bottom"/>
          </w:tcPr>
          <w:p>
            <w:pPr>
              <w:spacing w:after="0"/>
              <w:rPr>
                <w:sz w:val="1"/>
                <w:szCs w:val="1"/>
                <w:color w:val="auto"/>
              </w:rPr>
            </w:pPr>
          </w:p>
        </w:tc>
      </w:tr>
      <w:tr>
        <w:trPr>
          <w:trHeight w:val="215"/>
        </w:trPr>
        <w:tc>
          <w:tcPr>
            <w:tcW w:w="2560" w:type="dxa"/>
            <w:vAlign w:val="bottom"/>
            <w:gridSpan w:val="2"/>
          </w:tcPr>
          <w:p>
            <w:pPr>
              <w:ind w:left="80"/>
              <w:spacing w:after="0"/>
              <w:rPr>
                <w:sz w:val="20"/>
                <w:szCs w:val="20"/>
                <w:color w:val="auto"/>
              </w:rPr>
            </w:pPr>
            <w:r>
              <w:rPr>
                <w:rFonts w:ascii="Arial" w:cs="Arial" w:eastAsia="Arial" w:hAnsi="Arial"/>
                <w:sz w:val="18"/>
                <w:szCs w:val="18"/>
                <w:color w:val="auto"/>
              </w:rPr>
              <w:t>3/23/2016</w:t>
            </w:r>
          </w:p>
        </w:tc>
        <w:tc>
          <w:tcPr>
            <w:tcW w:w="2480" w:type="dxa"/>
            <w:vAlign w:val="bottom"/>
            <w:gridSpan w:val="2"/>
          </w:tcPr>
          <w:p>
            <w:pPr>
              <w:ind w:left="80"/>
              <w:spacing w:after="0"/>
              <w:rPr>
                <w:sz w:val="20"/>
                <w:szCs w:val="20"/>
                <w:color w:val="auto"/>
              </w:rPr>
            </w:pPr>
            <w:r>
              <w:rPr>
                <w:rFonts w:ascii="Arial" w:cs="Arial" w:eastAsia="Arial" w:hAnsi="Arial"/>
                <w:sz w:val="18"/>
                <w:szCs w:val="18"/>
                <w:color w:val="auto"/>
              </w:rPr>
              <w:t>3/1/2026</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3.267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3/23/2016</w:t>
            </w:r>
          </w:p>
        </w:tc>
        <w:tc>
          <w:tcPr>
            <w:tcW w:w="2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3/1/2026</w:t>
            </w:r>
          </w:p>
        </w:tc>
        <w:tc>
          <w:tcPr>
            <w:tcW w:w="2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21,800</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15"/>
        </w:trPr>
        <w:tc>
          <w:tcPr>
            <w:tcW w:w="2560" w:type="dxa"/>
            <w:vAlign w:val="bottom"/>
            <w:gridSpan w:val="2"/>
          </w:tcPr>
          <w:p>
            <w:pPr>
              <w:ind w:left="80"/>
              <w:spacing w:after="0"/>
              <w:rPr>
                <w:sz w:val="20"/>
                <w:szCs w:val="20"/>
                <w:color w:val="auto"/>
              </w:rPr>
            </w:pPr>
            <w:r>
              <w:rPr>
                <w:rFonts w:ascii="Arial" w:cs="Arial" w:eastAsia="Arial" w:hAnsi="Arial"/>
                <w:sz w:val="18"/>
                <w:szCs w:val="18"/>
                <w:color w:val="auto"/>
              </w:rPr>
              <w:t>9/21/2016</w:t>
            </w:r>
          </w:p>
        </w:tc>
        <w:tc>
          <w:tcPr>
            <w:tcW w:w="2480" w:type="dxa"/>
            <w:vAlign w:val="bottom"/>
            <w:gridSpan w:val="2"/>
          </w:tcPr>
          <w:p>
            <w:pPr>
              <w:ind w:left="80"/>
              <w:spacing w:after="0"/>
              <w:rPr>
                <w:sz w:val="20"/>
                <w:szCs w:val="20"/>
                <w:color w:val="auto"/>
              </w:rPr>
            </w:pPr>
            <w:r>
              <w:rPr>
                <w:rFonts w:ascii="Arial" w:cs="Arial" w:eastAsia="Arial" w:hAnsi="Arial"/>
                <w:sz w:val="18"/>
                <w:szCs w:val="18"/>
                <w:color w:val="auto"/>
              </w:rPr>
              <w:t>9/1/2026</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2.793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3/29/2017</w:t>
            </w:r>
          </w:p>
        </w:tc>
        <w:tc>
          <w:tcPr>
            <w:tcW w:w="2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3/1/2027</w:t>
            </w:r>
          </w:p>
        </w:tc>
        <w:tc>
          <w:tcPr>
            <w:tcW w:w="2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3.587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5"/>
        </w:trPr>
        <w:tc>
          <w:tcPr>
            <w:tcW w:w="2560" w:type="dxa"/>
            <w:vAlign w:val="bottom"/>
            <w:gridSpan w:val="2"/>
          </w:tcPr>
          <w:p>
            <w:pPr>
              <w:ind w:left="80"/>
              <w:spacing w:after="0"/>
              <w:rPr>
                <w:sz w:val="20"/>
                <w:szCs w:val="20"/>
                <w:color w:val="auto"/>
              </w:rPr>
            </w:pPr>
            <w:r>
              <w:rPr>
                <w:rFonts w:ascii="Arial" w:cs="Arial" w:eastAsia="Arial" w:hAnsi="Arial"/>
                <w:sz w:val="18"/>
                <w:szCs w:val="18"/>
                <w:color w:val="auto"/>
              </w:rPr>
              <w:t>9/20/2017</w:t>
            </w:r>
          </w:p>
        </w:tc>
        <w:tc>
          <w:tcPr>
            <w:tcW w:w="2480" w:type="dxa"/>
            <w:vAlign w:val="bottom"/>
            <w:gridSpan w:val="2"/>
          </w:tcPr>
          <w:p>
            <w:pPr>
              <w:ind w:left="80"/>
              <w:spacing w:after="0"/>
              <w:rPr>
                <w:sz w:val="20"/>
                <w:szCs w:val="20"/>
                <w:color w:val="auto"/>
              </w:rPr>
            </w:pPr>
            <w:r>
              <w:rPr>
                <w:rFonts w:ascii="Arial" w:cs="Arial" w:eastAsia="Arial" w:hAnsi="Arial"/>
                <w:sz w:val="18"/>
                <w:szCs w:val="18"/>
                <w:color w:val="auto"/>
              </w:rPr>
              <w:t>9/1/2027</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3.260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9/20/2017</w:t>
            </w:r>
          </w:p>
        </w:tc>
        <w:tc>
          <w:tcPr>
            <w:tcW w:w="2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9/1/2027</w:t>
            </w:r>
          </w:p>
        </w:tc>
        <w:tc>
          <w:tcPr>
            <w:tcW w:w="2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3.190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33,000</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15"/>
        </w:trPr>
        <w:tc>
          <w:tcPr>
            <w:tcW w:w="2560" w:type="dxa"/>
            <w:vAlign w:val="bottom"/>
            <w:gridSpan w:val="2"/>
          </w:tcPr>
          <w:p>
            <w:pPr>
              <w:ind w:left="80"/>
              <w:spacing w:after="0"/>
              <w:rPr>
                <w:sz w:val="20"/>
                <w:szCs w:val="20"/>
                <w:color w:val="auto"/>
              </w:rPr>
            </w:pPr>
            <w:r>
              <w:rPr>
                <w:rFonts w:ascii="Arial" w:cs="Arial" w:eastAsia="Arial" w:hAnsi="Arial"/>
                <w:sz w:val="18"/>
                <w:szCs w:val="18"/>
                <w:color w:val="auto"/>
              </w:rPr>
              <w:t>3/21/2018</w:t>
            </w:r>
          </w:p>
        </w:tc>
        <w:tc>
          <w:tcPr>
            <w:tcW w:w="2480" w:type="dxa"/>
            <w:vAlign w:val="bottom"/>
            <w:gridSpan w:val="2"/>
          </w:tcPr>
          <w:p>
            <w:pPr>
              <w:ind w:left="80"/>
              <w:spacing w:after="0"/>
              <w:rPr>
                <w:sz w:val="20"/>
                <w:szCs w:val="20"/>
                <w:color w:val="auto"/>
              </w:rPr>
            </w:pPr>
            <w:r>
              <w:rPr>
                <w:rFonts w:ascii="Arial" w:cs="Arial" w:eastAsia="Arial" w:hAnsi="Arial"/>
                <w:sz w:val="18"/>
                <w:szCs w:val="18"/>
                <w:color w:val="auto"/>
              </w:rPr>
              <w:t>3/1/2028</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3.859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16,000</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3/21/2018</w:t>
            </w:r>
          </w:p>
        </w:tc>
        <w:tc>
          <w:tcPr>
            <w:tcW w:w="2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3/1/2028</w:t>
            </w:r>
          </w:p>
        </w:tc>
        <w:tc>
          <w:tcPr>
            <w:tcW w:w="2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3.534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10,500</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15"/>
        </w:trPr>
        <w:tc>
          <w:tcPr>
            <w:tcW w:w="2560" w:type="dxa"/>
            <w:vAlign w:val="bottom"/>
            <w:gridSpan w:val="2"/>
          </w:tcPr>
          <w:p>
            <w:pPr>
              <w:ind w:left="80"/>
              <w:spacing w:after="0"/>
              <w:rPr>
                <w:sz w:val="20"/>
                <w:szCs w:val="20"/>
                <w:color w:val="auto"/>
              </w:rPr>
            </w:pPr>
            <w:r>
              <w:rPr>
                <w:rFonts w:ascii="Arial" w:cs="Arial" w:eastAsia="Arial" w:hAnsi="Arial"/>
                <w:sz w:val="18"/>
                <w:szCs w:val="18"/>
                <w:color w:val="auto"/>
              </w:rPr>
              <w:t>9/19/2018</w:t>
            </w:r>
          </w:p>
        </w:tc>
        <w:tc>
          <w:tcPr>
            <w:tcW w:w="2480" w:type="dxa"/>
            <w:vAlign w:val="bottom"/>
            <w:gridSpan w:val="2"/>
          </w:tcPr>
          <w:p>
            <w:pPr>
              <w:ind w:left="80"/>
              <w:spacing w:after="0"/>
              <w:rPr>
                <w:sz w:val="20"/>
                <w:szCs w:val="20"/>
                <w:color w:val="auto"/>
              </w:rPr>
            </w:pPr>
            <w:r>
              <w:rPr>
                <w:rFonts w:ascii="Arial" w:cs="Arial" w:eastAsia="Arial" w:hAnsi="Arial"/>
                <w:sz w:val="18"/>
                <w:szCs w:val="18"/>
                <w:color w:val="auto"/>
              </w:rPr>
              <w:t>9/1/2028</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3.895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3"/>
          </w:tcPr>
          <w:p>
            <w:pPr>
              <w:jc w:val="right"/>
              <w:ind w:right="1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9/19/2018</w:t>
            </w:r>
          </w:p>
        </w:tc>
        <w:tc>
          <w:tcPr>
            <w:tcW w:w="2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9/1/2028</w:t>
            </w:r>
          </w:p>
        </w:tc>
        <w:tc>
          <w:tcPr>
            <w:tcW w:w="2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4.220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jc w:val="right"/>
              <w:ind w:right="1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5"/>
        </w:trPr>
        <w:tc>
          <w:tcPr>
            <w:tcW w:w="2560" w:type="dxa"/>
            <w:vAlign w:val="bottom"/>
            <w:gridSpan w:val="2"/>
          </w:tcPr>
          <w:p>
            <w:pPr>
              <w:ind w:left="80"/>
              <w:spacing w:after="0"/>
              <w:rPr>
                <w:sz w:val="20"/>
                <w:szCs w:val="20"/>
                <w:color w:val="auto"/>
              </w:rPr>
            </w:pPr>
            <w:r>
              <w:rPr>
                <w:rFonts w:ascii="Arial" w:cs="Arial" w:eastAsia="Arial" w:hAnsi="Arial"/>
                <w:sz w:val="18"/>
                <w:szCs w:val="18"/>
                <w:color w:val="auto"/>
              </w:rPr>
              <w:t>9/25/2019</w:t>
            </w:r>
          </w:p>
        </w:tc>
        <w:tc>
          <w:tcPr>
            <w:tcW w:w="2480" w:type="dxa"/>
            <w:vAlign w:val="bottom"/>
            <w:gridSpan w:val="2"/>
          </w:tcPr>
          <w:p>
            <w:pPr>
              <w:ind w:left="80"/>
              <w:spacing w:after="0"/>
              <w:rPr>
                <w:sz w:val="20"/>
                <w:szCs w:val="20"/>
                <w:color w:val="auto"/>
              </w:rPr>
            </w:pPr>
            <w:r>
              <w:rPr>
                <w:rFonts w:ascii="Arial" w:cs="Arial" w:eastAsia="Arial" w:hAnsi="Arial"/>
                <w:sz w:val="18"/>
                <w:szCs w:val="18"/>
                <w:color w:val="auto"/>
              </w:rPr>
              <w:t>9/1/2029</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2.377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3/25/2020</w:t>
            </w:r>
          </w:p>
        </w:tc>
        <w:tc>
          <w:tcPr>
            <w:tcW w:w="2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3/1/2030</w:t>
            </w:r>
          </w:p>
        </w:tc>
        <w:tc>
          <w:tcPr>
            <w:tcW w:w="2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2.172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560" w:type="dxa"/>
            <w:vAlign w:val="bottom"/>
            <w:gridSpan w:val="2"/>
          </w:tcPr>
          <w:p>
            <w:pPr>
              <w:ind w:left="60"/>
              <w:spacing w:after="0"/>
              <w:rPr>
                <w:sz w:val="20"/>
                <w:szCs w:val="20"/>
                <w:color w:val="auto"/>
              </w:rPr>
            </w:pPr>
            <w:r>
              <w:rPr>
                <w:rFonts w:ascii="Arial" w:cs="Arial" w:eastAsia="Arial" w:hAnsi="Arial"/>
                <w:sz w:val="18"/>
                <w:szCs w:val="18"/>
                <w:color w:val="auto"/>
                <w:w w:val="90"/>
              </w:rPr>
              <w:t>Total outstanding SBA debentures</w:t>
            </w:r>
          </w:p>
        </w:tc>
        <w:tc>
          <w:tcPr>
            <w:tcW w:w="7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147,000</w:t>
            </w:r>
          </w:p>
        </w:tc>
        <w:tc>
          <w:tcPr>
            <w:tcW w:w="20" w:type="dxa"/>
            <w:vAlign w:val="bottom"/>
            <w:tcBorders>
              <w:bottom w:val="single" w:sz="8" w:color="auto"/>
            </w:tcBorders>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157,500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right="280" w:hanging="431"/>
        <w:spacing w:after="0" w:line="276"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SBA has two scheduled pooling dates for debentures (in March and in September). Certain debentures funded during the reporting periods may not be pooled until the subsequent pooling date.</w:t>
      </w:r>
    </w:p>
    <w:p>
      <w:pPr>
        <w:spacing w:after="0" w:line="170" w:lineRule="exact"/>
        <w:rPr>
          <w:sz w:val="20"/>
          <w:szCs w:val="20"/>
          <w:color w:val="auto"/>
        </w:rPr>
      </w:pPr>
    </w:p>
    <w:p>
      <w:pPr>
        <w:ind w:left="120" w:right="260" w:firstLine="439"/>
        <w:spacing w:after="0" w:line="301" w:lineRule="auto"/>
        <w:rPr>
          <w:sz w:val="20"/>
          <w:szCs w:val="20"/>
          <w:color w:val="auto"/>
        </w:rPr>
      </w:pPr>
      <w:r>
        <w:rPr>
          <w:rFonts w:ascii="Arial" w:cs="Arial" w:eastAsia="Arial" w:hAnsi="Arial"/>
          <w:sz w:val="16"/>
          <w:szCs w:val="16"/>
          <w:i w:val="1"/>
          <w:iCs w:val="1"/>
          <w:color w:val="auto"/>
        </w:rPr>
        <w:t xml:space="preserve">Public Notes: </w:t>
      </w:r>
      <w:r>
        <w:rPr>
          <w:rFonts w:ascii="Arial" w:cs="Arial" w:eastAsia="Arial" w:hAnsi="Arial"/>
          <w:sz w:val="16"/>
          <w:szCs w:val="16"/>
          <w:color w:val="auto"/>
        </w:rPr>
        <w:t>On February 2, 2018, the Company closed the public offering of approximately $43,478 in aggregate principal amount of its</w:t>
      </w:r>
      <w:r>
        <w:rPr>
          <w:rFonts w:ascii="Arial" w:cs="Arial" w:eastAsia="Arial" w:hAnsi="Arial"/>
          <w:sz w:val="16"/>
          <w:szCs w:val="16"/>
          <w:i w:val="1"/>
          <w:iCs w:val="1"/>
          <w:color w:val="auto"/>
        </w:rPr>
        <w:t xml:space="preserve"> </w:t>
      </w:r>
      <w:r>
        <w:rPr>
          <w:rFonts w:ascii="Arial" w:cs="Arial" w:eastAsia="Arial" w:hAnsi="Arial"/>
          <w:sz w:val="16"/>
          <w:szCs w:val="16"/>
          <w:color w:val="auto"/>
        </w:rPr>
        <w:t>5.875% notes due 2023, or the “2023 Notes.” On February 22, 2018, the underwriters exercised their option to purchase an additional $6,522 in aggregate principal of the 2023 Notes. The total net proceeds to the Company from the 2023 Notes, including the exercise of the underwriters option, after deducting underwriting discounts of approximately $1,500 and offering expenses of $438, were approximately $48,062.</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8"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ind w:left="120" w:right="200" w:firstLine="439"/>
        <w:spacing w:after="0" w:line="311" w:lineRule="auto"/>
        <w:rPr>
          <w:sz w:val="20"/>
          <w:szCs w:val="20"/>
          <w:color w:val="auto"/>
        </w:rPr>
      </w:pPr>
      <w:r>
        <w:rPr>
          <w:rFonts w:ascii="Arial" w:cs="Arial" w:eastAsia="Arial" w:hAnsi="Arial"/>
          <w:sz w:val="16"/>
          <w:szCs w:val="16"/>
          <w:color w:val="auto"/>
        </w:rPr>
        <w:t>The 2023 Notes mature on February 1, 2023 and bear interest at a rate of 5.875%. The 2023 Notes may be redeemed in whole or in part at any time or from time to time at the Company’s option on or after February 1, 2020. Interest on the 2023 Notes is payable quarterly on February 1, May 1, August 1 and November 1 of each year. The 2023 Notes are listed on the NASDAQ Global Select Market under the trading symbol “FDUSL.”</w:t>
      </w:r>
    </w:p>
    <w:p>
      <w:pPr>
        <w:spacing w:after="0" w:line="147" w:lineRule="exact"/>
        <w:rPr>
          <w:sz w:val="20"/>
          <w:szCs w:val="20"/>
          <w:color w:val="auto"/>
        </w:rPr>
      </w:pPr>
    </w:p>
    <w:p>
      <w:pPr>
        <w:ind w:left="120" w:right="100" w:firstLine="439"/>
        <w:spacing w:after="0" w:line="301" w:lineRule="auto"/>
        <w:rPr>
          <w:sz w:val="20"/>
          <w:szCs w:val="20"/>
          <w:color w:val="auto"/>
        </w:rPr>
      </w:pPr>
      <w:r>
        <w:rPr>
          <w:rFonts w:ascii="Arial" w:cs="Arial" w:eastAsia="Arial" w:hAnsi="Arial"/>
          <w:sz w:val="16"/>
          <w:szCs w:val="16"/>
          <w:color w:val="auto"/>
        </w:rPr>
        <w:t>On February 8, 2019, the Company closed the public offering of approximately $60,000 in aggregate principal amount of its 6.000% notes due 2024, or the “February 2024 Notes”. On February 19, 2019, the underwriters exercised their option to purchase an additional $9,000 in aggregate principal of the February 2024 Notes. The total net proceeds to the Company from the February 2024 Notes, including the exercise of the underwriters’ option, after deducting underwriting discounts of approximately $2,070 and offering expenses of $409, were approximately $66,521.</w:t>
      </w:r>
    </w:p>
    <w:p>
      <w:pPr>
        <w:spacing w:after="0" w:line="154" w:lineRule="exact"/>
        <w:rPr>
          <w:sz w:val="20"/>
          <w:szCs w:val="20"/>
          <w:color w:val="auto"/>
        </w:rPr>
      </w:pPr>
    </w:p>
    <w:p>
      <w:pPr>
        <w:ind w:left="120" w:right="40" w:firstLine="439"/>
        <w:spacing w:after="0" w:line="258" w:lineRule="auto"/>
        <w:rPr>
          <w:sz w:val="20"/>
          <w:szCs w:val="20"/>
          <w:color w:val="auto"/>
        </w:rPr>
      </w:pPr>
      <w:r>
        <w:rPr>
          <w:rFonts w:ascii="Arial" w:cs="Arial" w:eastAsia="Arial" w:hAnsi="Arial"/>
          <w:sz w:val="18"/>
          <w:szCs w:val="18"/>
          <w:color w:val="auto"/>
        </w:rPr>
        <w:t>The February 2024 Notes mature on February 15, 2024 and bear interest at a rate of 6.000%. The February 2024 Notes may be redeemed in whole or in part at any time or from time to time at the Company’s option on or after February 15, 2021. Interest on the February 2024 Notes is payable quarterly on February 15, May 15, August 15 and November 15 of each year, beginning May 15, 2019. The February 2024 Notes are listed on the NASDAQ Global Select Market under the trading symbol “FDUSZ.”</w:t>
      </w:r>
    </w:p>
    <w:p>
      <w:pPr>
        <w:spacing w:after="0" w:line="187" w:lineRule="exact"/>
        <w:rPr>
          <w:sz w:val="20"/>
          <w:szCs w:val="20"/>
          <w:color w:val="auto"/>
        </w:rPr>
      </w:pPr>
    </w:p>
    <w:p>
      <w:pPr>
        <w:jc w:val="both"/>
        <w:ind w:left="120" w:right="180" w:firstLine="439"/>
        <w:spacing w:after="0" w:line="275" w:lineRule="auto"/>
        <w:rPr>
          <w:sz w:val="20"/>
          <w:szCs w:val="20"/>
          <w:color w:val="auto"/>
        </w:rPr>
      </w:pPr>
      <w:r>
        <w:rPr>
          <w:rFonts w:ascii="Arial" w:cs="Arial" w:eastAsia="Arial" w:hAnsi="Arial"/>
          <w:sz w:val="17"/>
          <w:szCs w:val="17"/>
          <w:color w:val="auto"/>
        </w:rPr>
        <w:t>On October 16, 2019, the Company closed the public offering of approximately $55,000 in aggregate principal amount of its 5.375% notes due 2024, or the “November 2024 Notes” (and collectively with the 2023 Notes and February 2024 Notes, the “Public Notes”). On October 23, 2019, the underwriters exercised their option to purchase an additional $8,250 in aggregate principal of the November 2024 Notes. The total net proceeds to the Company from the November 2024 Notes, including the exercise of the underwriters’ option, after deducting underwriting discounts of approximately $1,898 and offering expenses of $300, were approximately $61,053.</w:t>
      </w:r>
    </w:p>
    <w:p>
      <w:pPr>
        <w:spacing w:after="0" w:line="173" w:lineRule="exact"/>
        <w:rPr>
          <w:sz w:val="20"/>
          <w:szCs w:val="20"/>
          <w:color w:val="auto"/>
        </w:rPr>
      </w:pPr>
    </w:p>
    <w:p>
      <w:pPr>
        <w:ind w:left="120" w:right="140" w:firstLine="439"/>
        <w:spacing w:after="0" w:line="258" w:lineRule="auto"/>
        <w:rPr>
          <w:sz w:val="20"/>
          <w:szCs w:val="20"/>
          <w:color w:val="auto"/>
        </w:rPr>
      </w:pPr>
      <w:r>
        <w:rPr>
          <w:rFonts w:ascii="Arial" w:cs="Arial" w:eastAsia="Arial" w:hAnsi="Arial"/>
          <w:sz w:val="18"/>
          <w:szCs w:val="18"/>
          <w:color w:val="auto"/>
        </w:rPr>
        <w:t>The November 2024 Notes will mature on November 1, 2024 and bear interest at a rate of 5.375%. The November 2024 Notes may be redeemed in whole or in part at any time or from time to time at the Company’s option on or after November 1, 2021. Interest on the November 2024 Notes is payable quarterly on February 1, May 1, August 1 and November 1 of each year, beginning February 1, 2020. The November 2024 Notes are listed on the NASDAQ Global Select Market under the trading symbol “FDUSG.”</w:t>
      </w:r>
    </w:p>
    <w:p>
      <w:pPr>
        <w:spacing w:after="0" w:line="187" w:lineRule="exact"/>
        <w:rPr>
          <w:sz w:val="20"/>
          <w:szCs w:val="20"/>
          <w:color w:val="auto"/>
        </w:rPr>
      </w:pPr>
    </w:p>
    <w:p>
      <w:pPr>
        <w:ind w:left="120" w:right="120" w:firstLine="439"/>
        <w:spacing w:after="0" w:line="258" w:lineRule="auto"/>
        <w:rPr>
          <w:sz w:val="20"/>
          <w:szCs w:val="20"/>
          <w:color w:val="auto"/>
        </w:rPr>
      </w:pPr>
      <w:r>
        <w:rPr>
          <w:rFonts w:ascii="Arial" w:cs="Arial" w:eastAsia="Arial" w:hAnsi="Arial"/>
          <w:sz w:val="18"/>
          <w:szCs w:val="18"/>
          <w:color w:val="auto"/>
        </w:rPr>
        <w:t>The Public Notes are unsecured obligations of the Company and rank pari passu with the Company’s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w:t>
      </w:r>
    </w:p>
    <w:p>
      <w:pPr>
        <w:spacing w:after="0" w:line="187" w:lineRule="exact"/>
        <w:rPr>
          <w:sz w:val="20"/>
          <w:szCs w:val="20"/>
          <w:color w:val="auto"/>
        </w:rPr>
      </w:pPr>
    </w:p>
    <w:p>
      <w:pPr>
        <w:ind w:left="120" w:right="40" w:firstLine="439"/>
        <w:spacing w:after="0" w:line="256" w:lineRule="auto"/>
        <w:rPr>
          <w:sz w:val="20"/>
          <w:szCs w:val="20"/>
          <w:color w:val="auto"/>
        </w:rPr>
      </w:pPr>
      <w:r>
        <w:rPr>
          <w:rFonts w:ascii="Arial" w:cs="Arial" w:eastAsia="Arial" w:hAnsi="Arial"/>
          <w:sz w:val="18"/>
          <w:szCs w:val="18"/>
          <w:color w:val="auto"/>
        </w:rPr>
        <w:t>As of September 30, 2020, the aggregate amount outstanding of the senior securities issued by the Company was $205,250, for which our asset coverage was 289.8%. The SBA-guaranteed debentures are not subject to the asset coverage requirements of the 1940 Act as a result of exemptive relief granted to us by the SEC effective June 30, 2014.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and Financing Expenses</w:t>
      </w:r>
    </w:p>
    <w:p>
      <w:pPr>
        <w:spacing w:after="0" w:line="116" w:lineRule="exact"/>
        <w:rPr>
          <w:sz w:val="20"/>
          <w:szCs w:val="20"/>
          <w:color w:val="auto"/>
        </w:rPr>
      </w:pPr>
    </w:p>
    <w:p>
      <w:pPr>
        <w:ind w:left="120" w:right="180" w:firstLine="439"/>
        <w:spacing w:after="0" w:line="276" w:lineRule="auto"/>
        <w:rPr>
          <w:sz w:val="20"/>
          <w:szCs w:val="20"/>
          <w:color w:val="auto"/>
        </w:rPr>
      </w:pPr>
      <w:r>
        <w:rPr>
          <w:rFonts w:ascii="Arial" w:cs="Arial" w:eastAsia="Arial" w:hAnsi="Arial"/>
          <w:sz w:val="18"/>
          <w:szCs w:val="18"/>
          <w:color w:val="auto"/>
        </w:rPr>
        <w:t>Interest and fees related to the Company’s debt for the three and nine months ended September 30, 2020 and 2019 which are included in interest and financing expenses on the consolidated statements of operations, were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10"/>
          </w:tcPr>
          <w:p>
            <w:pPr>
              <w:jc w:val="right"/>
              <w:ind w:right="314"/>
              <w:spacing w:after="0"/>
              <w:rPr>
                <w:sz w:val="20"/>
                <w:szCs w:val="20"/>
                <w:color w:val="auto"/>
              </w:rPr>
            </w:pPr>
            <w:r>
              <w:rPr>
                <w:rFonts w:ascii="Arial" w:cs="Arial" w:eastAsia="Arial" w:hAnsi="Arial"/>
                <w:sz w:val="14"/>
                <w:szCs w:val="14"/>
                <w:b w:val="1"/>
                <w:bCs w:val="1"/>
                <w:color w:val="auto"/>
              </w:rPr>
              <w:t>Three Months Ended September 30, 2020</w:t>
            </w: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11"/>
          </w:tcPr>
          <w:p>
            <w:pPr>
              <w:jc w:val="right"/>
              <w:ind w:right="314"/>
              <w:spacing w:after="0"/>
              <w:rPr>
                <w:sz w:val="20"/>
                <w:szCs w:val="20"/>
                <w:color w:val="auto"/>
              </w:rPr>
            </w:pPr>
            <w:r>
              <w:rPr>
                <w:rFonts w:ascii="Arial" w:cs="Arial" w:eastAsia="Arial" w:hAnsi="Arial"/>
                <w:sz w:val="14"/>
                <w:szCs w:val="14"/>
                <w:b w:val="1"/>
                <w:bCs w:val="1"/>
                <w:color w:val="auto"/>
              </w:rPr>
              <w:t>Three Months Ended September 30, 2019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SBA</w:t>
            </w:r>
          </w:p>
        </w:tc>
        <w:tc>
          <w:tcPr>
            <w:tcW w:w="74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8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7"/>
              </w:rPr>
              <w:t>Public</w:t>
            </w:r>
          </w:p>
        </w:tc>
        <w:tc>
          <w:tcPr>
            <w:tcW w:w="100" w:type="dxa"/>
            <w:vAlign w:val="bottom"/>
          </w:tcPr>
          <w:p>
            <w:pPr>
              <w:spacing w:after="0"/>
              <w:rPr>
                <w:sz w:val="10"/>
                <w:szCs w:val="10"/>
                <w:color w:val="auto"/>
              </w:rPr>
            </w:pPr>
          </w:p>
        </w:tc>
        <w:tc>
          <w:tcPr>
            <w:tcW w:w="8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7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SBA</w:t>
            </w:r>
          </w:p>
        </w:tc>
        <w:tc>
          <w:tcPr>
            <w:tcW w:w="100" w:type="dxa"/>
            <w:vAlign w:val="bottom"/>
          </w:tcPr>
          <w:p>
            <w:pPr>
              <w:spacing w:after="0"/>
              <w:rPr>
                <w:sz w:val="10"/>
                <w:szCs w:val="10"/>
                <w:color w:val="auto"/>
              </w:rPr>
            </w:pPr>
          </w:p>
        </w:tc>
        <w:tc>
          <w:tcPr>
            <w:tcW w:w="86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Credit</w:t>
            </w:r>
          </w:p>
        </w:tc>
        <w:tc>
          <w:tcPr>
            <w:tcW w:w="7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Public</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debentures</w:t>
            </w:r>
          </w:p>
        </w:tc>
        <w:tc>
          <w:tcPr>
            <w:tcW w:w="7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9"/>
              </w:rPr>
              <w:t>Facility</w:t>
            </w:r>
          </w:p>
        </w:tc>
        <w:tc>
          <w:tcPr>
            <w:tcW w:w="10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Notes</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debentures</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w:t>
            </w: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Notes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Stated interest expense</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$2,619</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$1,769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116</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84</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840</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0"/>
          </w:tcPr>
          <w:p>
            <w:pPr>
              <w:jc w:val="right"/>
              <w:ind w:right="354"/>
              <w:spacing w:after="0"/>
              <w:rPr>
                <w:sz w:val="20"/>
                <w:szCs w:val="20"/>
                <w:color w:val="auto"/>
              </w:rPr>
            </w:pPr>
            <w:r>
              <w:rPr>
                <w:rFonts w:ascii="Arial" w:cs="Arial" w:eastAsia="Arial" w:hAnsi="Arial"/>
                <w:sz w:val="14"/>
                <w:szCs w:val="14"/>
                <w:b w:val="1"/>
                <w:bCs w:val="1"/>
                <w:color w:val="auto"/>
              </w:rPr>
              <w:t>Nine Months Ended September 30, 2020</w:t>
            </w:r>
          </w:p>
        </w:tc>
        <w:tc>
          <w:tcPr>
            <w:tcW w:w="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1"/>
          </w:tcPr>
          <w:p>
            <w:pPr>
              <w:jc w:val="right"/>
              <w:ind w:right="354"/>
              <w:spacing w:after="0"/>
              <w:rPr>
                <w:sz w:val="20"/>
                <w:szCs w:val="20"/>
                <w:color w:val="auto"/>
              </w:rPr>
            </w:pPr>
            <w:r>
              <w:rPr>
                <w:rFonts w:ascii="Arial" w:cs="Arial" w:eastAsia="Arial" w:hAnsi="Arial"/>
                <w:sz w:val="14"/>
                <w:szCs w:val="14"/>
                <w:b w:val="1"/>
                <w:bCs w:val="1"/>
                <w:color w:val="auto"/>
              </w:rPr>
              <w:t>Nine Months Ended September 30, 2019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SBA</w:t>
            </w:r>
          </w:p>
        </w:tc>
        <w:tc>
          <w:tcPr>
            <w:tcW w:w="74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8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7"/>
              </w:rPr>
              <w:t>Public</w:t>
            </w:r>
          </w:p>
        </w:tc>
        <w:tc>
          <w:tcPr>
            <w:tcW w:w="100" w:type="dxa"/>
            <w:vAlign w:val="bottom"/>
          </w:tcPr>
          <w:p>
            <w:pPr>
              <w:spacing w:after="0"/>
              <w:rPr>
                <w:sz w:val="10"/>
                <w:szCs w:val="10"/>
                <w:color w:val="auto"/>
              </w:rPr>
            </w:pPr>
          </w:p>
        </w:tc>
        <w:tc>
          <w:tcPr>
            <w:tcW w:w="8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7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SBA</w:t>
            </w:r>
          </w:p>
        </w:tc>
        <w:tc>
          <w:tcPr>
            <w:tcW w:w="100" w:type="dxa"/>
            <w:vAlign w:val="bottom"/>
          </w:tcPr>
          <w:p>
            <w:pPr>
              <w:spacing w:after="0"/>
              <w:rPr>
                <w:sz w:val="10"/>
                <w:szCs w:val="10"/>
                <w:color w:val="auto"/>
              </w:rPr>
            </w:pPr>
          </w:p>
        </w:tc>
        <w:tc>
          <w:tcPr>
            <w:tcW w:w="86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Credit</w:t>
            </w:r>
          </w:p>
        </w:tc>
        <w:tc>
          <w:tcPr>
            <w:tcW w:w="7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Public</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debentures</w:t>
            </w:r>
          </w:p>
        </w:tc>
        <w:tc>
          <w:tcPr>
            <w:tcW w:w="7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9"/>
              </w:rPr>
              <w:t>Facility</w:t>
            </w:r>
          </w:p>
        </w:tc>
        <w:tc>
          <w:tcPr>
            <w:tcW w:w="10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Notes</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debentures</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w:t>
            </w: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Notes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Stated interest expense</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3"/>
              </w:rPr>
              <w:t>$1,246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$7,857</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13,021</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$1,631</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$4,852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10,882</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282</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1,680</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251</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3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1,528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14,701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4,860</w:t>
            </w:r>
          </w:p>
        </w:tc>
        <w:tc>
          <w:tcPr>
            <w:tcW w:w="9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1,882</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12,197</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color w:val="auto"/>
                <w:w w:val="95"/>
              </w:rPr>
              <w:t>Weighted average stated interest rate, period end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3.297%</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3.188%</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5.749%</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4.558%</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5.063%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4.602%</w:t>
            </w:r>
          </w:p>
        </w:tc>
        <w:tc>
          <w:tcPr>
            <w:tcW w:w="0" w:type="dxa"/>
            <w:vAlign w:val="bottom"/>
          </w:tcPr>
          <w:p>
            <w:pPr>
              <w:spacing w:after="0"/>
              <w:rPr>
                <w:sz w:val="1"/>
                <w:szCs w:val="1"/>
                <w:color w:val="auto"/>
              </w:rPr>
            </w:pPr>
          </w:p>
        </w:tc>
      </w:tr>
      <w:tr>
        <w:trPr>
          <w:trHeight w:val="215"/>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Unused commitment fee rate, period end</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0.890%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0.890%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0.500%</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0.500%</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120"/>
          </w:cols>
          <w:pgMar w:left="320" w:top="458" w:right="459" w:bottom="1440" w:gutter="0" w:footer="0" w:header="0"/>
        </w:sectPr>
      </w:pPr>
    </w:p>
    <w:p>
      <w:pPr>
        <w:jc w:val="center"/>
        <w:ind w:right="-13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120"/>
          </w:cols>
          <w:pgMar w:left="320" w:top="458" w:right="4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Realized Losses on Extinguishment of Debt</w:t>
      </w:r>
    </w:p>
    <w:p>
      <w:pPr>
        <w:spacing w:after="0" w:line="116" w:lineRule="exact"/>
        <w:rPr>
          <w:sz w:val="20"/>
          <w:szCs w:val="20"/>
          <w:color w:val="auto"/>
        </w:rPr>
      </w:pPr>
    </w:p>
    <w:p>
      <w:pPr>
        <w:ind w:left="120" w:right="100" w:firstLine="439"/>
        <w:spacing w:after="0" w:line="258" w:lineRule="auto"/>
        <w:rPr>
          <w:sz w:val="20"/>
          <w:szCs w:val="20"/>
          <w:color w:val="auto"/>
        </w:rPr>
      </w:pPr>
      <w:r>
        <w:rPr>
          <w:rFonts w:ascii="Arial" w:cs="Arial" w:eastAsia="Arial" w:hAnsi="Arial"/>
          <w:sz w:val="18"/>
          <w:szCs w:val="18"/>
          <w:color w:val="auto"/>
        </w:rPr>
        <w:t>During the nine months ended September 30, 2020 and 2019, the Company prepaid $16,500 and $41,000 of SBA debentures, respectively, which were scheduled to mature on dates ranging from 2024 to 2028 and 2021 to 2025, respectively. As a result of the prepayments, the Company recognized realized losses on extinguishment of debt of $299 and $399, respectively, equal to the write-off of the related unamortized deferred financing costs, during the nine months ended September 30, 2020 and 2019.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Financing Costs</w:t>
      </w:r>
    </w:p>
    <w:p>
      <w:pPr>
        <w:spacing w:after="0" w:line="116" w:lineRule="exact"/>
        <w:rPr>
          <w:sz w:val="20"/>
          <w:szCs w:val="20"/>
          <w:color w:val="auto"/>
        </w:rPr>
      </w:pPr>
    </w:p>
    <w:p>
      <w:pPr>
        <w:ind w:left="120" w:right="40" w:firstLine="439"/>
        <w:spacing w:after="0" w:line="263" w:lineRule="auto"/>
        <w:rPr>
          <w:sz w:val="20"/>
          <w:szCs w:val="20"/>
          <w:color w:val="auto"/>
        </w:rPr>
      </w:pPr>
      <w:r>
        <w:rPr>
          <w:rFonts w:ascii="Arial" w:cs="Arial" w:eastAsia="Arial" w:hAnsi="Arial"/>
          <w:sz w:val="18"/>
          <w:szCs w:val="18"/>
          <w:color w:val="auto"/>
        </w:rPr>
        <w:t>Deferred financing costs are amortized into interest and financing expenses on the consolidated statements of operations, using the effective interest method, over the term of the respective financing instrument. Deferred financing costs related to the Credit Facility, SBA debentures, and Public Notes as of September 30, 2020 and December 31, 2019 were as follows: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w w:val="91"/>
              </w:rPr>
              <w:t>September 30, 2020</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SBA</w:t>
            </w:r>
          </w:p>
        </w:tc>
        <w:tc>
          <w:tcPr>
            <w:tcW w:w="80" w:type="dxa"/>
            <w:vAlign w:val="bottom"/>
          </w:tcPr>
          <w:p>
            <w:pPr>
              <w:spacing w:after="0"/>
              <w:rPr>
                <w:sz w:val="10"/>
                <w:szCs w:val="10"/>
                <w:color w:val="auto"/>
              </w:rPr>
            </w:pPr>
          </w:p>
        </w:tc>
        <w:tc>
          <w:tcPr>
            <w:tcW w:w="760" w:type="dxa"/>
            <w:vAlign w:val="bottom"/>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Credit</w:t>
            </w:r>
          </w:p>
        </w:tc>
        <w:tc>
          <w:tcPr>
            <w:tcW w:w="78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Public</w:t>
            </w:r>
          </w:p>
        </w:tc>
        <w:tc>
          <w:tcPr>
            <w:tcW w:w="100" w:type="dxa"/>
            <w:vAlign w:val="bottom"/>
          </w:tcPr>
          <w:p>
            <w:pPr>
              <w:spacing w:after="0"/>
              <w:rPr>
                <w:sz w:val="10"/>
                <w:szCs w:val="10"/>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SBA</w:t>
            </w:r>
          </w:p>
        </w:tc>
        <w:tc>
          <w:tcPr>
            <w:tcW w:w="78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Credit</w:t>
            </w:r>
          </w:p>
        </w:tc>
        <w:tc>
          <w:tcPr>
            <w:tcW w:w="70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Public</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debentures</w:t>
            </w:r>
          </w:p>
        </w:tc>
        <w:tc>
          <w:tcPr>
            <w:tcW w:w="8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Notes</w:t>
            </w: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debentures</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Notes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 commitment fees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SBA debenture leverage fees</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3,966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3,966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3,820</w:t>
            </w: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15"/>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upfront fees</w:t>
            </w: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3,238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2,894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Public Notes underwriting discounts</w:t>
            </w:r>
          </w:p>
        </w:tc>
        <w:tc>
          <w:tcPr>
            <w:tcW w:w="16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5,468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5,468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15"/>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Public Notes debt issue costs</w:t>
            </w: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Total deferred financing costs</w:t>
            </w: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3,238</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6,615</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15,569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2,894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6,615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(2,075)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(2,248)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(6,910)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(1,793)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(1,266)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(4,931)</w:t>
            </w:r>
          </w:p>
        </w:tc>
        <w:tc>
          <w:tcPr>
            <w:tcW w:w="0" w:type="dxa"/>
            <w:vAlign w:val="bottom"/>
          </w:tcPr>
          <w:p>
            <w:pPr>
              <w:spacing w:after="0"/>
              <w:rPr>
                <w:sz w:val="1"/>
                <w:szCs w:val="1"/>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Unamortized deferred financing costs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1,163</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1,101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39"/>
        <w:spacing w:after="0" w:line="263" w:lineRule="auto"/>
        <w:rPr>
          <w:sz w:val="20"/>
          <w:szCs w:val="20"/>
          <w:color w:val="auto"/>
        </w:rPr>
      </w:pPr>
      <w:r>
        <w:rPr>
          <w:rFonts w:ascii="Arial" w:cs="Arial" w:eastAsia="Arial" w:hAnsi="Arial"/>
          <w:sz w:val="18"/>
          <w:szCs w:val="18"/>
          <w:color w:val="auto"/>
        </w:rPr>
        <w:t>Unamortized deferred financing costs are presented as a direct offset to the SBA debentures, Credit Facility and Public Notes liabilities on the consolidated statements of assets and liabilities. The following table summarizes the outstanding debt net of unamortized deferred financing costs as of September 30, 2020 and December 31, 2019:</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September 30, 2020</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9"/>
          </w:tcPr>
          <w:p>
            <w:pPr>
              <w:jc w:val="right"/>
              <w:ind w:right="228"/>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90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SBA</w:t>
            </w:r>
          </w:p>
        </w:tc>
        <w:tc>
          <w:tcPr>
            <w:tcW w:w="72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Credit</w:t>
            </w:r>
          </w:p>
        </w:tc>
        <w:tc>
          <w:tcPr>
            <w:tcW w:w="80" w:type="dxa"/>
            <w:vAlign w:val="bottom"/>
          </w:tcPr>
          <w:p>
            <w:pPr>
              <w:spacing w:after="0"/>
              <w:rPr>
                <w:sz w:val="10"/>
                <w:szCs w:val="10"/>
                <w:color w:val="auto"/>
              </w:rPr>
            </w:pPr>
          </w:p>
        </w:tc>
        <w:tc>
          <w:tcPr>
            <w:tcW w:w="8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Public</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4"/>
          </w:tcPr>
          <w:p>
            <w:pPr>
              <w:jc w:val="center"/>
              <w:ind w:right="220"/>
              <w:spacing w:after="0" w:line="119" w:lineRule="exact"/>
              <w:rPr>
                <w:sz w:val="20"/>
                <w:szCs w:val="20"/>
                <w:color w:val="auto"/>
              </w:rPr>
            </w:pPr>
            <w:r>
              <w:rPr>
                <w:rFonts w:ascii="Arial" w:cs="Arial" w:eastAsia="Arial" w:hAnsi="Arial"/>
                <w:sz w:val="13"/>
                <w:szCs w:val="13"/>
                <w:b w:val="1"/>
                <w:bCs w:val="1"/>
                <w:color w:val="auto"/>
              </w:rPr>
              <w:t>SBA</w:t>
            </w:r>
          </w:p>
        </w:tc>
        <w:tc>
          <w:tcPr>
            <w:tcW w:w="68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Credit</w:t>
            </w:r>
          </w:p>
        </w:tc>
        <w:tc>
          <w:tcPr>
            <w:tcW w:w="120" w:type="dxa"/>
            <w:vAlign w:val="bottom"/>
          </w:tcPr>
          <w:p>
            <w:pPr>
              <w:spacing w:after="0"/>
              <w:rPr>
                <w:sz w:val="10"/>
                <w:szCs w:val="10"/>
                <w:color w:val="auto"/>
              </w:rPr>
            </w:pPr>
          </w:p>
        </w:tc>
        <w:tc>
          <w:tcPr>
            <w:tcW w:w="820" w:type="dxa"/>
            <w:vAlign w:val="bottom"/>
            <w:gridSpan w:val="5"/>
          </w:tcPr>
          <w:p>
            <w:pPr>
              <w:jc w:val="center"/>
              <w:ind w:right="48"/>
              <w:spacing w:after="0" w:line="119" w:lineRule="exact"/>
              <w:rPr>
                <w:sz w:val="20"/>
                <w:szCs w:val="20"/>
                <w:color w:val="auto"/>
              </w:rPr>
            </w:pPr>
            <w:r>
              <w:rPr>
                <w:rFonts w:ascii="Arial" w:cs="Arial" w:eastAsia="Arial" w:hAnsi="Arial"/>
                <w:sz w:val="13"/>
                <w:szCs w:val="13"/>
                <w:b w:val="1"/>
                <w:bCs w:val="1"/>
                <w:color w:val="auto"/>
                <w:w w:val="97"/>
              </w:rPr>
              <w:t>Public</w:t>
            </w:r>
          </w:p>
        </w:tc>
        <w:tc>
          <w:tcPr>
            <w:tcW w:w="80" w:type="dxa"/>
            <w:vAlign w:val="bottom"/>
          </w:tcPr>
          <w:p>
            <w:pPr>
              <w:spacing w:after="0"/>
              <w:rPr>
                <w:sz w:val="10"/>
                <w:szCs w:val="10"/>
                <w:color w:val="auto"/>
              </w:rPr>
            </w:pPr>
          </w:p>
        </w:tc>
        <w:tc>
          <w:tcPr>
            <w:tcW w:w="8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debentures</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Facility</w:t>
            </w:r>
          </w:p>
        </w:tc>
        <w:tc>
          <w:tcPr>
            <w:tcW w:w="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Notes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9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debentures</w:t>
            </w: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Facility</w:t>
            </w:r>
          </w:p>
        </w:tc>
        <w:tc>
          <w:tcPr>
            <w:tcW w:w="120" w:type="dxa"/>
            <w:vAlign w:val="bottom"/>
          </w:tcPr>
          <w:p>
            <w:pPr>
              <w:spacing w:after="0"/>
              <w:rPr>
                <w:sz w:val="14"/>
                <w:szCs w:val="14"/>
                <w:color w:val="auto"/>
              </w:rPr>
            </w:pPr>
          </w:p>
        </w:tc>
        <w:tc>
          <w:tcPr>
            <w:tcW w:w="820" w:type="dxa"/>
            <w:vAlign w:val="bottom"/>
            <w:gridSpan w:val="5"/>
          </w:tcPr>
          <w:p>
            <w:pPr>
              <w:jc w:val="center"/>
              <w:ind w:right="48"/>
              <w:spacing w:after="0"/>
              <w:rPr>
                <w:sz w:val="20"/>
                <w:szCs w:val="20"/>
                <w:color w:val="auto"/>
              </w:rPr>
            </w:pPr>
            <w:r>
              <w:rPr>
                <w:rFonts w:ascii="Arial" w:cs="Arial" w:eastAsia="Arial" w:hAnsi="Arial"/>
                <w:sz w:val="14"/>
                <w:szCs w:val="14"/>
                <w:b w:val="1"/>
                <w:bCs w:val="1"/>
                <w:color w:val="auto"/>
                <w:w w:val="87"/>
              </w:rPr>
              <w:t>Notes</w:t>
            </w:r>
          </w:p>
        </w:tc>
        <w:tc>
          <w:tcPr>
            <w:tcW w:w="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Outstanding debt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$147,000</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$182,250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$352,250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$157,500</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$25,000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color w:val="auto"/>
                <w:w w:val="90"/>
              </w:rPr>
              <w:t>$182,250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$364,750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80" w:type="dxa"/>
            <w:vAlign w:val="bottom"/>
            <w:gridSpan w:val="3"/>
          </w:tcPr>
          <w:p>
            <w:pPr>
              <w:spacing w:after="0"/>
              <w:rPr>
                <w:sz w:val="20"/>
                <w:szCs w:val="20"/>
                <w:color w:val="auto"/>
              </w:rPr>
            </w:pPr>
            <w:r>
              <w:rPr>
                <w:rFonts w:ascii="Arial" w:cs="Arial" w:eastAsia="Arial" w:hAnsi="Arial"/>
                <w:sz w:val="18"/>
                <w:szCs w:val="18"/>
                <w:color w:val="auto"/>
              </w:rPr>
              <w:t>Less: unamortized deferred financing costs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(3,129)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(1,163)</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(4,367)</w:t>
            </w: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rPr>
              <w:t>(8,659)</w:t>
            </w:r>
          </w:p>
        </w:tc>
        <w:tc>
          <w:tcPr>
            <w:tcW w:w="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(3,698)</w:t>
            </w:r>
          </w:p>
        </w:tc>
        <w:tc>
          <w:tcPr>
            <w:tcW w:w="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8"/>
              <w:spacing w:after="0"/>
              <w:rPr>
                <w:sz w:val="20"/>
                <w:szCs w:val="20"/>
                <w:color w:val="auto"/>
              </w:rPr>
            </w:pPr>
            <w:r>
              <w:rPr>
                <w:rFonts w:ascii="Arial" w:cs="Arial" w:eastAsia="Arial" w:hAnsi="Arial"/>
                <w:sz w:val="18"/>
                <w:szCs w:val="18"/>
                <w:color w:val="auto"/>
                <w:w w:val="91"/>
              </w:rPr>
              <w:t>(5,349)</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(10,148)</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Borders>
              <w:lef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Debt, net of deferred financing costs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143,871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21,837</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177,883</w:t>
            </w:r>
          </w:p>
        </w:tc>
        <w:tc>
          <w:tcPr>
            <w:tcW w:w="9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343,591</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153,802</w:t>
            </w: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23,899</w:t>
            </w:r>
          </w:p>
        </w:tc>
        <w:tc>
          <w:tcPr>
            <w:tcW w:w="940" w:type="dxa"/>
            <w:vAlign w:val="bottom"/>
            <w:gridSpan w:val="6"/>
            <w:shd w:val="clear" w:color="auto" w:fill="CCEEFF"/>
          </w:tcPr>
          <w:p>
            <w:pPr>
              <w:jc w:val="right"/>
              <w:ind w:right="6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176,901</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354,602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600" w:type="dxa"/>
            <w:vAlign w:val="bottom"/>
            <w:gridSpan w:val="16"/>
          </w:tcPr>
          <w:p>
            <w:pPr>
              <w:ind w:left="440"/>
              <w:spacing w:after="0"/>
              <w:rPr>
                <w:sz w:val="20"/>
                <w:szCs w:val="20"/>
                <w:color w:val="auto"/>
              </w:rPr>
            </w:pPr>
            <w:r>
              <w:rPr>
                <w:rFonts w:ascii="Arial" w:cs="Arial" w:eastAsia="Arial" w:hAnsi="Arial"/>
                <w:sz w:val="18"/>
                <w:szCs w:val="18"/>
                <w:color w:val="auto"/>
                <w:w w:val="93"/>
              </w:rPr>
              <w:t xml:space="preserve">As of September 30, 2020, the Company’s debt liabilities are scheduled to mature as follows </w:t>
            </w:r>
            <w:r>
              <w:rPr>
                <w:rFonts w:ascii="Arial" w:cs="Arial" w:eastAsia="Arial" w:hAnsi="Arial"/>
                <w:sz w:val="15"/>
                <w:szCs w:val="15"/>
                <w:color w:val="auto"/>
                <w:w w:val="93"/>
              </w:rPr>
              <w:t>(1)</w:t>
            </w:r>
            <w:r>
              <w:rPr>
                <w:rFonts w:ascii="Arial" w:cs="Arial" w:eastAsia="Arial" w:hAnsi="Arial"/>
                <w:sz w:val="18"/>
                <w:szCs w:val="18"/>
                <w:color w:val="auto"/>
                <w:w w:val="93"/>
              </w:rPr>
              <w:t>:</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0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SBA</w:t>
            </w:r>
          </w:p>
        </w:tc>
        <w:tc>
          <w:tcPr>
            <w:tcW w:w="260" w:type="dxa"/>
            <w:vAlign w:val="bottom"/>
          </w:tcPr>
          <w:p>
            <w:pPr>
              <w:spacing w:after="0"/>
              <w:rPr>
                <w:sz w:val="24"/>
                <w:szCs w:val="24"/>
                <w:color w:val="auto"/>
              </w:rPr>
            </w:pPr>
          </w:p>
        </w:tc>
        <w:tc>
          <w:tcPr>
            <w:tcW w:w="6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8"/>
              </w:rPr>
              <w:t>Credit</w:t>
            </w:r>
          </w:p>
        </w:tc>
        <w:tc>
          <w:tcPr>
            <w:tcW w:w="300" w:type="dxa"/>
            <w:vAlign w:val="bottom"/>
          </w:tcPr>
          <w:p>
            <w:pPr>
              <w:spacing w:after="0"/>
              <w:rPr>
                <w:sz w:val="24"/>
                <w:szCs w:val="24"/>
                <w:color w:val="auto"/>
              </w:rPr>
            </w:pPr>
          </w:p>
        </w:tc>
        <w:tc>
          <w:tcPr>
            <w:tcW w:w="7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0"/>
              </w:rPr>
              <w:t>Public</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7"/>
        </w:trPr>
        <w:tc>
          <w:tcPr>
            <w:tcW w:w="4080" w:type="dxa"/>
            <w:vAlign w:val="bottom"/>
            <w:gridSpan w:val="3"/>
            <w:vMerge w:val="continue"/>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w w:val="98"/>
              </w:rPr>
              <w:t>debentures</w:t>
            </w:r>
          </w:p>
        </w:tc>
        <w:tc>
          <w:tcPr>
            <w:tcW w:w="260" w:type="dxa"/>
            <w:vAlign w:val="bottom"/>
          </w:tcPr>
          <w:p>
            <w:pPr>
              <w:spacing w:after="0"/>
              <w:rPr>
                <w:sz w:val="13"/>
                <w:szCs w:val="13"/>
                <w:color w:val="auto"/>
              </w:rPr>
            </w:pPr>
          </w:p>
        </w:tc>
        <w:tc>
          <w:tcPr>
            <w:tcW w:w="640" w:type="dxa"/>
            <w:vAlign w:val="bottom"/>
            <w:gridSpan w:val="3"/>
          </w:tcPr>
          <w:p>
            <w:pPr>
              <w:jc w:val="center"/>
              <w:ind w:right="60"/>
              <w:spacing w:after="0" w:line="157" w:lineRule="exact"/>
              <w:rPr>
                <w:sz w:val="20"/>
                <w:szCs w:val="20"/>
                <w:color w:val="auto"/>
              </w:rPr>
            </w:pPr>
            <w:r>
              <w:rPr>
                <w:rFonts w:ascii="Arial" w:cs="Arial" w:eastAsia="Arial" w:hAnsi="Arial"/>
                <w:sz w:val="14"/>
                <w:szCs w:val="14"/>
                <w:b w:val="1"/>
                <w:bCs w:val="1"/>
                <w:color w:val="auto"/>
                <w:w w:val="95"/>
              </w:rPr>
              <w:t>Facility</w:t>
            </w:r>
          </w:p>
        </w:tc>
        <w:tc>
          <w:tcPr>
            <w:tcW w:w="300" w:type="dxa"/>
            <w:vAlign w:val="bottom"/>
          </w:tcPr>
          <w:p>
            <w:pPr>
              <w:spacing w:after="0"/>
              <w:rPr>
                <w:sz w:val="13"/>
                <w:szCs w:val="13"/>
                <w:color w:val="auto"/>
              </w:rPr>
            </w:pPr>
          </w:p>
        </w:tc>
        <w:tc>
          <w:tcPr>
            <w:tcW w:w="700" w:type="dxa"/>
            <w:vAlign w:val="bottom"/>
            <w:gridSpan w:val="5"/>
          </w:tcPr>
          <w:p>
            <w:pPr>
              <w:jc w:val="center"/>
              <w:ind w:right="40"/>
              <w:spacing w:after="0" w:line="157" w:lineRule="exact"/>
              <w:rPr>
                <w:sz w:val="20"/>
                <w:szCs w:val="20"/>
                <w:color w:val="auto"/>
              </w:rPr>
            </w:pPr>
            <w:r>
              <w:rPr>
                <w:rFonts w:ascii="Arial" w:cs="Arial" w:eastAsia="Arial" w:hAnsi="Arial"/>
                <w:sz w:val="14"/>
                <w:szCs w:val="14"/>
                <w:b w:val="1"/>
                <w:bCs w:val="1"/>
                <w:color w:val="auto"/>
                <w:w w:val="87"/>
              </w:rPr>
              <w:t>Notes</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0" w:type="dxa"/>
            <w:vAlign w:val="bottom"/>
          </w:tcPr>
          <w:p>
            <w:pPr>
              <w:spacing w:after="0"/>
              <w:rPr>
                <w:sz w:val="17"/>
                <w:szCs w:val="17"/>
                <w:color w:val="auto"/>
              </w:rPr>
            </w:pPr>
          </w:p>
        </w:tc>
        <w:tc>
          <w:tcPr>
            <w:tcW w:w="3620" w:type="dxa"/>
            <w:vAlign w:val="bottom"/>
            <w:gridSpan w:val="2"/>
            <w:shd w:val="clear" w:color="auto" w:fill="CCEEFF"/>
          </w:tcPr>
          <w:p>
            <w:pPr>
              <w:jc w:val="center"/>
              <w:ind w:right="2900"/>
              <w:spacing w:after="0" w:line="202" w:lineRule="exact"/>
              <w:rPr>
                <w:sz w:val="20"/>
                <w:szCs w:val="20"/>
                <w:color w:val="auto"/>
              </w:rPr>
            </w:pPr>
            <w:r>
              <w:rPr>
                <w:rFonts w:ascii="Arial" w:cs="Arial" w:eastAsia="Arial" w:hAnsi="Arial"/>
                <w:sz w:val="18"/>
                <w:szCs w:val="18"/>
                <w:color w:val="auto"/>
                <w:w w:val="89"/>
              </w:rPr>
              <w:t>2020</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4"/>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left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620" w:type="dxa"/>
            <w:vAlign w:val="bottom"/>
            <w:gridSpan w:val="2"/>
          </w:tcPr>
          <w:p>
            <w:pPr>
              <w:jc w:val="center"/>
              <w:ind w:right="2900"/>
              <w:spacing w:after="0"/>
              <w:rPr>
                <w:sz w:val="20"/>
                <w:szCs w:val="20"/>
                <w:color w:val="auto"/>
              </w:rPr>
            </w:pPr>
            <w:r>
              <w:rPr>
                <w:rFonts w:ascii="Arial" w:cs="Arial" w:eastAsia="Arial" w:hAnsi="Arial"/>
                <w:sz w:val="18"/>
                <w:szCs w:val="18"/>
                <w:color w:val="auto"/>
                <w:w w:val="89"/>
              </w:rPr>
              <w:t>2021</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620" w:type="dxa"/>
            <w:vAlign w:val="bottom"/>
            <w:gridSpan w:val="2"/>
            <w:shd w:val="clear" w:color="auto" w:fill="CCEEFF"/>
          </w:tcPr>
          <w:p>
            <w:pPr>
              <w:jc w:val="center"/>
              <w:ind w:right="2900"/>
              <w:spacing w:after="0"/>
              <w:rPr>
                <w:sz w:val="20"/>
                <w:szCs w:val="20"/>
                <w:color w:val="auto"/>
              </w:rPr>
            </w:pPr>
            <w:r>
              <w:rPr>
                <w:rFonts w:ascii="Arial" w:cs="Arial" w:eastAsia="Arial" w:hAnsi="Arial"/>
                <w:sz w:val="18"/>
                <w:szCs w:val="18"/>
                <w:color w:val="auto"/>
                <w:w w:val="89"/>
              </w:rPr>
              <w:t>2022</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620" w:type="dxa"/>
            <w:vAlign w:val="bottom"/>
            <w:gridSpan w:val="2"/>
          </w:tcPr>
          <w:p>
            <w:pPr>
              <w:jc w:val="center"/>
              <w:ind w:right="2900"/>
              <w:spacing w:after="0"/>
              <w:rPr>
                <w:sz w:val="20"/>
                <w:szCs w:val="20"/>
                <w:color w:val="auto"/>
              </w:rPr>
            </w:pPr>
            <w:r>
              <w:rPr>
                <w:rFonts w:ascii="Arial" w:cs="Arial" w:eastAsia="Arial" w:hAnsi="Arial"/>
                <w:sz w:val="18"/>
                <w:szCs w:val="18"/>
                <w:color w:val="auto"/>
                <w:w w:val="89"/>
              </w:rPr>
              <w:t>2023</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23,000</w:t>
            </w:r>
          </w:p>
        </w:tc>
        <w:tc>
          <w:tcPr>
            <w:tcW w:w="1000" w:type="dxa"/>
            <w:vAlign w:val="bottom"/>
            <w:gridSpan w:val="6"/>
          </w:tcPr>
          <w:p>
            <w:pPr>
              <w:jc w:val="right"/>
              <w:ind w:right="20"/>
              <w:spacing w:after="0"/>
              <w:rPr>
                <w:sz w:val="20"/>
                <w:szCs w:val="20"/>
                <w:color w:val="auto"/>
              </w:rPr>
            </w:pPr>
            <w:r>
              <w:rPr>
                <w:rFonts w:ascii="Arial" w:cs="Arial" w:eastAsia="Arial" w:hAnsi="Arial"/>
                <w:sz w:val="18"/>
                <w:szCs w:val="18"/>
                <w:color w:val="auto"/>
              </w:rPr>
              <w:t>50,000</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73,000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620" w:type="dxa"/>
            <w:vAlign w:val="bottom"/>
            <w:gridSpan w:val="2"/>
            <w:shd w:val="clear" w:color="auto" w:fill="CCEEFF"/>
          </w:tcPr>
          <w:p>
            <w:pPr>
              <w:jc w:val="center"/>
              <w:ind w:right="2900"/>
              <w:spacing w:after="0"/>
              <w:rPr>
                <w:sz w:val="20"/>
                <w:szCs w:val="20"/>
                <w:color w:val="auto"/>
              </w:rPr>
            </w:pPr>
            <w:r>
              <w:rPr>
                <w:rFonts w:ascii="Arial" w:cs="Arial" w:eastAsia="Arial" w:hAnsi="Arial"/>
                <w:sz w:val="18"/>
                <w:szCs w:val="18"/>
                <w:color w:val="auto"/>
                <w:w w:val="89"/>
              </w:rPr>
              <w:t>2024</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132,250</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132,250</w:t>
            </w:r>
          </w:p>
        </w:tc>
        <w:tc>
          <w:tcPr>
            <w:tcW w:w="400" w:type="dxa"/>
            <w:vAlign w:val="bottom"/>
            <w:tcBorders>
              <w:left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620" w:type="dxa"/>
            <w:vAlign w:val="bottom"/>
            <w:gridSpan w:val="2"/>
          </w:tcPr>
          <w:p>
            <w:pPr>
              <w:jc w:val="center"/>
              <w:ind w:right="2880"/>
              <w:spacing w:after="0"/>
              <w:rPr>
                <w:sz w:val="20"/>
                <w:szCs w:val="20"/>
                <w:color w:val="auto"/>
              </w:rPr>
            </w:pPr>
            <w:r>
              <w:rPr>
                <w:rFonts w:ascii="Arial" w:cs="Arial" w:eastAsia="Arial" w:hAnsi="Arial"/>
                <w:sz w:val="18"/>
                <w:szCs w:val="18"/>
                <w:color w:val="auto"/>
                <w:w w:val="89"/>
              </w:rPr>
              <w:t>Thereafter</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147,000</w:t>
            </w:r>
          </w:p>
        </w:tc>
        <w:tc>
          <w:tcPr>
            <w:tcW w:w="26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147,000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60" w:type="dxa"/>
            <w:vAlign w:val="bottom"/>
          </w:tcPr>
          <w:p>
            <w:pPr>
              <w:spacing w:after="0"/>
              <w:rPr>
                <w:sz w:val="18"/>
                <w:szCs w:val="18"/>
                <w:color w:val="auto"/>
              </w:rPr>
            </w:pPr>
          </w:p>
        </w:tc>
        <w:tc>
          <w:tcPr>
            <w:tcW w:w="3620" w:type="dxa"/>
            <w:vAlign w:val="bottom"/>
            <w:gridSpan w:val="2"/>
            <w:shd w:val="clear" w:color="auto" w:fill="CCEEFF"/>
          </w:tcPr>
          <w:p>
            <w:pPr>
              <w:jc w:val="center"/>
              <w:ind w:right="2900"/>
              <w:spacing w:after="0"/>
              <w:rPr>
                <w:sz w:val="20"/>
                <w:szCs w:val="20"/>
                <w:color w:val="auto"/>
              </w:rPr>
            </w:pPr>
            <w:r>
              <w:rPr>
                <w:rFonts w:ascii="Arial" w:cs="Arial" w:eastAsia="Arial" w:hAnsi="Arial"/>
                <w:sz w:val="18"/>
                <w:szCs w:val="18"/>
                <w:color w:val="auto"/>
                <w:w w:val="89"/>
              </w:rPr>
              <w:t>Total</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147,000</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23,000</w:t>
            </w:r>
          </w:p>
        </w:tc>
        <w:tc>
          <w:tcPr>
            <w:tcW w:w="10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182,250</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352,250</w:t>
            </w:r>
          </w:p>
        </w:tc>
        <w:tc>
          <w:tcPr>
            <w:tcW w:w="400" w:type="dxa"/>
            <w:vAlign w:val="bottom"/>
            <w:tcBorders>
              <w:left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right="340" w:hanging="431"/>
        <w:spacing w:after="0" w:line="263"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8"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0" w:lineRule="exact"/>
        <w:rPr>
          <w:sz w:val="20"/>
          <w:szCs w:val="20"/>
          <w:color w:val="auto"/>
        </w:rPr>
      </w:pPr>
    </w:p>
    <w:p>
      <w:pPr>
        <w:ind w:left="120" w:right="400" w:firstLine="439"/>
        <w:spacing w:after="0" w:line="263"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The Company had outstanding commitments to portfolio companies to fund various undrawn revolving loans, other debt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capital commitments totaling $3,957 and $4,757 as of September 30, 2020 and December 31, 2019, respectively. Such outstanding commitments are summarized in the following table:</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September 30, 2020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w w:val="92"/>
              </w:rPr>
              <w:t>Portfolio Company - Investment</w:t>
            </w:r>
          </w:p>
        </w:tc>
        <w:tc>
          <w:tcPr>
            <w:tcW w:w="3720" w:type="dxa"/>
            <w:vAlign w:val="bottom"/>
            <w:vMerge w:val="restart"/>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Total</w:t>
            </w: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9"/>
              <w:spacing w:after="0" w:line="119" w:lineRule="exact"/>
              <w:rPr>
                <w:sz w:val="20"/>
                <w:szCs w:val="20"/>
                <w:color w:val="auto"/>
              </w:rPr>
            </w:pPr>
            <w:r>
              <w:rPr>
                <w:rFonts w:ascii="Arial" w:cs="Arial" w:eastAsia="Arial" w:hAnsi="Arial"/>
                <w:sz w:val="13"/>
                <w:szCs w:val="13"/>
                <w:b w:val="1"/>
                <w:bCs w:val="1"/>
                <w:color w:val="auto"/>
              </w:rPr>
              <w:t>Unfunded</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Total</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9"/>
              <w:spacing w:after="0" w:line="119" w:lineRule="exact"/>
              <w:rPr>
                <w:sz w:val="20"/>
                <w:szCs w:val="20"/>
                <w:color w:val="auto"/>
              </w:rPr>
            </w:pPr>
            <w:r>
              <w:rPr>
                <w:rFonts w:ascii="Arial" w:cs="Arial" w:eastAsia="Arial" w:hAnsi="Arial"/>
                <w:sz w:val="13"/>
                <w:szCs w:val="13"/>
                <w:b w:val="1"/>
                <w:bCs w:val="1"/>
                <w:color w:val="auto"/>
              </w:rPr>
              <w:t>Unfunded</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98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8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w w:val="95"/>
              </w:rPr>
              <w:t>Commitment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w w:val="95"/>
              </w:rPr>
              <w:t>Commitment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w w:val="95"/>
              </w:rPr>
              <w:t>Commitment</w:t>
            </w:r>
          </w:p>
        </w:tc>
        <w:tc>
          <w:tcPr>
            <w:tcW w:w="280" w:type="dxa"/>
            <w:vAlign w:val="bottom"/>
          </w:tcPr>
          <w:p>
            <w:pPr>
              <w:spacing w:after="0"/>
              <w:rPr>
                <w:sz w:val="15"/>
                <w:szCs w:val="15"/>
                <w:color w:val="auto"/>
              </w:rPr>
            </w:pPr>
          </w:p>
        </w:tc>
        <w:tc>
          <w:tcPr>
            <w:tcW w:w="8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w w:val="95"/>
              </w:rPr>
              <w:t>Commitment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70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Combined Systems, Inc. - Revolving Loan</w:t>
            </w:r>
          </w:p>
        </w:tc>
        <w:tc>
          <w:tcPr>
            <w:tcW w:w="1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4,000</w:t>
            </w: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200</w:t>
            </w: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9"/>
              <w:spacing w:after="0" w:line="135"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9"/>
              <w:spacing w:after="0" w:line="135"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00" w:type="dxa"/>
            <w:vAlign w:val="bottom"/>
            <w:gridSpan w:val="2"/>
          </w:tcPr>
          <w:p>
            <w:pPr>
              <w:spacing w:after="0" w:line="148" w:lineRule="exact"/>
              <w:rPr>
                <w:sz w:val="20"/>
                <w:szCs w:val="20"/>
                <w:color w:val="auto"/>
              </w:rPr>
            </w:pPr>
            <w:r>
              <w:rPr>
                <w:rFonts w:ascii="Arial" w:cs="Arial" w:eastAsia="Arial" w:hAnsi="Arial"/>
                <w:sz w:val="14"/>
                <w:szCs w:val="14"/>
                <w:color w:val="auto"/>
              </w:rPr>
              <w:t>FDS Avionics Corp. (dba Flight Display Systems)—Revolving Loan</w:t>
            </w:r>
          </w:p>
        </w:tc>
        <w:tc>
          <w:tcPr>
            <w:tcW w:w="160" w:type="dxa"/>
            <w:vAlign w:val="bottom"/>
          </w:tcPr>
          <w:p>
            <w:pPr>
              <w:spacing w:after="0"/>
              <w:rPr>
                <w:sz w:val="12"/>
                <w:szCs w:val="12"/>
                <w:color w:val="auto"/>
              </w:rPr>
            </w:pPr>
          </w:p>
        </w:tc>
        <w:tc>
          <w:tcPr>
            <w:tcW w:w="68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250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30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250</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French Transit, LLC - Revolving Loan</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1,000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tcPr>
          <w:p>
            <w:pPr>
              <w:spacing w:after="0" w:line="148" w:lineRule="exact"/>
              <w:rPr>
                <w:sz w:val="20"/>
                <w:szCs w:val="20"/>
                <w:color w:val="auto"/>
              </w:rPr>
            </w:pPr>
            <w:r>
              <w:rPr>
                <w:rFonts w:ascii="Arial" w:cs="Arial" w:eastAsia="Arial" w:hAnsi="Arial"/>
                <w:sz w:val="14"/>
                <w:szCs w:val="14"/>
                <w:color w:val="auto"/>
              </w:rPr>
              <w:t>Rhino Assembly Company, LLC - Delayed Draw Commitment</w:t>
            </w:r>
          </w:p>
        </w:tc>
        <w:tc>
          <w:tcPr>
            <w:tcW w:w="160" w:type="dxa"/>
            <w:vAlign w:val="bottom"/>
          </w:tcPr>
          <w:p>
            <w:pPr>
              <w:spacing w:after="0"/>
              <w:rPr>
                <w:sz w:val="12"/>
                <w:szCs w:val="12"/>
                <w:color w:val="auto"/>
              </w:rPr>
            </w:pPr>
          </w:p>
        </w:tc>
        <w:tc>
          <w:tcPr>
            <w:tcW w:w="68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875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875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875</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875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Safety Products Group, LLC - Common Equity (Units)</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2,852</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2,852</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2,852</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95"/>
              </w:rPr>
              <w:t>(1)</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2,852</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155"/>
        </w:trPr>
        <w:tc>
          <w:tcPr>
            <w:tcW w:w="570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7,977</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3,957</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4,977</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4,757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right="320" w:hanging="431"/>
        <w:spacing w:after="0" w:line="276"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The commitment represents the Company’s maximum potential liability related to certain guaranteed obligations stemming from the prior sale of the portfolio company’s underlying operations.</w:t>
      </w:r>
    </w:p>
    <w:p>
      <w:pPr>
        <w:spacing w:after="0" w:line="17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Additional detail for each of the commitments above is provided in the Company’s consolidated schedules of investments.</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commitments are generally subject to the borrowers meeting certain criteria such as compliance with financial and nonfinancial covenants.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Since commitments may expire without being drawn upon, the total commitment amount does not necessarily represent future cash requirements.</w:t>
      </w:r>
    </w:p>
    <w:p>
      <w:pPr>
        <w:spacing w:after="0" w:line="221" w:lineRule="exact"/>
        <w:rPr>
          <w:sz w:val="20"/>
          <w:szCs w:val="20"/>
          <w:color w:val="auto"/>
        </w:rPr>
      </w:pPr>
    </w:p>
    <w:p>
      <w:pPr>
        <w:ind w:left="120" w:firstLine="439"/>
        <w:spacing w:after="0" w:line="254" w:lineRule="auto"/>
        <w:rPr>
          <w:sz w:val="20"/>
          <w:szCs w:val="20"/>
          <w:color w:val="auto"/>
        </w:rPr>
      </w:pPr>
      <w:r>
        <w:rPr>
          <w:rFonts w:ascii="Arial" w:cs="Arial" w:eastAsia="Arial" w:hAnsi="Arial"/>
          <w:sz w:val="18"/>
          <w:szCs w:val="18"/>
          <w:i w:val="1"/>
          <w:iCs w:val="1"/>
          <w:color w:val="auto"/>
        </w:rPr>
        <w:t xml:space="preserve">Indemnifications: </w:t>
      </w:r>
      <w:r>
        <w:rPr>
          <w:rFonts w:ascii="Arial" w:cs="Arial" w:eastAsia="Arial" w:hAnsi="Arial"/>
          <w:sz w:val="18"/>
          <w:szCs w:val="18"/>
          <w:color w:val="auto"/>
        </w:rPr>
        <w:t>In the normal course of business, the Company enters into contracts and agreements that contain a variety of representations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pacing w:after="0" w:line="191" w:lineRule="exact"/>
        <w:rPr>
          <w:sz w:val="20"/>
          <w:szCs w:val="20"/>
          <w:color w:val="auto"/>
        </w:rPr>
      </w:pPr>
    </w:p>
    <w:p>
      <w:pPr>
        <w:ind w:left="120" w:right="80" w:firstLine="439"/>
        <w:spacing w:after="0" w:line="285"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In the normal course of business, the Company may be subject to legal and regulatory proceedings that are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incidental to its ongoing operations. While the outcome of any such legal proceedings cannot be predicted with certainty, the Company does not believe any such legal proceedings will have a material adverse effect on the Company’s consolidated financial statements.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Common Stock</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Offerings of Common Stock</w:t>
      </w:r>
    </w:p>
    <w:p>
      <w:pPr>
        <w:spacing w:after="0" w:line="116" w:lineRule="exact"/>
        <w:rPr>
          <w:sz w:val="20"/>
          <w:szCs w:val="20"/>
          <w:color w:val="auto"/>
        </w:rPr>
      </w:pPr>
    </w:p>
    <w:p>
      <w:pPr>
        <w:ind w:left="120" w:right="80" w:firstLine="439"/>
        <w:spacing w:after="0" w:line="276" w:lineRule="auto"/>
        <w:rPr>
          <w:sz w:val="20"/>
          <w:szCs w:val="20"/>
          <w:color w:val="auto"/>
        </w:rPr>
      </w:pPr>
      <w:r>
        <w:rPr>
          <w:rFonts w:ascii="Arial" w:cs="Arial" w:eastAsia="Arial" w:hAnsi="Arial"/>
          <w:sz w:val="18"/>
          <w:szCs w:val="18"/>
          <w:color w:val="auto"/>
        </w:rPr>
        <w:t>The following table summarizes the cumulative total shares issued, net proceeds received, and weighted average offering price in public offerings of the Company’s common stock since the IPO.</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Cumulative</w:t>
            </w:r>
          </w:p>
        </w:tc>
        <w:tc>
          <w:tcPr>
            <w:tcW w:w="300" w:type="dxa"/>
            <w:vAlign w:val="bottom"/>
          </w:tcPr>
          <w:p>
            <w:pPr>
              <w:spacing w:after="0"/>
              <w:rPr>
                <w:sz w:val="14"/>
                <w:szCs w:val="14"/>
                <w:color w:val="auto"/>
              </w:rPr>
            </w:pPr>
          </w:p>
        </w:tc>
        <w:tc>
          <w:tcPr>
            <w:tcW w:w="1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Cumulative Gross</w:t>
            </w:r>
          </w:p>
        </w:tc>
        <w:tc>
          <w:tcPr>
            <w:tcW w:w="300" w:type="dxa"/>
            <w:vAlign w:val="bottom"/>
          </w:tcPr>
          <w:p>
            <w:pPr>
              <w:spacing w:after="0"/>
              <w:rPr>
                <w:sz w:val="14"/>
                <w:szCs w:val="14"/>
                <w:color w:val="auto"/>
              </w:rPr>
            </w:pPr>
          </w:p>
        </w:tc>
        <w:tc>
          <w:tcPr>
            <w:tcW w:w="28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3"/>
              </w:rPr>
              <w:t>Cumulative Underwriting Fees and</w:t>
            </w: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2220" w:type="dxa"/>
            <w:vAlign w:val="bottom"/>
            <w:vMerge w:val="restart"/>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20" w:type="dxa"/>
            <w:vAlign w:val="bottom"/>
            <w:gridSpan w:val="2"/>
          </w:tcPr>
          <w:p>
            <w:pPr>
              <w:jc w:val="center"/>
              <w:ind w:right="820"/>
              <w:spacing w:after="0" w:line="148" w:lineRule="exact"/>
              <w:rPr>
                <w:sz w:val="20"/>
                <w:szCs w:val="20"/>
                <w:color w:val="auto"/>
              </w:rPr>
            </w:pPr>
            <w:r>
              <w:rPr>
                <w:rFonts w:ascii="Arial" w:cs="Arial" w:eastAsia="Arial" w:hAnsi="Arial"/>
                <w:sz w:val="14"/>
                <w:szCs w:val="14"/>
                <w:b w:val="1"/>
                <w:bCs w:val="1"/>
                <w:color w:val="auto"/>
                <w:w w:val="91"/>
              </w:rPr>
              <w:t>Commissions and Offering</w:t>
            </w: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20" w:type="dxa"/>
            <w:vAlign w:val="bottom"/>
            <w:tcBorders>
              <w:bottom w:val="single" w:sz="8" w:color="auto"/>
            </w:tcBorders>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144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w w:val="91"/>
              </w:rPr>
              <w:t>Number of Shares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ind w:left="80"/>
              <w:spacing w:after="0" w:line="157" w:lineRule="exact"/>
              <w:rPr>
                <w:sz w:val="20"/>
                <w:szCs w:val="20"/>
                <w:color w:val="auto"/>
              </w:rPr>
            </w:pPr>
            <w:r>
              <w:rPr>
                <w:rFonts w:ascii="Arial" w:cs="Arial" w:eastAsia="Arial" w:hAnsi="Arial"/>
                <w:sz w:val="14"/>
                <w:szCs w:val="14"/>
                <w:b w:val="1"/>
                <w:bCs w:val="1"/>
                <w:color w:val="auto"/>
              </w:rPr>
              <w:t>Proceeds</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2"/>
          </w:tcPr>
          <w:p>
            <w:pPr>
              <w:jc w:val="center"/>
              <w:ind w:right="820"/>
              <w:spacing w:after="0" w:line="157" w:lineRule="exact"/>
              <w:rPr>
                <w:sz w:val="20"/>
                <w:szCs w:val="20"/>
                <w:color w:val="auto"/>
              </w:rPr>
            </w:pPr>
            <w:r>
              <w:rPr>
                <w:rFonts w:ascii="Arial" w:cs="Arial" w:eastAsia="Arial" w:hAnsi="Arial"/>
                <w:sz w:val="14"/>
                <w:szCs w:val="14"/>
                <w:b w:val="1"/>
                <w:bCs w:val="1"/>
                <w:color w:val="auto"/>
                <w:w w:val="90"/>
              </w:rPr>
              <w:t xml:space="preserve">Costs </w:t>
            </w:r>
            <w:r>
              <w:rPr>
                <w:rFonts w:ascii="Arial" w:cs="Arial" w:eastAsia="Arial" w:hAnsi="Arial"/>
                <w:sz w:val="12"/>
                <w:szCs w:val="12"/>
                <w:b w:val="1"/>
                <w:bCs w:val="1"/>
                <w:color w:val="auto"/>
                <w:w w:val="90"/>
              </w:rPr>
              <w:t>(1)</w:t>
            </w:r>
          </w:p>
        </w:tc>
        <w:tc>
          <w:tcPr>
            <w:tcW w:w="100" w:type="dxa"/>
            <w:vAlign w:val="bottom"/>
          </w:tcPr>
          <w:p>
            <w:pPr>
              <w:spacing w:after="0"/>
              <w:rPr>
                <w:sz w:val="15"/>
                <w:szCs w:val="15"/>
                <w:color w:val="auto"/>
              </w:rPr>
            </w:pPr>
          </w:p>
        </w:tc>
        <w:tc>
          <w:tcPr>
            <w:tcW w:w="108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Offering Price</w:t>
            </w:r>
          </w:p>
        </w:tc>
        <w:tc>
          <w:tcPr>
            <w:tcW w:w="0" w:type="dxa"/>
            <w:vAlign w:val="bottom"/>
          </w:tcPr>
          <w:p>
            <w:pPr>
              <w:spacing w:after="0"/>
              <w:rPr>
                <w:sz w:val="1"/>
                <w:szCs w:val="1"/>
                <w:color w:val="auto"/>
              </w:rPr>
            </w:pPr>
          </w:p>
        </w:tc>
      </w:tr>
      <w:tr>
        <w:trPr>
          <w:trHeight w:val="202"/>
        </w:trPr>
        <w:tc>
          <w:tcPr>
            <w:tcW w:w="2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Cumulative since IPO</w:t>
            </w:r>
          </w:p>
        </w:tc>
        <w:tc>
          <w:tcPr>
            <w:tcW w:w="1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14,388,414</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236,597</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8,989</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60" w:right="180" w:hanging="431"/>
        <w:spacing w:after="0" w:line="263"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Fidus Investment Advisors, LLC agreed to bear a cumulative of $1,925 of underwriting fees and commissions and offering costs associated with these offerings (such amounts are not included in the number reported above). All such payments made by Fidus Investment Advisors, LLC are not subject to reimbursement by the Company.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Common Stock ATM Program</w:t>
      </w:r>
    </w:p>
    <w:p>
      <w:pPr>
        <w:spacing w:after="0" w:line="116" w:lineRule="exact"/>
        <w:rPr>
          <w:sz w:val="20"/>
          <w:szCs w:val="20"/>
          <w:color w:val="auto"/>
        </w:rPr>
      </w:pPr>
    </w:p>
    <w:p>
      <w:pPr>
        <w:ind w:left="120" w:right="20" w:firstLine="439"/>
        <w:spacing w:after="0" w:line="258" w:lineRule="auto"/>
        <w:rPr>
          <w:sz w:val="20"/>
          <w:szCs w:val="20"/>
          <w:color w:val="auto"/>
        </w:rPr>
      </w:pPr>
      <w:r>
        <w:rPr>
          <w:rFonts w:ascii="Arial" w:cs="Arial" w:eastAsia="Arial" w:hAnsi="Arial"/>
          <w:sz w:val="18"/>
          <w:szCs w:val="18"/>
          <w:color w:val="auto"/>
        </w:rPr>
        <w:t>On August 21, 2014, the Company entered into an equity distribution agreement with Raymond James &amp; Associates, Inc. and Robert W. Baird &amp; Co. Incorporated through which the Company could sell, by means of at-the-market offerings from time to time, shares of the Company’s common stock having an aggregate offering price of up to $50,000 (the “ATM Program”). There were no issuances of common stock under the ATM program during the last two fiscal years and for the nine months ended September 30, 2020.</w:t>
      </w:r>
    </w:p>
    <w:p>
      <w:pPr>
        <w:sectPr>
          <w:pgSz w:w="11900" w:h="16838" w:orient="portrait"/>
          <w:cols w:equalWidth="0" w:num="1">
            <w:col w:w="11120"/>
          </w:cols>
          <w:pgMar w:left="320" w:top="458" w:right="45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20"/>
          </w:cols>
          <w:pgMar w:left="320" w:top="458" w:right="4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Repurchase Program</w:t>
      </w:r>
    </w:p>
    <w:p>
      <w:pPr>
        <w:spacing w:after="0" w:line="116" w:lineRule="exact"/>
        <w:rPr>
          <w:sz w:val="20"/>
          <w:szCs w:val="20"/>
          <w:color w:val="auto"/>
        </w:rPr>
      </w:pPr>
    </w:p>
    <w:p>
      <w:pPr>
        <w:ind w:left="120" w:right="40" w:firstLine="439"/>
        <w:spacing w:after="0" w:line="273" w:lineRule="auto"/>
        <w:rPr>
          <w:sz w:val="20"/>
          <w:szCs w:val="20"/>
          <w:color w:val="auto"/>
        </w:rPr>
      </w:pPr>
      <w:r>
        <w:rPr>
          <w:rFonts w:ascii="Arial" w:cs="Arial" w:eastAsia="Arial" w:hAnsi="Arial"/>
          <w:sz w:val="17"/>
          <w:szCs w:val="17"/>
          <w:color w:val="auto"/>
        </w:rPr>
        <w:t>As described in Note 2, the Company has a Stock Repurchase Program under which the Company may acquire up to $5,000 of its outstanding common stock. During the three and nine months ended September 30, 2020, the Company repurchased zero and 25,719 shares of common stock, respectively, on the open market for zero and $268, respectively. The Company did not make any repurchases of common stock during the three and nine months ended September 30, 2019. The Company’s NAV per share increased by approximately zero and $0.01 for the three and nine months ended September 30, 2020, as a result of the share repurchases. The following table summarizes the Company’s share repurchases under the Stock Repurchase Program for the three and nine months ended September 30, 2020 and 2019:</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w w:val="89"/>
              </w:rPr>
              <w:t>Repurchases of Common Stock</w:t>
            </w:r>
          </w:p>
        </w:tc>
        <w:tc>
          <w:tcPr>
            <w:tcW w:w="3660" w:type="dxa"/>
            <w:vAlign w:val="bottom"/>
            <w:vMerge w:val="restart"/>
          </w:tcPr>
          <w:p>
            <w:pPr>
              <w:spacing w:after="0"/>
              <w:rPr>
                <w:sz w:val="14"/>
                <w:szCs w:val="14"/>
                <w:color w:val="auto"/>
              </w:rPr>
            </w:pPr>
          </w:p>
        </w:tc>
        <w:tc>
          <w:tcPr>
            <w:tcW w:w="2300" w:type="dxa"/>
            <w:vAlign w:val="bottom"/>
            <w:gridSpan w:val="6"/>
          </w:tcPr>
          <w:p>
            <w:pPr>
              <w:spacing w:after="0"/>
              <w:rPr>
                <w:sz w:val="20"/>
                <w:szCs w:val="20"/>
                <w:color w:val="auto"/>
              </w:rPr>
            </w:pPr>
            <w:r>
              <w:rPr>
                <w:rFonts w:ascii="Arial" w:cs="Arial" w:eastAsia="Arial" w:hAnsi="Arial"/>
                <w:sz w:val="14"/>
                <w:szCs w:val="14"/>
                <w:b w:val="1"/>
                <w:bCs w:val="1"/>
                <w:color w:val="auto"/>
                <w:w w:val="95"/>
              </w:rPr>
              <w:t>Three Months Ended September 30,</w:t>
            </w:r>
          </w:p>
        </w:tc>
        <w:tc>
          <w:tcPr>
            <w:tcW w:w="60" w:type="dxa"/>
            <w:vAlign w:val="bottom"/>
          </w:tcPr>
          <w:p>
            <w:pPr>
              <w:spacing w:after="0"/>
              <w:rPr>
                <w:sz w:val="14"/>
                <w:szCs w:val="14"/>
                <w:color w:val="auto"/>
              </w:rPr>
            </w:pPr>
          </w:p>
        </w:tc>
        <w:tc>
          <w:tcPr>
            <w:tcW w:w="2160" w:type="dxa"/>
            <w:vAlign w:val="bottom"/>
            <w:gridSpan w:val="6"/>
          </w:tcPr>
          <w:p>
            <w:pPr>
              <w:ind w:left="2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8"/>
        </w:trPr>
        <w:tc>
          <w:tcPr>
            <w:tcW w:w="1920" w:type="dxa"/>
            <w:vAlign w:val="bottom"/>
            <w:tcBorders>
              <w:bottom w:val="single" w:sz="8" w:color="auto"/>
            </w:tcBorders>
            <w:vMerge w:val="continue"/>
          </w:tcPr>
          <w:p>
            <w:pPr>
              <w:spacing w:after="0"/>
              <w:rPr>
                <w:sz w:val="12"/>
                <w:szCs w:val="12"/>
                <w:color w:val="auto"/>
              </w:rPr>
            </w:pPr>
          </w:p>
        </w:tc>
        <w:tc>
          <w:tcPr>
            <w:tcW w:w="366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68"/>
              <w:spacing w:after="0" w:line="129"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8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Number of shares repurchased</w:t>
            </w: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ind w:left="520"/>
              <w:spacing w:after="0" w:line="13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ind w:left="520"/>
              <w:spacing w:after="0" w:line="13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25,719</w:t>
            </w:r>
          </w:p>
        </w:tc>
        <w:tc>
          <w:tcPr>
            <w:tcW w:w="4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360"/>
              <w:spacing w:after="0" w:line="135"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80" w:type="dxa"/>
            <w:vAlign w:val="bottom"/>
            <w:gridSpan w:val="2"/>
          </w:tcPr>
          <w:p>
            <w:pPr>
              <w:spacing w:after="0" w:line="148" w:lineRule="exact"/>
              <w:rPr>
                <w:sz w:val="20"/>
                <w:szCs w:val="20"/>
                <w:color w:val="auto"/>
              </w:rPr>
            </w:pPr>
            <w:r>
              <w:rPr>
                <w:rFonts w:ascii="Arial" w:cs="Arial" w:eastAsia="Arial" w:hAnsi="Arial"/>
                <w:sz w:val="14"/>
                <w:szCs w:val="14"/>
                <w:color w:val="auto"/>
              </w:rPr>
              <w:t>Cost of shares repurchased, including commissions</w:t>
            </w:r>
          </w:p>
        </w:tc>
        <w:tc>
          <w:tcPr>
            <w:tcW w:w="20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520"/>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line="148"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ind w:left="520"/>
              <w:spacing w:after="0" w:line="148"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8" w:lineRule="exact"/>
              <w:rPr>
                <w:sz w:val="20"/>
                <w:szCs w:val="20"/>
                <w:color w:val="auto"/>
              </w:rPr>
            </w:pPr>
            <w:r>
              <w:rPr>
                <w:rFonts w:ascii="Arial" w:cs="Arial" w:eastAsia="Arial" w:hAnsi="Arial"/>
                <w:sz w:val="14"/>
                <w:szCs w:val="14"/>
                <w:color w:val="auto"/>
              </w:rPr>
              <w:t>268</w:t>
            </w:r>
          </w:p>
        </w:tc>
        <w:tc>
          <w:tcPr>
            <w:tcW w:w="420" w:type="dxa"/>
            <w:vAlign w:val="bottom"/>
          </w:tcPr>
          <w:p>
            <w:pPr>
              <w:spacing w:after="0"/>
              <w:rPr>
                <w:sz w:val="12"/>
                <w:szCs w:val="12"/>
                <w:color w:val="auto"/>
              </w:rPr>
            </w:pPr>
          </w:p>
        </w:tc>
        <w:tc>
          <w:tcPr>
            <w:tcW w:w="140" w:type="dxa"/>
            <w:vAlign w:val="bottom"/>
          </w:tcPr>
          <w:p>
            <w:pPr>
              <w:jc w:val="right"/>
              <w:spacing w:after="0" w:line="148"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ind w:left="36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5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Weighted average price per share</w:t>
            </w:r>
          </w:p>
        </w:tc>
        <w:tc>
          <w:tcPr>
            <w:tcW w:w="2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520"/>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line="148"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ind w:left="520"/>
              <w:spacing w:after="0" w:line="148"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4"/>
                <w:szCs w:val="14"/>
                <w:color w:val="auto"/>
              </w:rPr>
              <w:t>10.37</w:t>
            </w: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ind w:left="36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580" w:type="dxa"/>
            <w:vAlign w:val="bottom"/>
            <w:gridSpan w:val="2"/>
          </w:tcPr>
          <w:p>
            <w:pPr>
              <w:spacing w:after="0" w:line="148" w:lineRule="exact"/>
              <w:rPr>
                <w:sz w:val="20"/>
                <w:szCs w:val="20"/>
                <w:color w:val="auto"/>
              </w:rPr>
            </w:pPr>
            <w:r>
              <w:rPr>
                <w:rFonts w:ascii="Arial" w:cs="Arial" w:eastAsia="Arial" w:hAnsi="Arial"/>
                <w:sz w:val="14"/>
                <w:szCs w:val="14"/>
                <w:color w:val="auto"/>
              </w:rPr>
              <w:t>Net asset value per share at prior quarter end</w:t>
            </w:r>
          </w:p>
        </w:tc>
        <w:tc>
          <w:tcPr>
            <w:tcW w:w="20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520"/>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line="148"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ind w:left="520"/>
              <w:spacing w:after="0" w:line="148"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420"/>
              <w:spacing w:after="0" w:line="148" w:lineRule="exact"/>
              <w:rPr>
                <w:sz w:val="20"/>
                <w:szCs w:val="20"/>
                <w:color w:val="auto"/>
              </w:rPr>
            </w:pPr>
            <w:r>
              <w:rPr>
                <w:rFonts w:ascii="Arial" w:cs="Arial" w:eastAsia="Arial" w:hAnsi="Arial"/>
                <w:sz w:val="14"/>
                <w:szCs w:val="14"/>
                <w:color w:val="auto"/>
              </w:rPr>
              <w:t>16.85</w:t>
            </w:r>
          </w:p>
        </w:tc>
        <w:tc>
          <w:tcPr>
            <w:tcW w:w="140" w:type="dxa"/>
            <w:vAlign w:val="bottom"/>
          </w:tcPr>
          <w:p>
            <w:pPr>
              <w:jc w:val="right"/>
              <w:spacing w:after="0" w:line="148"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ind w:left="36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5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Weighted average discount to net asset value at quarter end prior to repurchases</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480"/>
              <w:spacing w:after="0" w:line="148" w:lineRule="exact"/>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00"/>
              <w:spacing w:after="0" w:line="148"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4"/>
                <w:szCs w:val="14"/>
                <w:color w:val="auto"/>
              </w:rPr>
              <w:t>38.5%</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20"/>
              <w:spacing w:after="0" w:line="148"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 to Note 9 for additional information regarding the issuance of shares under the DRIP.</w:t>
      </w:r>
    </w:p>
    <w:p>
      <w:pPr>
        <w:spacing w:after="0" w:line="224" w:lineRule="exact"/>
        <w:rPr>
          <w:sz w:val="20"/>
          <w:szCs w:val="20"/>
          <w:color w:val="auto"/>
        </w:rPr>
      </w:pPr>
    </w:p>
    <w:p>
      <w:pPr>
        <w:ind w:left="120" w:right="880" w:firstLine="439"/>
        <w:spacing w:after="0" w:line="276" w:lineRule="auto"/>
        <w:rPr>
          <w:sz w:val="20"/>
          <w:szCs w:val="20"/>
          <w:color w:val="auto"/>
        </w:rPr>
      </w:pPr>
      <w:r>
        <w:rPr>
          <w:rFonts w:ascii="Arial" w:cs="Arial" w:eastAsia="Arial" w:hAnsi="Arial"/>
          <w:sz w:val="18"/>
          <w:szCs w:val="18"/>
          <w:color w:val="auto"/>
        </w:rPr>
        <w:t>The Company had 24,437,400 and 24,463,119 shares of common stock outstanding as of September 30, 2020 and December 31, 2019,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Dividends and Distributions</w:t>
      </w:r>
    </w:p>
    <w:p>
      <w:pPr>
        <w:spacing w:after="0" w:line="120" w:lineRule="exact"/>
        <w:rPr>
          <w:sz w:val="20"/>
          <w:szCs w:val="20"/>
          <w:color w:val="auto"/>
        </w:rPr>
      </w:pPr>
    </w:p>
    <w:p>
      <w:pPr>
        <w:ind w:left="120" w:right="300" w:firstLine="439"/>
        <w:spacing w:after="0" w:line="276" w:lineRule="auto"/>
        <w:rPr>
          <w:sz w:val="20"/>
          <w:szCs w:val="20"/>
          <w:color w:val="auto"/>
        </w:rPr>
      </w:pPr>
      <w:r>
        <w:rPr>
          <w:rFonts w:ascii="Arial" w:cs="Arial" w:eastAsia="Arial" w:hAnsi="Arial"/>
          <w:sz w:val="18"/>
          <w:szCs w:val="18"/>
          <w:color w:val="auto"/>
        </w:rPr>
        <w:t>The Company’s dividends and distributions are recorded on the record date. The following table summarizes the dividends paid during the last two fiscal years and for the nine months ended September 30,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DRIP</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DRIP</w:t>
            </w:r>
          </w:p>
        </w:tc>
        <w:tc>
          <w:tcPr>
            <w:tcW w:w="0" w:type="dxa"/>
            <w:vAlign w:val="bottom"/>
          </w:tcPr>
          <w:p>
            <w:pPr>
              <w:spacing w:after="0"/>
              <w:rPr>
                <w:sz w:val="1"/>
                <w:szCs w:val="1"/>
                <w:color w:val="auto"/>
              </w:rPr>
            </w:pPr>
          </w:p>
        </w:tc>
      </w:tr>
      <w:tr>
        <w:trPr>
          <w:trHeight w:val="148"/>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Record</w:t>
            </w: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Payment</w:t>
            </w: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Cash</w:t>
            </w:r>
          </w:p>
        </w:tc>
        <w:tc>
          <w:tcPr>
            <w:tcW w:w="820" w:type="dxa"/>
            <w:vAlign w:val="bottom"/>
            <w:gridSpan w:val="2"/>
            <w:vMerge w:val="continue"/>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DRIP</w:t>
            </w:r>
          </w:p>
        </w:tc>
        <w:tc>
          <w:tcPr>
            <w:tcW w:w="42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4"/>
        </w:trPr>
        <w:tc>
          <w:tcPr>
            <w:tcW w:w="40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20" w:type="dxa"/>
            <w:vAlign w:val="bottom"/>
            <w:gridSpan w:val="2"/>
          </w:tcPr>
          <w:p>
            <w:pPr>
              <w:spacing w:after="0" w:line="144" w:lineRule="exact"/>
              <w:rPr>
                <w:sz w:val="20"/>
                <w:szCs w:val="20"/>
                <w:color w:val="auto"/>
              </w:rPr>
            </w:pPr>
            <w:r>
              <w:rPr>
                <w:rFonts w:ascii="Arial" w:cs="Arial" w:eastAsia="Arial" w:hAnsi="Arial"/>
                <w:sz w:val="14"/>
                <w:szCs w:val="14"/>
                <w:b w:val="1"/>
                <w:bCs w:val="1"/>
                <w:color w:val="auto"/>
              </w:rPr>
              <w:t>Shares</w:t>
            </w:r>
          </w:p>
        </w:tc>
        <w:tc>
          <w:tcPr>
            <w:tcW w:w="800" w:type="dxa"/>
            <w:vAlign w:val="bottom"/>
            <w:gridSpan w:val="2"/>
            <w:vMerge w:val="continue"/>
          </w:tcPr>
          <w:p>
            <w:pPr>
              <w:spacing w:after="0"/>
              <w:rPr>
                <w:sz w:val="12"/>
                <w:szCs w:val="12"/>
                <w:color w:val="auto"/>
              </w:rPr>
            </w:pPr>
          </w:p>
        </w:tc>
        <w:tc>
          <w:tcPr>
            <w:tcW w:w="420" w:type="dxa"/>
            <w:vAlign w:val="bottom"/>
            <w:gridSpan w:val="2"/>
          </w:tcPr>
          <w:p>
            <w:pPr>
              <w:jc w:val="center"/>
              <w:ind w:right="60"/>
              <w:spacing w:after="0" w:line="144" w:lineRule="exact"/>
              <w:rPr>
                <w:sz w:val="20"/>
                <w:szCs w:val="20"/>
                <w:color w:val="auto"/>
              </w:rPr>
            </w:pPr>
            <w:r>
              <w:rPr>
                <w:rFonts w:ascii="Arial" w:cs="Arial" w:eastAsia="Arial" w:hAnsi="Arial"/>
                <w:sz w:val="14"/>
                <w:szCs w:val="14"/>
                <w:b w:val="1"/>
                <w:bCs w:val="1"/>
                <w:color w:val="auto"/>
                <w:w w:val="89"/>
              </w:rPr>
              <w:t>Issue</w:t>
            </w:r>
          </w:p>
        </w:tc>
        <w:tc>
          <w:tcPr>
            <w:tcW w:w="0" w:type="dxa"/>
            <w:vAlign w:val="bottom"/>
          </w:tcPr>
          <w:p>
            <w:pPr>
              <w:spacing w:after="0"/>
              <w:rPr>
                <w:sz w:val="1"/>
                <w:szCs w:val="1"/>
                <w:color w:val="auto"/>
              </w:rPr>
            </w:pPr>
          </w:p>
        </w:tc>
      </w:tr>
      <w:tr>
        <w:trPr>
          <w:trHeight w:val="182"/>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Declared</w:t>
            </w:r>
          </w:p>
        </w:tc>
        <w:tc>
          <w:tcPr>
            <w:tcW w:w="348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Date</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Distribution</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Distribution</w:t>
            </w: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Value</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4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89"/>
        </w:trPr>
        <w:tc>
          <w:tcPr>
            <w:tcW w:w="4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Ended December 31, 2018:</w:t>
            </w: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40" w:type="dxa"/>
            <w:vAlign w:val="bottom"/>
            <w:gridSpan w:val="2"/>
          </w:tcPr>
          <w:p>
            <w:pPr>
              <w:spacing w:after="0"/>
              <w:rPr>
                <w:sz w:val="20"/>
                <w:szCs w:val="20"/>
                <w:color w:val="auto"/>
              </w:rPr>
            </w:pPr>
            <w:r>
              <w:rPr>
                <w:rFonts w:ascii="Arial" w:cs="Arial" w:eastAsia="Arial" w:hAnsi="Arial"/>
                <w:sz w:val="18"/>
                <w:szCs w:val="18"/>
                <w:color w:val="auto"/>
              </w:rPr>
              <w:t>2/13/2018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3/9/2018</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3/23/2018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9,558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9,558</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4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5"/>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4/30/2018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6/8/2018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6/22/2018</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5"/>
        </w:trPr>
        <w:tc>
          <w:tcPr>
            <w:tcW w:w="4040" w:type="dxa"/>
            <w:vAlign w:val="bottom"/>
            <w:gridSpan w:val="2"/>
          </w:tcPr>
          <w:p>
            <w:pPr>
              <w:spacing w:after="0"/>
              <w:rPr>
                <w:sz w:val="20"/>
                <w:szCs w:val="20"/>
                <w:color w:val="auto"/>
              </w:rPr>
            </w:pPr>
            <w:r>
              <w:rPr>
                <w:rFonts w:ascii="Arial" w:cs="Arial" w:eastAsia="Arial" w:hAnsi="Arial"/>
                <w:sz w:val="18"/>
                <w:szCs w:val="18"/>
                <w:color w:val="auto"/>
              </w:rPr>
              <w:t>7/30/2018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9/7/2018</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9/21/2018</w:t>
            </w:r>
          </w:p>
        </w:tc>
        <w:tc>
          <w:tcPr>
            <w:tcW w:w="2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9,540</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9,540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4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5"/>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10/30/2018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12/7/2018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12/21/2018</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4040" w:type="dxa"/>
            <w:vAlign w:val="bottom"/>
            <w:gridSpan w:val="2"/>
          </w:tcPr>
          <w:p>
            <w:pPr>
              <w:spacing w:after="0"/>
              <w:rPr>
                <w:sz w:val="20"/>
                <w:szCs w:val="20"/>
                <w:color w:val="auto"/>
              </w:rPr>
            </w:pPr>
            <w:r>
              <w:rPr>
                <w:rFonts w:ascii="Arial" w:cs="Arial" w:eastAsia="Arial" w:hAnsi="Arial"/>
                <w:sz w:val="18"/>
                <w:szCs w:val="18"/>
                <w:color w:val="auto"/>
              </w:rPr>
              <w:t xml:space="preserve">10/30/2018 </w:t>
            </w:r>
            <w:r>
              <w:rPr>
                <w:rFonts w:ascii="Arial" w:cs="Arial" w:eastAsia="Arial" w:hAnsi="Arial"/>
                <w:sz w:val="15"/>
                <w:szCs w:val="15"/>
                <w:color w:val="auto"/>
              </w:rPr>
              <w:t>(1)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12/7/2018</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12/21/2018</w:t>
            </w: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978</w:t>
            </w:r>
          </w:p>
        </w:tc>
        <w:tc>
          <w:tcPr>
            <w:tcW w:w="2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4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5"/>
        </w:trPr>
        <w:tc>
          <w:tcPr>
            <w:tcW w:w="5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39,158</w:t>
            </w: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Fiscal Year Ended December 31, 2019:</w:t>
            </w: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1/31/2019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3/8/2019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3/22/2019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5"/>
        </w:trPr>
        <w:tc>
          <w:tcPr>
            <w:tcW w:w="4040" w:type="dxa"/>
            <w:vAlign w:val="bottom"/>
            <w:gridSpan w:val="2"/>
          </w:tcPr>
          <w:p>
            <w:pPr>
              <w:spacing w:after="0"/>
              <w:rPr>
                <w:sz w:val="20"/>
                <w:szCs w:val="20"/>
                <w:color w:val="auto"/>
              </w:rPr>
            </w:pPr>
            <w:r>
              <w:rPr>
                <w:rFonts w:ascii="Arial" w:cs="Arial" w:eastAsia="Arial" w:hAnsi="Arial"/>
                <w:sz w:val="18"/>
                <w:szCs w:val="18"/>
                <w:color w:val="auto"/>
              </w:rPr>
              <w:t>4/29/2019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6/7/2019</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6/21/2019</w:t>
            </w:r>
          </w:p>
        </w:tc>
        <w:tc>
          <w:tcPr>
            <w:tcW w:w="2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9,540</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9,540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4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5"/>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7/29/2019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9/6/2019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9/20/2019</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5"/>
        </w:trPr>
        <w:tc>
          <w:tcPr>
            <w:tcW w:w="4040" w:type="dxa"/>
            <w:vAlign w:val="bottom"/>
            <w:gridSpan w:val="2"/>
          </w:tcPr>
          <w:p>
            <w:pPr>
              <w:spacing w:after="0"/>
              <w:rPr>
                <w:sz w:val="20"/>
                <w:szCs w:val="20"/>
                <w:color w:val="auto"/>
              </w:rPr>
            </w:pPr>
            <w:r>
              <w:rPr>
                <w:rFonts w:ascii="Arial" w:cs="Arial" w:eastAsia="Arial" w:hAnsi="Arial"/>
                <w:sz w:val="18"/>
                <w:szCs w:val="18"/>
                <w:color w:val="auto"/>
              </w:rPr>
              <w:t>10/29/2019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12/6/2019</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12/20/2019</w:t>
            </w:r>
          </w:p>
        </w:tc>
        <w:tc>
          <w:tcPr>
            <w:tcW w:w="2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9,541</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9,541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4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5"/>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10/29/2019 </w:t>
            </w:r>
            <w:r>
              <w:rPr>
                <w:rFonts w:ascii="Arial" w:cs="Arial" w:eastAsia="Arial" w:hAnsi="Arial"/>
                <w:sz w:val="15"/>
                <w:szCs w:val="15"/>
                <w:color w:val="auto"/>
              </w:rPr>
              <w:t>(1)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12/6/2019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12/20/2019</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39,141</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2020:</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40" w:type="dxa"/>
            <w:vAlign w:val="bottom"/>
            <w:gridSpan w:val="2"/>
          </w:tcPr>
          <w:p>
            <w:pPr>
              <w:spacing w:after="0"/>
              <w:rPr>
                <w:sz w:val="20"/>
                <w:szCs w:val="20"/>
                <w:color w:val="auto"/>
              </w:rPr>
            </w:pPr>
            <w:r>
              <w:rPr>
                <w:rFonts w:ascii="Arial" w:cs="Arial" w:eastAsia="Arial" w:hAnsi="Arial"/>
                <w:sz w:val="18"/>
                <w:szCs w:val="18"/>
                <w:color w:val="auto"/>
              </w:rPr>
              <w:t>2/14/2020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3/13/2020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3/27/2020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9,537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9,537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4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5"/>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4/29/2020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6/12/2020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6/26/2020</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4040" w:type="dxa"/>
            <w:vAlign w:val="bottom"/>
            <w:gridSpan w:val="2"/>
          </w:tcPr>
          <w:p>
            <w:pPr>
              <w:spacing w:after="0"/>
              <w:rPr>
                <w:sz w:val="20"/>
                <w:szCs w:val="20"/>
                <w:color w:val="auto"/>
              </w:rPr>
            </w:pPr>
            <w:r>
              <w:rPr>
                <w:rFonts w:ascii="Arial" w:cs="Arial" w:eastAsia="Arial" w:hAnsi="Arial"/>
                <w:sz w:val="18"/>
                <w:szCs w:val="18"/>
                <w:color w:val="auto"/>
              </w:rPr>
              <w:t>8/03/2020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9/11/2020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9/25/2020</w:t>
            </w: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7,331</w:t>
            </w:r>
          </w:p>
        </w:tc>
        <w:tc>
          <w:tcPr>
            <w:tcW w:w="2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4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5"/>
        </w:trPr>
        <w:tc>
          <w:tcPr>
            <w:tcW w:w="5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w:t>
            </w: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hanging="431"/>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Special dividend.</w:t>
      </w:r>
    </w:p>
    <w:p>
      <w:pPr>
        <w:spacing w:after="0" w:line="22" w:lineRule="exact"/>
        <w:rPr>
          <w:rFonts w:ascii="Arial" w:cs="Arial" w:eastAsia="Arial" w:hAnsi="Arial"/>
          <w:sz w:val="18"/>
          <w:szCs w:val="18"/>
          <w:color w:val="auto"/>
        </w:rPr>
      </w:pPr>
    </w:p>
    <w:p>
      <w:pPr>
        <w:ind w:left="560" w:right="220" w:hanging="431"/>
        <w:spacing w:after="0" w:line="276" w:lineRule="auto"/>
        <w:tabs>
          <w:tab w:leader="none" w:pos="5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During the nine months ended September 30, 2020 and the years ended December 31, 2019 and 2018, the Company directed the DRIP program plan administrator to repurchase shares on the open market in order to satisfy the DRIP obligation to deliver shares of common stock in lieu of issuing new shares. Accordingly, the Company purchased and reissued shares to satisfy the DRIP obligation as follows: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8"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21"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Number of</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Fiscal Year Ended December 31, 2018:</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rPr>
              <w:t>Purchased</w:t>
            </w:r>
          </w:p>
        </w:tc>
        <w:tc>
          <w:tcPr>
            <w:tcW w:w="480" w:type="dxa"/>
            <w:vAlign w:val="bottom"/>
          </w:tcPr>
          <w:p>
            <w:pPr>
              <w:spacing w:after="0"/>
              <w:rPr>
                <w:sz w:val="12"/>
                <w:szCs w:val="12"/>
                <w:color w:val="auto"/>
              </w:rPr>
            </w:pPr>
          </w:p>
        </w:tc>
        <w:tc>
          <w:tcPr>
            <w:tcW w:w="680" w:type="dxa"/>
            <w:vAlign w:val="bottom"/>
            <w:gridSpan w:val="4"/>
          </w:tcPr>
          <w:p>
            <w:pPr>
              <w:jc w:val="center"/>
              <w:spacing w:after="0" w:line="148" w:lineRule="exact"/>
              <w:rPr>
                <w:sz w:val="20"/>
                <w:szCs w:val="20"/>
                <w:color w:val="auto"/>
              </w:rPr>
            </w:pPr>
            <w:r>
              <w:rPr>
                <w:rFonts w:ascii="Arial" w:cs="Arial" w:eastAsia="Arial" w:hAnsi="Arial"/>
                <w:sz w:val="14"/>
                <w:szCs w:val="14"/>
                <w:b w:val="1"/>
                <w:bCs w:val="1"/>
                <w:color w:val="auto"/>
                <w:w w:val="91"/>
              </w:rPr>
              <w:t>Price Paid</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860" w:type="dxa"/>
            <w:vAlign w:val="bottom"/>
            <w:gridSpan w:val="4"/>
            <w:vMerge w:val="continue"/>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gridSpan w:val="3"/>
          </w:tcPr>
          <w:p>
            <w:pPr>
              <w:jc w:val="right"/>
              <w:ind w:right="20"/>
              <w:spacing w:after="0" w:line="157" w:lineRule="exact"/>
              <w:rPr>
                <w:sz w:val="20"/>
                <w:szCs w:val="20"/>
                <w:color w:val="auto"/>
              </w:rPr>
            </w:pPr>
            <w:r>
              <w:rPr>
                <w:rFonts w:ascii="Arial" w:cs="Arial" w:eastAsia="Arial" w:hAnsi="Arial"/>
                <w:sz w:val="14"/>
                <w:szCs w:val="14"/>
                <w:b w:val="1"/>
                <w:bCs w:val="1"/>
                <w:color w:val="auto"/>
                <w:w w:val="96"/>
              </w:rPr>
              <w:t>and Reissued</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3"/>
          </w:tcPr>
          <w:p>
            <w:pPr>
              <w:jc w:val="center"/>
              <w:ind w:right="20"/>
              <w:spacing w:after="0" w:line="157" w:lineRule="exact"/>
              <w:rPr>
                <w:sz w:val="20"/>
                <w:szCs w:val="20"/>
                <w:color w:val="auto"/>
              </w:rPr>
            </w:pPr>
            <w:r>
              <w:rPr>
                <w:rFonts w:ascii="Arial" w:cs="Arial" w:eastAsia="Arial" w:hAnsi="Arial"/>
                <w:sz w:val="14"/>
                <w:szCs w:val="14"/>
                <w:b w:val="1"/>
                <w:bCs w:val="1"/>
                <w:color w:val="auto"/>
                <w:w w:val="94"/>
              </w:rPr>
              <w:t>Per Share</w:t>
            </w:r>
          </w:p>
        </w:tc>
        <w:tc>
          <w:tcPr>
            <w:tcW w:w="1400" w:type="dxa"/>
            <w:vAlign w:val="bottom"/>
            <w:gridSpan w:val="4"/>
          </w:tcPr>
          <w:p>
            <w:pPr>
              <w:ind w:left="520"/>
              <w:spacing w:after="0" w:line="157" w:lineRule="exact"/>
              <w:rPr>
                <w:sz w:val="20"/>
                <w:szCs w:val="20"/>
                <w:color w:val="auto"/>
              </w:rPr>
            </w:pPr>
            <w:r>
              <w:rPr>
                <w:rFonts w:ascii="Arial" w:cs="Arial" w:eastAsia="Arial" w:hAnsi="Arial"/>
                <w:sz w:val="14"/>
                <w:szCs w:val="14"/>
                <w:b w:val="1"/>
                <w:bCs w:val="1"/>
                <w:color w:val="auto"/>
                <w:w w:val="99"/>
              </w:rPr>
              <w:t>Amount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January 1, 2018 through March 31, 2018</w:t>
            </w:r>
          </w:p>
        </w:tc>
        <w:tc>
          <w:tcPr>
            <w:tcW w:w="1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16,503</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8"/>
              </w:rPr>
              <w:t>12.97</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April 1, 2018 through June 30, 2018</w:t>
            </w:r>
          </w:p>
        </w:tc>
        <w:tc>
          <w:tcPr>
            <w:tcW w:w="2800" w:type="dxa"/>
            <w:vAlign w:val="bottom"/>
            <w:gridSpan w:val="4"/>
          </w:tcPr>
          <w:p>
            <w:pPr>
              <w:jc w:val="right"/>
              <w:ind w:right="20"/>
              <w:spacing w:after="0"/>
              <w:rPr>
                <w:sz w:val="20"/>
                <w:szCs w:val="20"/>
                <w:color w:val="auto"/>
              </w:rPr>
            </w:pPr>
            <w:r>
              <w:rPr>
                <w:rFonts w:ascii="Arial" w:cs="Arial" w:eastAsia="Arial" w:hAnsi="Arial"/>
                <w:sz w:val="18"/>
                <w:szCs w:val="18"/>
                <w:color w:val="auto"/>
              </w:rPr>
              <w:t>16,216</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14.48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2018 through September 30, 2018</w:t>
            </w:r>
          </w:p>
        </w:tc>
        <w:tc>
          <w:tcPr>
            <w:tcW w:w="2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16,207</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14.83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October 1, 2018 through December 31, 2018</w:t>
            </w:r>
          </w:p>
        </w:tc>
        <w:tc>
          <w:tcPr>
            <w:tcW w:w="1960" w:type="dxa"/>
            <w:vAlign w:val="bottom"/>
            <w:gridSpan w:val="2"/>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29,152</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88"/>
              </w:rPr>
              <w:t>11.85</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78,078</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13.25</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Number of</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Fiscal Year Ended December 31, 2019:</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rPr>
              <w:t>Purchased</w:t>
            </w:r>
          </w:p>
        </w:tc>
        <w:tc>
          <w:tcPr>
            <w:tcW w:w="480" w:type="dxa"/>
            <w:vAlign w:val="bottom"/>
          </w:tcPr>
          <w:p>
            <w:pPr>
              <w:spacing w:after="0"/>
              <w:rPr>
                <w:sz w:val="12"/>
                <w:szCs w:val="12"/>
                <w:color w:val="auto"/>
              </w:rPr>
            </w:pPr>
          </w:p>
        </w:tc>
        <w:tc>
          <w:tcPr>
            <w:tcW w:w="680" w:type="dxa"/>
            <w:vAlign w:val="bottom"/>
            <w:gridSpan w:val="4"/>
          </w:tcPr>
          <w:p>
            <w:pPr>
              <w:jc w:val="center"/>
              <w:spacing w:after="0" w:line="148" w:lineRule="exact"/>
              <w:rPr>
                <w:sz w:val="20"/>
                <w:szCs w:val="20"/>
                <w:color w:val="auto"/>
              </w:rPr>
            </w:pPr>
            <w:r>
              <w:rPr>
                <w:rFonts w:ascii="Arial" w:cs="Arial" w:eastAsia="Arial" w:hAnsi="Arial"/>
                <w:sz w:val="14"/>
                <w:szCs w:val="14"/>
                <w:b w:val="1"/>
                <w:bCs w:val="1"/>
                <w:color w:val="auto"/>
                <w:w w:val="91"/>
              </w:rPr>
              <w:t>Price Paid</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860" w:type="dxa"/>
            <w:vAlign w:val="bottom"/>
            <w:gridSpan w:val="4"/>
            <w:vMerge w:val="continue"/>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gridSpan w:val="3"/>
          </w:tcPr>
          <w:p>
            <w:pPr>
              <w:jc w:val="right"/>
              <w:ind w:right="20"/>
              <w:spacing w:after="0" w:line="157" w:lineRule="exact"/>
              <w:rPr>
                <w:sz w:val="20"/>
                <w:szCs w:val="20"/>
                <w:color w:val="auto"/>
              </w:rPr>
            </w:pPr>
            <w:r>
              <w:rPr>
                <w:rFonts w:ascii="Arial" w:cs="Arial" w:eastAsia="Arial" w:hAnsi="Arial"/>
                <w:sz w:val="14"/>
                <w:szCs w:val="14"/>
                <w:b w:val="1"/>
                <w:bCs w:val="1"/>
                <w:color w:val="auto"/>
                <w:w w:val="96"/>
              </w:rPr>
              <w:t>and Reissued</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3"/>
          </w:tcPr>
          <w:p>
            <w:pPr>
              <w:jc w:val="center"/>
              <w:ind w:right="20"/>
              <w:spacing w:after="0" w:line="157" w:lineRule="exact"/>
              <w:rPr>
                <w:sz w:val="20"/>
                <w:szCs w:val="20"/>
                <w:color w:val="auto"/>
              </w:rPr>
            </w:pPr>
            <w:r>
              <w:rPr>
                <w:rFonts w:ascii="Arial" w:cs="Arial" w:eastAsia="Arial" w:hAnsi="Arial"/>
                <w:sz w:val="14"/>
                <w:szCs w:val="14"/>
                <w:b w:val="1"/>
                <w:bCs w:val="1"/>
                <w:color w:val="auto"/>
                <w:w w:val="94"/>
              </w:rPr>
              <w:t>Per Share</w:t>
            </w:r>
          </w:p>
        </w:tc>
        <w:tc>
          <w:tcPr>
            <w:tcW w:w="1400" w:type="dxa"/>
            <w:vAlign w:val="bottom"/>
            <w:gridSpan w:val="4"/>
          </w:tcPr>
          <w:p>
            <w:pPr>
              <w:ind w:left="520"/>
              <w:spacing w:after="0" w:line="157" w:lineRule="exact"/>
              <w:rPr>
                <w:sz w:val="20"/>
                <w:szCs w:val="20"/>
                <w:color w:val="auto"/>
              </w:rPr>
            </w:pPr>
            <w:r>
              <w:rPr>
                <w:rFonts w:ascii="Arial" w:cs="Arial" w:eastAsia="Arial" w:hAnsi="Arial"/>
                <w:sz w:val="14"/>
                <w:szCs w:val="14"/>
                <w:b w:val="1"/>
                <w:bCs w:val="1"/>
                <w:color w:val="auto"/>
                <w:w w:val="99"/>
              </w:rPr>
              <w:t>Amount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January 1, 2019 through March 31, 2019</w:t>
            </w:r>
          </w:p>
        </w:tc>
        <w:tc>
          <w:tcPr>
            <w:tcW w:w="1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21,855</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8"/>
              </w:rPr>
              <w:t>15.25</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April 1, 2019 through June 30, 2019</w:t>
            </w:r>
          </w:p>
        </w:tc>
        <w:tc>
          <w:tcPr>
            <w:tcW w:w="2800" w:type="dxa"/>
            <w:vAlign w:val="bottom"/>
            <w:gridSpan w:val="4"/>
          </w:tcPr>
          <w:p>
            <w:pPr>
              <w:jc w:val="right"/>
              <w:ind w:right="20"/>
              <w:spacing w:after="0"/>
              <w:rPr>
                <w:sz w:val="20"/>
                <w:szCs w:val="20"/>
                <w:color w:val="auto"/>
              </w:rPr>
            </w:pPr>
            <w:r>
              <w:rPr>
                <w:rFonts w:ascii="Arial" w:cs="Arial" w:eastAsia="Arial" w:hAnsi="Arial"/>
                <w:sz w:val="18"/>
                <w:szCs w:val="18"/>
                <w:color w:val="auto"/>
              </w:rPr>
              <w:t>14,067</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16.23</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2019 through September 30, 2019</w:t>
            </w:r>
          </w:p>
        </w:tc>
        <w:tc>
          <w:tcPr>
            <w:tcW w:w="2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15,289</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15.35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October 1, 2019 through December 31, 2019</w:t>
            </w:r>
          </w:p>
        </w:tc>
        <w:tc>
          <w:tcPr>
            <w:tcW w:w="1960" w:type="dxa"/>
            <w:vAlign w:val="bottom"/>
            <w:gridSpan w:val="2"/>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17,525</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88"/>
              </w:rPr>
              <w:t>15.27</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68,736</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15.48</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Shares</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Nine Months Ended September 30, 2020:</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9"/>
              </w:rPr>
              <w:t>Purchased</w:t>
            </w:r>
          </w:p>
        </w:tc>
        <w:tc>
          <w:tcPr>
            <w:tcW w:w="1160" w:type="dxa"/>
            <w:vAlign w:val="bottom"/>
            <w:gridSpan w:val="5"/>
          </w:tcPr>
          <w:p>
            <w:pPr>
              <w:ind w:left="480"/>
              <w:spacing w:after="0" w:line="148" w:lineRule="exact"/>
              <w:rPr>
                <w:sz w:val="20"/>
                <w:szCs w:val="20"/>
                <w:color w:val="auto"/>
              </w:rPr>
            </w:pPr>
            <w:r>
              <w:rPr>
                <w:rFonts w:ascii="Arial" w:cs="Arial" w:eastAsia="Arial" w:hAnsi="Arial"/>
                <w:sz w:val="14"/>
                <w:szCs w:val="14"/>
                <w:b w:val="1"/>
                <w:bCs w:val="1"/>
                <w:color w:val="auto"/>
                <w:w w:val="97"/>
              </w:rPr>
              <w:t>Price Paid</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860" w:type="dxa"/>
            <w:vAlign w:val="bottom"/>
            <w:gridSpan w:val="4"/>
            <w:vMerge w:val="continue"/>
          </w:tcPr>
          <w:p>
            <w:pPr>
              <w:spacing w:after="0"/>
              <w:rPr>
                <w:sz w:val="13"/>
                <w:szCs w:val="13"/>
                <w:color w:val="auto"/>
              </w:rPr>
            </w:pPr>
          </w:p>
        </w:tc>
        <w:tc>
          <w:tcPr>
            <w:tcW w:w="2800" w:type="dxa"/>
            <w:vAlign w:val="bottom"/>
            <w:gridSpan w:val="4"/>
          </w:tcPr>
          <w:p>
            <w:pPr>
              <w:jc w:val="right"/>
              <w:ind w:right="100"/>
              <w:spacing w:after="0" w:line="157" w:lineRule="exact"/>
              <w:rPr>
                <w:sz w:val="20"/>
                <w:szCs w:val="20"/>
                <w:color w:val="auto"/>
              </w:rPr>
            </w:pPr>
            <w:r>
              <w:rPr>
                <w:rFonts w:ascii="Arial" w:cs="Arial" w:eastAsia="Arial" w:hAnsi="Arial"/>
                <w:sz w:val="14"/>
                <w:szCs w:val="14"/>
                <w:b w:val="1"/>
                <w:bCs w:val="1"/>
                <w:color w:val="auto"/>
              </w:rPr>
              <w:t>and Reissued</w:t>
            </w:r>
          </w:p>
        </w:tc>
        <w:tc>
          <w:tcPr>
            <w:tcW w:w="480" w:type="dxa"/>
            <w:vAlign w:val="bottom"/>
          </w:tcPr>
          <w:p>
            <w:pPr>
              <w:spacing w:after="0"/>
              <w:rPr>
                <w:sz w:val="13"/>
                <w:szCs w:val="13"/>
                <w:color w:val="auto"/>
              </w:rPr>
            </w:pPr>
          </w:p>
        </w:tc>
        <w:tc>
          <w:tcPr>
            <w:tcW w:w="68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Per Share</w:t>
            </w:r>
          </w:p>
        </w:tc>
        <w:tc>
          <w:tcPr>
            <w:tcW w:w="1400" w:type="dxa"/>
            <w:vAlign w:val="bottom"/>
            <w:gridSpan w:val="4"/>
          </w:tcPr>
          <w:p>
            <w:pPr>
              <w:ind w:left="520"/>
              <w:spacing w:after="0" w:line="157" w:lineRule="exact"/>
              <w:rPr>
                <w:sz w:val="20"/>
                <w:szCs w:val="20"/>
                <w:color w:val="auto"/>
              </w:rPr>
            </w:pPr>
            <w:r>
              <w:rPr>
                <w:rFonts w:ascii="Arial" w:cs="Arial" w:eastAsia="Arial" w:hAnsi="Arial"/>
                <w:sz w:val="14"/>
                <w:szCs w:val="14"/>
                <w:b w:val="1"/>
                <w:bCs w:val="1"/>
                <w:color w:val="auto"/>
                <w:w w:val="99"/>
              </w:rPr>
              <w:t>Amount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shd w:val="clear" w:color="auto" w:fill="000000"/>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January 1, 2020 through March 31, 2020</w:t>
            </w:r>
          </w:p>
        </w:tc>
        <w:tc>
          <w:tcPr>
            <w:tcW w:w="18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31,586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center"/>
              <w:ind w:left="50"/>
              <w:spacing w:after="0" w:line="202" w:lineRule="exact"/>
              <w:rPr>
                <w:sz w:val="20"/>
                <w:szCs w:val="20"/>
                <w:color w:val="auto"/>
              </w:rPr>
            </w:pPr>
            <w:r>
              <w:rPr>
                <w:rFonts w:ascii="Arial" w:cs="Arial" w:eastAsia="Arial" w:hAnsi="Arial"/>
                <w:sz w:val="18"/>
                <w:szCs w:val="18"/>
                <w:color w:val="auto"/>
                <w:w w:val="91"/>
              </w:rPr>
              <w:t>7.58</w:t>
            </w: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April 1, 2020 through June 30, 2020</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21,904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center"/>
              <w:ind w:left="50"/>
              <w:spacing w:after="0"/>
              <w:rPr>
                <w:sz w:val="20"/>
                <w:szCs w:val="20"/>
                <w:color w:val="auto"/>
              </w:rPr>
            </w:pPr>
            <w:r>
              <w:rPr>
                <w:rFonts w:ascii="Arial" w:cs="Arial" w:eastAsia="Arial" w:hAnsi="Arial"/>
                <w:sz w:val="18"/>
                <w:szCs w:val="18"/>
                <w:color w:val="auto"/>
                <w:w w:val="91"/>
              </w:rPr>
              <w:t>9.04</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2020 through September 30, 2020</w:t>
            </w:r>
          </w:p>
        </w:tc>
        <w:tc>
          <w:tcPr>
            <w:tcW w:w="2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28,871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60" w:type="dxa"/>
            <w:vAlign w:val="bottom"/>
            <w:gridSpan w:val="4"/>
          </w:tcPr>
          <w:p>
            <w:pPr>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82,361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center"/>
              <w:ind w:left="50"/>
              <w:spacing w:after="0"/>
              <w:rPr>
                <w:sz w:val="20"/>
                <w:szCs w:val="20"/>
                <w:color w:val="auto"/>
              </w:rPr>
            </w:pPr>
            <w:r>
              <w:rPr>
                <w:rFonts w:ascii="Arial" w:cs="Arial" w:eastAsia="Arial" w:hAnsi="Arial"/>
                <w:sz w:val="18"/>
                <w:szCs w:val="18"/>
                <w:color w:val="auto"/>
                <w:w w:val="91"/>
              </w:rPr>
              <w:t>8.88</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80" w:type="dxa"/>
            <w:vAlign w:val="bottom"/>
            <w:vMerge w:val="restart"/>
          </w:tcPr>
          <w:p>
            <w:pPr>
              <w:jc w:val="right"/>
              <w:ind w:right="952"/>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320" w:top="458" w:right="1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Financial Highlights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schedule of financial highlights for the nine months ended September 30, 2020 and 2019:</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50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Per share data:</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16.85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9"/>
              </w:rPr>
              <w:t xml:space="preserve">Net realized gain (loss) on investments, net of tax (provision) </w:t>
            </w:r>
            <w:r>
              <w:rPr>
                <w:rFonts w:ascii="Arial" w:cs="Arial" w:eastAsia="Arial" w:hAnsi="Arial"/>
                <w:sz w:val="15"/>
                <w:szCs w:val="15"/>
                <w:color w:val="auto"/>
                <w:w w:val="99"/>
              </w:rPr>
              <w:t>(1)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unrealized appreciation (depreciation) on investments </w:t>
            </w:r>
            <w:r>
              <w:rPr>
                <w:rFonts w:ascii="Arial" w:cs="Arial" w:eastAsia="Arial" w:hAnsi="Arial"/>
                <w:sz w:val="15"/>
                <w:szCs w:val="15"/>
                <w:color w:val="auto"/>
              </w:rPr>
              <w:t>(1)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 xml:space="preserve">Realized losses on extinguishment of debt </w:t>
            </w:r>
            <w:r>
              <w:rPr>
                <w:rFonts w:ascii="Arial" w:cs="Arial" w:eastAsia="Arial" w:hAnsi="Arial"/>
                <w:sz w:val="15"/>
                <w:szCs w:val="15"/>
                <w:color w:val="auto"/>
              </w:rPr>
              <w:t>(1)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increase from investment operations </w:t>
            </w:r>
            <w:r>
              <w:rPr>
                <w:rFonts w:ascii="Arial" w:cs="Arial" w:eastAsia="Arial" w:hAnsi="Arial"/>
                <w:sz w:val="15"/>
                <w:szCs w:val="15"/>
                <w:color w:val="auto"/>
              </w:rPr>
              <w:t>(1)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Accretive (dilutive) effect of share issuances and repurchases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Dividends to stockholders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72"/>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Market value at end of period</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24,437,400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24,463,119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Weighted average shares outstanding during the period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24,444,120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24,463,119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389,552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402,832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 xml:space="preserve">Average net assets </w:t>
            </w:r>
            <w:r>
              <w:rPr>
                <w:rFonts w:ascii="Arial" w:cs="Arial" w:eastAsia="Arial" w:hAnsi="Arial"/>
                <w:sz w:val="15"/>
                <w:szCs w:val="15"/>
                <w:color w:val="auto"/>
              </w:rPr>
              <w:t>(7)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388,393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402,278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to average net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15"/>
                <w:szCs w:val="15"/>
                <w:color w:val="auto"/>
              </w:rPr>
              <w:t>(3)(5)(12)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(3)(6)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 xml:space="preserve">Portfolio turnover ratio </w:t>
            </w:r>
            <w:r>
              <w:rPr>
                <w:rFonts w:ascii="Arial" w:cs="Arial" w:eastAsia="Arial" w:hAnsi="Arial"/>
                <w:sz w:val="15"/>
                <w:szCs w:val="15"/>
                <w:color w:val="auto"/>
              </w:rPr>
              <w:t>(10)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 xml:space="preserve">Average debt outstanding </w:t>
            </w:r>
            <w:r>
              <w:rPr>
                <w:rFonts w:ascii="Arial" w:cs="Arial" w:eastAsia="Arial" w:hAnsi="Arial"/>
                <w:sz w:val="15"/>
                <w:szCs w:val="15"/>
                <w:color w:val="auto"/>
              </w:rPr>
              <w:t>(8)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368,125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307,625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Average debt per share </w:t>
            </w:r>
            <w:r>
              <w:rPr>
                <w:rFonts w:ascii="Arial" w:cs="Arial" w:eastAsia="Arial" w:hAnsi="Arial"/>
                <w:sz w:val="15"/>
                <w:szCs w:val="15"/>
                <w:color w:val="auto"/>
              </w:rPr>
              <w:t>(1)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60" w:hanging="431"/>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Weighted average per share data.</w:t>
      </w:r>
    </w:p>
    <w:p>
      <w:pPr>
        <w:spacing w:after="0" w:line="22" w:lineRule="exact"/>
        <w:rPr>
          <w:rFonts w:ascii="Arial" w:cs="Arial" w:eastAsia="Arial" w:hAnsi="Arial"/>
          <w:sz w:val="18"/>
          <w:szCs w:val="18"/>
          <w:color w:val="auto"/>
        </w:rPr>
      </w:pPr>
    </w:p>
    <w:p>
      <w:pPr>
        <w:ind w:left="560" w:right="80" w:hanging="431"/>
        <w:spacing w:after="0" w:line="249"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spacing w:after="0" w:line="2" w:lineRule="exact"/>
        <w:rPr>
          <w:rFonts w:ascii="Arial" w:cs="Arial" w:eastAsia="Arial" w:hAnsi="Arial"/>
          <w:sz w:val="18"/>
          <w:szCs w:val="18"/>
          <w:color w:val="auto"/>
        </w:rPr>
      </w:pPr>
    </w:p>
    <w:p>
      <w:pPr>
        <w:ind w:left="560" w:hanging="431"/>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Annualized with the exception of the Income Incentive Fee Waiver.</w:t>
      </w:r>
    </w:p>
    <w:p>
      <w:pPr>
        <w:spacing w:after="0" w:line="8" w:lineRule="exact"/>
        <w:rPr>
          <w:rFonts w:ascii="Arial" w:cs="Arial" w:eastAsia="Arial" w:hAnsi="Arial"/>
          <w:sz w:val="18"/>
          <w:szCs w:val="18"/>
          <w:color w:val="auto"/>
        </w:rPr>
      </w:pPr>
    </w:p>
    <w:p>
      <w:pPr>
        <w:jc w:val="both"/>
        <w:ind w:left="560" w:right="100" w:hanging="431"/>
        <w:spacing w:after="0" w:line="264" w:lineRule="auto"/>
        <w:tabs>
          <w:tab w:leader="none" w:pos="5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spacing w:after="0" w:line="1" w:lineRule="exact"/>
        <w:rPr>
          <w:rFonts w:ascii="Arial" w:cs="Arial" w:eastAsia="Arial" w:hAnsi="Arial"/>
          <w:sz w:val="17"/>
          <w:szCs w:val="17"/>
          <w:color w:val="auto"/>
        </w:rPr>
      </w:pPr>
    </w:p>
    <w:p>
      <w:pPr>
        <w:ind w:left="560" w:right="60" w:hanging="431"/>
        <w:spacing w:after="0" w:line="249"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total expenses to average net assets ratio is calculated using the total expenses before income incentive fee waiver caption as presented on the consolidated statements of operations, which includes incentive fee and excludes the income tax provision.</w:t>
      </w:r>
    </w:p>
    <w:p>
      <w:pPr>
        <w:spacing w:after="0" w:line="1" w:lineRule="exact"/>
        <w:rPr>
          <w:rFonts w:ascii="Arial" w:cs="Arial" w:eastAsia="Arial" w:hAnsi="Arial"/>
          <w:sz w:val="18"/>
          <w:szCs w:val="18"/>
          <w:color w:val="auto"/>
        </w:rPr>
      </w:pPr>
    </w:p>
    <w:p>
      <w:pPr>
        <w:ind w:left="560" w:right="460" w:hanging="431"/>
        <w:spacing w:after="0" w:line="249"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net investment income to average net assets ratio is calculated using the net investment income caption as presented on the consolidated statements of operations, which includes incentive fee.</w:t>
      </w:r>
    </w:p>
    <w:p>
      <w:pPr>
        <w:spacing w:after="0" w:line="1" w:lineRule="exact"/>
        <w:rPr>
          <w:rFonts w:ascii="Arial" w:cs="Arial" w:eastAsia="Arial" w:hAnsi="Arial"/>
          <w:sz w:val="18"/>
          <w:szCs w:val="18"/>
          <w:color w:val="auto"/>
        </w:rPr>
      </w:pPr>
    </w:p>
    <w:p>
      <w:pPr>
        <w:ind w:left="560" w:hanging="431"/>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Average net assets is calculated as the average of the net asset balances as of each quarter end during the fiscal year and the prior year end.</w:t>
      </w:r>
    </w:p>
    <w:p>
      <w:pPr>
        <w:spacing w:after="0" w:line="31" w:lineRule="exact"/>
        <w:rPr>
          <w:rFonts w:ascii="Arial" w:cs="Arial" w:eastAsia="Arial" w:hAnsi="Arial"/>
          <w:sz w:val="16"/>
          <w:szCs w:val="16"/>
          <w:color w:val="auto"/>
        </w:rPr>
      </w:pPr>
    </w:p>
    <w:p>
      <w:pPr>
        <w:ind w:left="560" w:right="200" w:hanging="431"/>
        <w:spacing w:after="0" w:line="249"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debt outstanding is calculated as the average of the outstanding debt balances as of each quarter end during the fiscal year and the prior year end.</w:t>
      </w:r>
    </w:p>
    <w:p>
      <w:pPr>
        <w:spacing w:after="0" w:line="1" w:lineRule="exact"/>
        <w:rPr>
          <w:rFonts w:ascii="Arial" w:cs="Arial" w:eastAsia="Arial" w:hAnsi="Arial"/>
          <w:sz w:val="18"/>
          <w:szCs w:val="18"/>
          <w:color w:val="auto"/>
        </w:rPr>
      </w:pPr>
    </w:p>
    <w:p>
      <w:pPr>
        <w:ind w:left="560" w:hanging="431"/>
        <w:spacing w:after="0" w:line="249"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spacing w:after="0" w:line="2" w:lineRule="exact"/>
        <w:rPr>
          <w:rFonts w:ascii="Arial" w:cs="Arial" w:eastAsia="Arial" w:hAnsi="Arial"/>
          <w:sz w:val="18"/>
          <w:szCs w:val="18"/>
          <w:color w:val="auto"/>
        </w:rPr>
      </w:pPr>
    </w:p>
    <w:p>
      <w:pPr>
        <w:ind w:left="560" w:hanging="431"/>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Annualized.</w:t>
      </w:r>
    </w:p>
    <w:p>
      <w:pPr>
        <w:spacing w:after="0" w:line="8" w:lineRule="exact"/>
        <w:rPr>
          <w:rFonts w:ascii="Arial" w:cs="Arial" w:eastAsia="Arial" w:hAnsi="Arial"/>
          <w:sz w:val="18"/>
          <w:szCs w:val="18"/>
          <w:color w:val="auto"/>
        </w:rPr>
      </w:pPr>
    </w:p>
    <w:p>
      <w:pPr>
        <w:ind w:left="560" w:right="820" w:hanging="431"/>
        <w:spacing w:after="0" w:line="259"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ratio of waived incentive fees to average net assets was (0.11%) and zero for the nine months ended September 30, 2020 and 2019, respectively.</w:t>
      </w:r>
    </w:p>
    <w:p>
      <w:pPr>
        <w:sectPr>
          <w:pgSz w:w="11900" w:h="16838" w:orient="portrait"/>
          <w:cols w:equalWidth="0" w:num="1">
            <w:col w:w="11100"/>
          </w:cols>
          <w:pgMar w:left="320" w:top="459" w:right="479" w:bottom="1440" w:gutter="0" w:footer="0" w:header="0"/>
        </w:sectPr>
      </w:pP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100"/>
          </w:cols>
          <w:pgMar w:left="320" w:top="459" w:right="47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  The following is a schedule of supplemental expense ratios to average net assets:</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Ratio to average net assets:</w:t>
            </w:r>
          </w:p>
        </w:tc>
        <w:tc>
          <w:tcPr>
            <w:tcW w:w="29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28"/>
        </w:trPr>
        <w:tc>
          <w:tcPr>
            <w:tcW w:w="5380" w:type="dxa"/>
            <w:vAlign w:val="bottom"/>
            <w:gridSpan w:val="3"/>
            <w:vMerge w:val="continue"/>
          </w:tcPr>
          <w:p>
            <w:pPr>
              <w:spacing w:after="0"/>
              <w:rPr>
                <w:sz w:val="11"/>
                <w:szCs w:val="11"/>
                <w:color w:val="auto"/>
              </w:rPr>
            </w:pPr>
          </w:p>
        </w:tc>
        <w:tc>
          <w:tcPr>
            <w:tcW w:w="72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4"/>
                <w:szCs w:val="14"/>
                <w:b w:val="1"/>
                <w:bCs w:val="1"/>
                <w:color w:val="auto"/>
              </w:rPr>
              <w:t>2020</w:t>
            </w:r>
          </w:p>
        </w:tc>
        <w:tc>
          <w:tcPr>
            <w:tcW w:w="1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CCEEFF"/>
            </w:tcBorders>
            <w:shd w:val="clear" w:color="auto" w:fill="000000"/>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Expenses other than incentive fee </w:t>
            </w:r>
            <w:r>
              <w:rPr>
                <w:rFonts w:ascii="Arial" w:cs="Arial" w:eastAsia="Arial" w:hAnsi="Arial"/>
                <w:sz w:val="15"/>
                <w:szCs w:val="15"/>
                <w:color w:val="auto"/>
              </w:rPr>
              <w:t>(3)</w:t>
            </w:r>
          </w:p>
        </w:tc>
        <w:tc>
          <w:tcPr>
            <w:tcW w:w="1980" w:type="dxa"/>
            <w:vAlign w:val="bottom"/>
            <w:gridSpan w:val="2"/>
            <w:shd w:val="clear" w:color="auto" w:fill="CCEEFF"/>
          </w:tcPr>
          <w:p>
            <w:pPr>
              <w:jc w:val="right"/>
              <w:ind w:right="1120"/>
              <w:spacing w:after="0" w:line="202" w:lineRule="exact"/>
              <w:rPr>
                <w:sz w:val="20"/>
                <w:szCs w:val="20"/>
                <w:color w:val="auto"/>
              </w:rPr>
            </w:pPr>
            <w:r>
              <w:rPr>
                <w:rFonts w:ascii="Arial" w:cs="Arial" w:eastAsia="Arial" w:hAnsi="Arial"/>
                <w:sz w:val="18"/>
                <w:szCs w:val="18"/>
                <w:color w:val="auto"/>
              </w:rPr>
              <w:t>9.7%</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 xml:space="preserve">Incentive fee, net of incentive fee waiver </w:t>
            </w:r>
            <w:r>
              <w:rPr>
                <w:rFonts w:ascii="Arial" w:cs="Arial" w:eastAsia="Arial" w:hAnsi="Arial"/>
                <w:sz w:val="15"/>
                <w:szCs w:val="15"/>
                <w:color w:val="auto"/>
              </w:rPr>
              <w:t>(3)(11)</w:t>
            </w:r>
          </w:p>
        </w:tc>
        <w:tc>
          <w:tcPr>
            <w:tcW w:w="1980" w:type="dxa"/>
            <w:vAlign w:val="bottom"/>
            <w:gridSpan w:val="2"/>
          </w:tcPr>
          <w:p>
            <w:pPr>
              <w:jc w:val="right"/>
              <w:ind w:right="1060"/>
              <w:spacing w:after="0"/>
              <w:rPr>
                <w:sz w:val="20"/>
                <w:szCs w:val="20"/>
                <w:color w:val="auto"/>
              </w:rPr>
            </w:pPr>
            <w:r>
              <w:rPr>
                <w:rFonts w:ascii="Arial" w:cs="Arial" w:eastAsia="Arial" w:hAnsi="Arial"/>
                <w:sz w:val="18"/>
                <w:szCs w:val="18"/>
                <w:color w:val="auto"/>
              </w:rPr>
              <w:t>(0.1%)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15"/>
                <w:szCs w:val="15"/>
                <w:color w:val="auto"/>
              </w:rPr>
              <w:t>(3)(5)</w:t>
            </w:r>
          </w:p>
        </w:tc>
        <w:tc>
          <w:tcPr>
            <w:tcW w:w="19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9.6%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Subsequent Events</w:t>
      </w:r>
    </w:p>
    <w:p>
      <w:pPr>
        <w:spacing w:after="0" w:line="120" w:lineRule="exact"/>
        <w:rPr>
          <w:sz w:val="20"/>
          <w:szCs w:val="20"/>
          <w:color w:val="auto"/>
        </w:rPr>
      </w:pPr>
    </w:p>
    <w:p>
      <w:pPr>
        <w:ind w:left="120" w:right="80" w:firstLine="439"/>
        <w:spacing w:after="0" w:line="263" w:lineRule="auto"/>
        <w:rPr>
          <w:sz w:val="20"/>
          <w:szCs w:val="20"/>
          <w:color w:val="auto"/>
        </w:rPr>
      </w:pPr>
      <w:r>
        <w:rPr>
          <w:rFonts w:ascii="Arial" w:cs="Arial" w:eastAsia="Arial" w:hAnsi="Arial"/>
          <w:sz w:val="18"/>
          <w:szCs w:val="18"/>
          <w:color w:val="auto"/>
        </w:rPr>
        <w:t>On October 1, 2020, the Company exited its debt and equity investments in Pugh Lubricants, LLC. The Company received payment in full of $26,630 on its subordinated debt investment, which includes a prepayment fee. The Company received a distribution on its common equity investment for a realized gain of approximately $521.</w:t>
      </w:r>
    </w:p>
    <w:p>
      <w:pPr>
        <w:spacing w:after="0" w:line="182" w:lineRule="exact"/>
        <w:rPr>
          <w:sz w:val="20"/>
          <w:szCs w:val="20"/>
          <w:color w:val="auto"/>
        </w:rPr>
      </w:pPr>
    </w:p>
    <w:p>
      <w:pPr>
        <w:ind w:left="120" w:firstLine="439"/>
        <w:spacing w:after="0" w:line="263" w:lineRule="auto"/>
        <w:rPr>
          <w:sz w:val="20"/>
          <w:szCs w:val="20"/>
          <w:color w:val="auto"/>
        </w:rPr>
      </w:pPr>
      <w:r>
        <w:rPr>
          <w:rFonts w:ascii="Arial" w:cs="Arial" w:eastAsia="Arial" w:hAnsi="Arial"/>
          <w:sz w:val="18"/>
          <w:szCs w:val="18"/>
          <w:color w:val="auto"/>
        </w:rPr>
        <w:t>On October 26, 2020, the Board declared a regular quarterly dividend of $0.30 per share payable on December 18, 2020 to stockholders of record as of December 4, 2020. In addition, the Board of Directors declared a supplemental dividend of $0.04 per share payable December 18, 2020 to stockholders of record as of December 4, 2020.</w:t>
      </w:r>
    </w:p>
    <w:p>
      <w:pPr>
        <w:spacing w:after="0" w:line="182" w:lineRule="exact"/>
        <w:rPr>
          <w:sz w:val="20"/>
          <w:szCs w:val="20"/>
          <w:color w:val="auto"/>
        </w:rPr>
      </w:pPr>
    </w:p>
    <w:p>
      <w:pPr>
        <w:ind w:left="120" w:right="100" w:firstLine="439"/>
        <w:spacing w:after="0" w:line="276" w:lineRule="auto"/>
        <w:rPr>
          <w:sz w:val="20"/>
          <w:szCs w:val="20"/>
          <w:color w:val="auto"/>
        </w:rPr>
      </w:pPr>
      <w:r>
        <w:rPr>
          <w:rFonts w:ascii="Arial" w:cs="Arial" w:eastAsia="Arial" w:hAnsi="Arial"/>
          <w:sz w:val="18"/>
          <w:szCs w:val="18"/>
          <w:color w:val="auto"/>
        </w:rPr>
        <w:t>On October 28, 2020, the Company invested $6,000 in second lien debt, which was a partial funding of a $12,000 note commitment, and $1,500 common equity in a leading regional distributor of pool equipment and supplies.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COVID-19</w:t>
      </w:r>
    </w:p>
    <w:p>
      <w:pPr>
        <w:spacing w:after="0" w:line="116" w:lineRule="exact"/>
        <w:rPr>
          <w:sz w:val="20"/>
          <w:szCs w:val="20"/>
          <w:color w:val="auto"/>
        </w:rPr>
      </w:pPr>
    </w:p>
    <w:p>
      <w:pPr>
        <w:ind w:left="120" w:firstLine="439"/>
        <w:spacing w:after="0" w:line="255" w:lineRule="auto"/>
        <w:rPr>
          <w:sz w:val="20"/>
          <w:szCs w:val="20"/>
          <w:color w:val="auto"/>
        </w:rPr>
      </w:pPr>
      <w:r>
        <w:rPr>
          <w:rFonts w:ascii="Arial" w:cs="Arial" w:eastAsia="Arial" w:hAnsi="Arial"/>
          <w:sz w:val="18"/>
          <w:szCs w:val="18"/>
          <w:color w:val="auto"/>
        </w:rPr>
        <w:t>Subsequent to September 30, 2020, the global outbreak of the coronavirus (“COVID-19”) pandemic, and the related effect on the U.S. and global economies, has continued to have adverse consequences for the business operations of some of the Company’s portfolio companies. The ultimate economic fallout from the pandemic, and the long-term impact on economies, markets, industries and individual issuers, remain uncertain. The operational and financial performance of the issuers of securities in which the Company invests depends on future developments, including the duration and spread of the outbreak, and such uncertainty may in turn adversely affect the value and liquidity of the Company’s investments and negatively impact the Company’s performance.</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40"/>
          </w:cols>
          <w:pgMar w:left="320" w:top="458" w:right="5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0" w:lineRule="exact"/>
        <w:rPr>
          <w:sz w:val="20"/>
          <w:szCs w:val="20"/>
          <w:color w:val="auto"/>
        </w:rPr>
      </w:pPr>
    </w:p>
    <w:p>
      <w:pPr>
        <w:ind w:left="120" w:right="20" w:firstLine="439"/>
        <w:spacing w:after="0" w:line="27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Fidus Investment Corporation’s consolidated financial statements and related notes appearing in our annual report on Form 10-K for the year ended December 31, 2019, filed with the SEC on February 27, 2020. The information contained in this section should also be read in conjunction with our unaudited consolidated financial statements and related notes thereto appearing elsewhere in this quarterly report on Form 10-Q.</w:t>
      </w:r>
    </w:p>
    <w:p>
      <w:pPr>
        <w:spacing w:after="0" w:line="172" w:lineRule="exact"/>
        <w:rPr>
          <w:sz w:val="20"/>
          <w:szCs w:val="20"/>
          <w:color w:val="auto"/>
        </w:rPr>
      </w:pPr>
    </w:p>
    <w:p>
      <w:pPr>
        <w:ind w:left="120" w:right="160" w:firstLine="439"/>
        <w:spacing w:after="0" w:line="276" w:lineRule="auto"/>
        <w:rPr>
          <w:sz w:val="20"/>
          <w:szCs w:val="20"/>
          <w:color w:val="auto"/>
        </w:rPr>
      </w:pPr>
      <w:r>
        <w:rPr>
          <w:rFonts w:ascii="Arial" w:cs="Arial" w:eastAsia="Arial" w:hAnsi="Arial"/>
          <w:sz w:val="18"/>
          <w:szCs w:val="18"/>
          <w:i w:val="1"/>
          <w:iCs w:val="1"/>
          <w:color w:val="auto"/>
        </w:rPr>
        <w:t>Except as otherwise specified, references to “we,” “us,” “our,” “Fidus” and “FIC” refer to Fidus Investment Corporation and its consolidated subsidiaries.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 Looking Statements</w:t>
      </w:r>
    </w:p>
    <w:p>
      <w:pPr>
        <w:spacing w:after="0" w:line="120" w:lineRule="exact"/>
        <w:rPr>
          <w:sz w:val="20"/>
          <w:szCs w:val="20"/>
          <w:color w:val="auto"/>
        </w:rPr>
      </w:pPr>
    </w:p>
    <w:p>
      <w:pPr>
        <w:ind w:left="120" w:right="20" w:firstLine="439"/>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spacing w:after="0" w:line="95" w:lineRule="exact"/>
        <w:rPr>
          <w:sz w:val="20"/>
          <w:szCs w:val="20"/>
          <w:color w:val="auto"/>
        </w:rPr>
      </w:pPr>
    </w:p>
    <w:p>
      <w:pPr>
        <w:ind w:left="1100" w:hanging="432"/>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future operating results and the impact of the COVID-19 pandemic thereon;</w:t>
      </w:r>
    </w:p>
    <w:p>
      <w:pPr>
        <w:spacing w:after="0" w:line="129" w:lineRule="exact"/>
        <w:rPr>
          <w:rFonts w:ascii="Arial" w:cs="Arial" w:eastAsia="Arial" w:hAnsi="Arial"/>
          <w:sz w:val="18"/>
          <w:szCs w:val="18"/>
          <w:color w:val="auto"/>
        </w:rPr>
      </w:pPr>
    </w:p>
    <w:p>
      <w:pPr>
        <w:ind w:left="1100" w:right="100" w:hanging="432"/>
        <w:spacing w:after="0" w:line="276"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 including our and their ability to achieve our respective objectives as a result of the current COVID-19 pandemic;</w:t>
      </w:r>
    </w:p>
    <w:p>
      <w:pPr>
        <w:spacing w:after="0" w:line="76" w:lineRule="exact"/>
        <w:rPr>
          <w:rFonts w:ascii="Arial" w:cs="Arial" w:eastAsia="Arial" w:hAnsi="Arial"/>
          <w:sz w:val="18"/>
          <w:szCs w:val="18"/>
          <w:color w:val="auto"/>
        </w:rPr>
      </w:pPr>
    </w:p>
    <w:p>
      <w:pPr>
        <w:ind w:left="1100" w:hanging="432"/>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29" w:lineRule="exact"/>
        <w:rPr>
          <w:rFonts w:ascii="Arial" w:cs="Arial" w:eastAsia="Arial" w:hAnsi="Arial"/>
          <w:sz w:val="18"/>
          <w:szCs w:val="18"/>
          <w:color w:val="auto"/>
        </w:rPr>
      </w:pPr>
    </w:p>
    <w:p>
      <w:pPr>
        <w:ind w:left="1100" w:hanging="432"/>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pandemics or other serious public health events, such as the recent global outbreak of COVID-19;</w:t>
      </w:r>
    </w:p>
    <w:p>
      <w:pPr>
        <w:spacing w:after="0" w:line="129" w:lineRule="exact"/>
        <w:rPr>
          <w:rFonts w:ascii="Arial" w:cs="Arial" w:eastAsia="Arial" w:hAnsi="Arial"/>
          <w:sz w:val="18"/>
          <w:szCs w:val="18"/>
          <w:color w:val="auto"/>
        </w:rPr>
      </w:pPr>
    </w:p>
    <w:p>
      <w:pPr>
        <w:ind w:left="1100" w:hanging="432"/>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29" w:lineRule="exact"/>
        <w:rPr>
          <w:rFonts w:ascii="Arial" w:cs="Arial" w:eastAsia="Arial" w:hAnsi="Arial"/>
          <w:sz w:val="18"/>
          <w:szCs w:val="18"/>
          <w:color w:val="auto"/>
        </w:rPr>
      </w:pPr>
    </w:p>
    <w:p>
      <w:pPr>
        <w:ind w:left="1100" w:right="360" w:hanging="432"/>
        <w:spacing w:after="0" w:line="276"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 and the impact of the COVID-19 pandemic thereon;</w:t>
      </w:r>
    </w:p>
    <w:p>
      <w:pPr>
        <w:spacing w:after="0" w:line="76" w:lineRule="exact"/>
        <w:rPr>
          <w:rFonts w:ascii="Arial" w:cs="Arial" w:eastAsia="Arial" w:hAnsi="Arial"/>
          <w:sz w:val="18"/>
          <w:szCs w:val="18"/>
          <w:color w:val="auto"/>
        </w:rPr>
      </w:pPr>
    </w:p>
    <w:p>
      <w:pPr>
        <w:ind w:left="1100" w:hanging="432"/>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29" w:lineRule="exact"/>
        <w:rPr>
          <w:rFonts w:ascii="Arial" w:cs="Arial" w:eastAsia="Arial" w:hAnsi="Arial"/>
          <w:sz w:val="18"/>
          <w:szCs w:val="18"/>
          <w:color w:val="auto"/>
        </w:rPr>
      </w:pPr>
    </w:p>
    <w:p>
      <w:pPr>
        <w:ind w:left="1100" w:hanging="432"/>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expected financing and investments;</w:t>
      </w:r>
    </w:p>
    <w:p>
      <w:pPr>
        <w:spacing w:after="0" w:line="129" w:lineRule="exact"/>
        <w:rPr>
          <w:rFonts w:ascii="Arial" w:cs="Arial" w:eastAsia="Arial" w:hAnsi="Arial"/>
          <w:sz w:val="18"/>
          <w:szCs w:val="18"/>
          <w:color w:val="auto"/>
        </w:rPr>
      </w:pPr>
    </w:p>
    <w:p>
      <w:pPr>
        <w:ind w:left="1100" w:hanging="432"/>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29" w:lineRule="exact"/>
        <w:rPr>
          <w:rFonts w:ascii="Arial" w:cs="Arial" w:eastAsia="Arial" w:hAnsi="Arial"/>
          <w:sz w:val="18"/>
          <w:szCs w:val="18"/>
          <w:color w:val="auto"/>
        </w:rPr>
      </w:pPr>
    </w:p>
    <w:p>
      <w:pPr>
        <w:ind w:left="1100" w:hanging="432"/>
        <w:spacing w:after="0"/>
        <w:tabs>
          <w:tab w:leader="none" w:pos="11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timing of cash flows, if any, from the operations of our portfolio companies and the impact of the COVID-19 pandemic thereon; and</w:t>
      </w:r>
    </w:p>
    <w:p>
      <w:pPr>
        <w:spacing w:after="0" w:line="152" w:lineRule="exact"/>
        <w:rPr>
          <w:rFonts w:ascii="Arial" w:cs="Arial" w:eastAsia="Arial" w:hAnsi="Arial"/>
          <w:sz w:val="16"/>
          <w:szCs w:val="16"/>
          <w:color w:val="auto"/>
        </w:rPr>
      </w:pPr>
    </w:p>
    <w:p>
      <w:pPr>
        <w:ind w:left="1100" w:right="160" w:hanging="432"/>
        <w:spacing w:after="0" w:line="276"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the Investment Advisor to locate suitable investments for us and to monitor and administer our investments and the impacts of the COVID-19 pandemic thereon.</w:t>
      </w:r>
    </w:p>
    <w:p>
      <w:pPr>
        <w:spacing w:after="0" w:line="170" w:lineRule="exact"/>
        <w:rPr>
          <w:sz w:val="20"/>
          <w:szCs w:val="20"/>
          <w:color w:val="auto"/>
        </w:rPr>
      </w:pPr>
    </w:p>
    <w:p>
      <w:pPr>
        <w:jc w:val="both"/>
        <w:ind w:left="120" w:right="120" w:firstLine="439"/>
        <w:spacing w:after="0" w:line="263"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87" w:lineRule="exact"/>
        <w:rPr>
          <w:sz w:val="20"/>
          <w:szCs w:val="20"/>
          <w:color w:val="auto"/>
        </w:rPr>
      </w:pPr>
    </w:p>
    <w:p>
      <w:pPr>
        <w:ind w:left="1100" w:right="40" w:hanging="432"/>
        <w:spacing w:after="0" w:line="276"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economic downturn, including as a result of the current COVID-19 pandemic, could impair our portfolio companies’ ability to continue to operate, which could lead to the loss of some or all of our investments in such portfolio companies;</w:t>
      </w:r>
    </w:p>
    <w:p>
      <w:pPr>
        <w:spacing w:after="0" w:line="76" w:lineRule="exact"/>
        <w:rPr>
          <w:rFonts w:ascii="Arial" w:cs="Arial" w:eastAsia="Arial" w:hAnsi="Arial"/>
          <w:sz w:val="18"/>
          <w:szCs w:val="18"/>
          <w:color w:val="auto"/>
        </w:rPr>
      </w:pPr>
    </w:p>
    <w:p>
      <w:pPr>
        <w:ind w:left="1100" w:right="240" w:hanging="432"/>
        <w:spacing w:after="0" w:line="276"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including as a result of the COVID-19 pandemic, could impair our lending and investment activities;</w:t>
      </w:r>
    </w:p>
    <w:p>
      <w:pPr>
        <w:spacing w:after="0" w:line="76" w:lineRule="exact"/>
        <w:rPr>
          <w:rFonts w:ascii="Arial" w:cs="Arial" w:eastAsia="Arial" w:hAnsi="Arial"/>
          <w:sz w:val="18"/>
          <w:szCs w:val="18"/>
          <w:color w:val="auto"/>
        </w:rPr>
      </w:pPr>
    </w:p>
    <w:p>
      <w:pPr>
        <w:ind w:left="1100" w:hanging="432"/>
        <w:spacing w:after="0"/>
        <w:tabs>
          <w:tab w:leader="none" w:pos="11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because we use leverage as part of our investment strategy;</w:t>
      </w:r>
    </w:p>
    <w:p>
      <w:pPr>
        <w:spacing w:after="0" w:line="141" w:lineRule="exact"/>
        <w:rPr>
          <w:rFonts w:ascii="Arial" w:cs="Arial" w:eastAsia="Arial" w:hAnsi="Arial"/>
          <w:sz w:val="17"/>
          <w:szCs w:val="17"/>
          <w:color w:val="auto"/>
        </w:rPr>
      </w:pPr>
    </w:p>
    <w:p>
      <w:pPr>
        <w:ind w:left="1100" w:right="160" w:hanging="432"/>
        <w:spacing w:after="0" w:line="276"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currency fluctuations could adversely affect the results of our investments in foreign companies, particularly to the extent that we receive payments denominated in foreign currency rather than the U.S. dollars; and</w:t>
      </w:r>
    </w:p>
    <w:p>
      <w:pPr>
        <w:spacing w:after="0" w:line="76" w:lineRule="exact"/>
        <w:rPr>
          <w:rFonts w:ascii="Arial" w:cs="Arial" w:eastAsia="Arial" w:hAnsi="Arial"/>
          <w:sz w:val="18"/>
          <w:szCs w:val="18"/>
          <w:color w:val="auto"/>
        </w:rPr>
      </w:pPr>
    </w:p>
    <w:p>
      <w:pPr>
        <w:ind w:left="1100" w:right="100" w:hanging="432"/>
        <w:spacing w:after="0" w:line="306" w:lineRule="auto"/>
        <w:tabs>
          <w:tab w:leader="none" w:pos="11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the risks, uncertainties and other factors we identify in </w:t>
      </w:r>
      <w:r>
        <w:rPr>
          <w:rFonts w:ascii="Arial" w:cs="Arial" w:eastAsia="Arial" w:hAnsi="Arial"/>
          <w:sz w:val="17"/>
          <w:szCs w:val="17"/>
          <w:i w:val="1"/>
          <w:iCs w:val="1"/>
          <w:color w:val="auto"/>
        </w:rPr>
        <w:t>Item 1A. – Risk Factors</w:t>
      </w:r>
      <w:r>
        <w:rPr>
          <w:rFonts w:ascii="Arial" w:cs="Arial" w:eastAsia="Arial" w:hAnsi="Arial"/>
          <w:sz w:val="17"/>
          <w:szCs w:val="17"/>
          <w:color w:val="auto"/>
        </w:rPr>
        <w:t xml:space="preserve"> contained in our Annual Report on Form 10-K for the year ended December 31, 2019, elsewhere in this Quarterly Report on Form 10-Q and in our other filings with the SEC.</w:t>
      </w:r>
    </w:p>
    <w:p>
      <w:pPr>
        <w:spacing w:after="0" w:line="148" w:lineRule="exact"/>
        <w:rPr>
          <w:sz w:val="20"/>
          <w:szCs w:val="20"/>
          <w:color w:val="auto"/>
        </w:rPr>
      </w:pPr>
    </w:p>
    <w:p>
      <w:pPr>
        <w:ind w:left="120" w:firstLine="439"/>
        <w:spacing w:after="0" w:line="291" w:lineRule="auto"/>
        <w:rPr>
          <w:sz w:val="20"/>
          <w:szCs w:val="20"/>
          <w:color w:val="auto"/>
        </w:rPr>
      </w:pPr>
      <w:r>
        <w:rPr>
          <w:rFonts w:ascii="Arial" w:cs="Arial" w:eastAsia="Arial" w:hAnsi="Arial"/>
          <w:sz w:val="16"/>
          <w:szCs w:val="16"/>
          <w:color w:val="auto"/>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Arial" w:cs="Arial" w:eastAsia="Arial" w:hAnsi="Arial"/>
          <w:sz w:val="16"/>
          <w:szCs w:val="16"/>
          <w:i w:val="1"/>
          <w:iCs w:val="1"/>
          <w:color w:val="auto"/>
        </w:rPr>
        <w:t>Item 1.A – Risk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Factors </w:t>
      </w:r>
      <w:r>
        <w:rPr>
          <w:rFonts w:ascii="Arial" w:cs="Arial" w:eastAsia="Arial" w:hAnsi="Arial"/>
          <w:sz w:val="16"/>
          <w:szCs w:val="16"/>
          <w:color w:val="auto"/>
        </w:rPr>
        <w:t>contained in our Annual Report on Form 10-K for the year ended December 31, 2019, filed with the SEC on February 27, 2020. You should not</w:t>
      </w:r>
      <w:r>
        <w:rPr>
          <w:rFonts w:ascii="Arial" w:cs="Arial" w:eastAsia="Arial" w:hAnsi="Arial"/>
          <w:sz w:val="16"/>
          <w:szCs w:val="16"/>
          <w:i w:val="1"/>
          <w:iCs w:val="1"/>
          <w:color w:val="auto"/>
        </w:rPr>
        <w:t xml:space="preserve"> </w:t>
      </w:r>
      <w:r>
        <w:rPr>
          <w:rFonts w:ascii="Arial" w:cs="Arial" w:eastAsia="Arial" w:hAnsi="Arial"/>
          <w:sz w:val="16"/>
          <w:szCs w:val="16"/>
          <w:color w:val="auto"/>
        </w:rPr>
        <w:t>place undue reliance on these forward-looking statements, which apply only as of the date of this Quarterly Report on Form 10-Q.</w:t>
      </w:r>
    </w:p>
    <w:p>
      <w:pPr>
        <w:sectPr>
          <w:pgSz w:w="11900" w:h="16838" w:orient="portrait"/>
          <w:cols w:equalWidth="0" w:num="1">
            <w:col w:w="11100"/>
          </w:cols>
          <w:pgMar w:left="320" w:top="458" w:right="479" w:bottom="1440" w:gutter="0" w:footer="0" w:header="0"/>
        </w:sectPr>
      </w:pPr>
    </w:p>
    <w:p>
      <w:pPr>
        <w:spacing w:after="0" w:line="9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100"/>
          </w:cols>
          <w:pgMar w:left="320" w:top="458" w:right="47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Corporate Structure</w:t>
      </w:r>
    </w:p>
    <w:p>
      <w:pPr>
        <w:spacing w:after="0" w:line="116" w:lineRule="exact"/>
        <w:rPr>
          <w:sz w:val="20"/>
          <w:szCs w:val="20"/>
          <w:color w:val="auto"/>
        </w:rPr>
      </w:pPr>
    </w:p>
    <w:p>
      <w:pPr>
        <w:ind w:left="120" w:right="100" w:firstLine="439"/>
        <w:spacing w:after="0" w:line="273" w:lineRule="auto"/>
        <w:rPr>
          <w:sz w:val="20"/>
          <w:szCs w:val="20"/>
          <w:color w:val="auto"/>
        </w:rPr>
      </w:pPr>
      <w:r>
        <w:rPr>
          <w:rFonts w:ascii="Arial" w:cs="Arial" w:eastAsia="Arial" w:hAnsi="Arial"/>
          <w:sz w:val="17"/>
          <w:szCs w:val="17"/>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74" w:lineRule="exact"/>
        <w:rPr>
          <w:sz w:val="20"/>
          <w:szCs w:val="20"/>
          <w:color w:val="auto"/>
        </w:rPr>
      </w:pPr>
    </w:p>
    <w:p>
      <w:pPr>
        <w:ind w:left="120" w:firstLine="439"/>
        <w:spacing w:after="0" w:line="256" w:lineRule="auto"/>
        <w:rPr>
          <w:sz w:val="20"/>
          <w:szCs w:val="20"/>
          <w:color w:val="auto"/>
        </w:rPr>
      </w:pPr>
      <w:r>
        <w:rPr>
          <w:rFonts w:ascii="Arial" w:cs="Arial" w:eastAsia="Arial" w:hAnsi="Arial"/>
          <w:sz w:val="18"/>
          <w:szCs w:val="18"/>
          <w:color w:val="auto"/>
        </w:rPr>
        <w:t>FIC was formed as a Maryland corporation on February 14, 2011. We completed our initial public offering, or IPO, in June 2011. FIC has elected to be treated as business development company, or BDC, under the 1940 Act and our investment activities are managed by Fidus Investment Advisors, our investment advisor, and supervised by the Board, a majority of whom are independent of us. On March 29, 2013, we commenced operations of a wholly-owned subsidiary, Fund II. On April 18, 2018, we commenced operations of another wholly-owned subsidiary, Fund III. Fund II and Fund III are collectively referred to as the “Funds.”</w:t>
      </w:r>
    </w:p>
    <w:p>
      <w:pPr>
        <w:spacing w:after="0" w:line="189" w:lineRule="exact"/>
        <w:rPr>
          <w:sz w:val="20"/>
          <w:szCs w:val="20"/>
          <w:color w:val="auto"/>
        </w:rPr>
      </w:pPr>
    </w:p>
    <w:p>
      <w:pPr>
        <w:ind w:left="120" w:right="20" w:firstLine="439"/>
        <w:spacing w:after="0" w:line="258" w:lineRule="auto"/>
        <w:rPr>
          <w:sz w:val="20"/>
          <w:szCs w:val="20"/>
          <w:color w:val="auto"/>
        </w:rPr>
      </w:pPr>
      <w:r>
        <w:rPr>
          <w:rFonts w:ascii="Arial" w:cs="Arial" w:eastAsia="Arial" w:hAnsi="Arial"/>
          <w:sz w:val="18"/>
          <w:szCs w:val="18"/>
          <w:color w:val="auto"/>
        </w:rPr>
        <w:t>Fund II and Fund III received their SBIC licenses on May 28, 2013, and March 21, 2019, respectively. We plan to continue to operate the Funds as SBICs, subject to SBA approval, and to utilize the proceeds of the sale of SBA-guaranteed debentures to enhance returns to our stockholders. We have also made, and continue to make, investments directly through FIC. We believe that utilizing FIC and the Funds as investment vehicles provides us with access to a broader array of investment opportunities.</w:t>
      </w:r>
    </w:p>
    <w:p>
      <w:pPr>
        <w:spacing w:after="0" w:line="187" w:lineRule="exact"/>
        <w:rPr>
          <w:sz w:val="20"/>
          <w:szCs w:val="20"/>
          <w:color w:val="auto"/>
        </w:rPr>
      </w:pPr>
    </w:p>
    <w:p>
      <w:pPr>
        <w:ind w:left="120" w:right="140" w:firstLine="439"/>
        <w:spacing w:after="0" w:line="270" w:lineRule="auto"/>
        <w:rPr>
          <w:sz w:val="20"/>
          <w:szCs w:val="20"/>
          <w:color w:val="auto"/>
        </w:rPr>
      </w:pPr>
      <w:r>
        <w:rPr>
          <w:rFonts w:ascii="Arial" w:cs="Arial" w:eastAsia="Arial" w:hAnsi="Arial"/>
          <w:sz w:val="17"/>
          <w:szCs w:val="17"/>
          <w:color w:val="auto"/>
        </w:rPr>
        <w:t>We have certain wholly-owned taxable subsidiaries (the “Taxable Subsidiaries”), each of which generally holds one or more of our portfolio investments listed on the consolidated schedules of investments.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COVID-19 Update</w:t>
      </w:r>
    </w:p>
    <w:p>
      <w:pPr>
        <w:spacing w:after="0" w:line="116" w:lineRule="exact"/>
        <w:rPr>
          <w:sz w:val="20"/>
          <w:szCs w:val="20"/>
          <w:color w:val="auto"/>
        </w:rPr>
      </w:pPr>
    </w:p>
    <w:p>
      <w:pPr>
        <w:ind w:left="120" w:right="80" w:firstLine="439"/>
        <w:spacing w:after="0" w:line="268" w:lineRule="auto"/>
        <w:rPr>
          <w:sz w:val="20"/>
          <w:szCs w:val="20"/>
          <w:color w:val="auto"/>
        </w:rPr>
      </w:pPr>
      <w:r>
        <w:rPr>
          <w:rFonts w:ascii="Arial" w:cs="Arial" w:eastAsia="Arial" w:hAnsi="Arial"/>
          <w:sz w:val="17"/>
          <w:szCs w:val="17"/>
          <w:color w:val="auto"/>
        </w:rPr>
        <w:t>On March 11, 2020, the World Health Organization declared the novel coronavirus, or COVID-19, as a pandemic, and on March 13, 2020 the United States declared a national emergency with respect to COVID-19. The outbreak of COVID-19 has, and continues, to severely impact global economic activity and cause significant volatility and negative pressure in financial markets. The global impact of the outbreak has been rapidly evolving and many countries, including the United States, have reacted by instituting quarantines, mandating business and school closures and restricting travel. Such actions are creating disruption in global supply chains and adversely impacting a number of industries. The outbreak could have a continued adverse impact on economic and market conditions and trigger a period of global economic slowdown. The rapid development and fluidity of this situation precludes any prediction as to the ultimate adverse impact of COVID-19. Nevertheless, COVID-19 presents material uncertainty and risks with respect to the underlying value of the Company’s portfolio companies, the Company’s business, financial condition, results of operations and cash flows, such as the potential negative impact to financing arrangements, company decisions to delay, defer and/or modify the character of dividends in order to preserve liquidity, increased costs of operations, changes in law and/or regulation, and uncertainty regarding government and regulatory policy.</w:t>
      </w:r>
    </w:p>
    <w:p>
      <w:pPr>
        <w:spacing w:after="0" w:line="185" w:lineRule="exact"/>
        <w:rPr>
          <w:sz w:val="20"/>
          <w:szCs w:val="20"/>
          <w:color w:val="auto"/>
        </w:rPr>
      </w:pPr>
    </w:p>
    <w:p>
      <w:pPr>
        <w:ind w:left="120" w:right="20" w:firstLine="439"/>
        <w:spacing w:after="0" w:line="288" w:lineRule="auto"/>
        <w:rPr>
          <w:sz w:val="20"/>
          <w:szCs w:val="20"/>
          <w:color w:val="auto"/>
        </w:rPr>
      </w:pPr>
      <w:r>
        <w:rPr>
          <w:rFonts w:ascii="Arial" w:cs="Arial" w:eastAsia="Arial" w:hAnsi="Arial"/>
          <w:sz w:val="16"/>
          <w:szCs w:val="16"/>
          <w:color w:val="auto"/>
        </w:rPr>
        <w:t>We have evaluated subsequent events from October 1, 2020 through October 29, 2020. However, as the discussion in this Item 2. Management’s Discussion and Analysis of Financial Condition and Results of Operations relates to the Company’s financial statements for the quarter-ended September 30, 2020, the analysis contained herein may not fully account for impacts relating to the COVID-19 pandemic. In that regard, for example, as of September 30, 2020, the Company valued its portfolio investments in conformity with GAAP based on the facts and circumstances known by the Company at that time, or reasonably expected to be known at that time. Due to the overall volatility that the COVID-19 pandemic has caused, any valuations conducted now or in the future in conformity with GAAP could result in a lower fair value of our portfolio. The potential impact to our results going forward will depend to a large extent on future developments and new information that may emerge regarding the duration and severity of COVID-19 and the actions taken by authorities and other entities to contain the coronavirus or treat its impact, all of which are beyond our control. Accordingly, the Company cannot predict the extent to which its financial condition and results of operations will be affected at this time.</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Investments</w:t>
      </w:r>
    </w:p>
    <w:p>
      <w:pPr>
        <w:spacing w:after="0" w:line="116" w:lineRule="exact"/>
        <w:rPr>
          <w:sz w:val="20"/>
          <w:szCs w:val="20"/>
          <w:color w:val="auto"/>
        </w:rPr>
      </w:pPr>
    </w:p>
    <w:p>
      <w:pPr>
        <w:ind w:left="120" w:right="180" w:firstLine="439"/>
        <w:spacing w:after="0" w:line="296" w:lineRule="auto"/>
        <w:rPr>
          <w:sz w:val="20"/>
          <w:szCs w:val="20"/>
          <w:color w:val="auto"/>
        </w:rPr>
      </w:pPr>
      <w:r>
        <w:rPr>
          <w:rFonts w:ascii="Arial" w:cs="Arial" w:eastAsia="Arial" w:hAnsi="Arial"/>
          <w:sz w:val="16"/>
          <w:szCs w:val="16"/>
          <w:color w:val="auto"/>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spacing w:after="0" w:line="158" w:lineRule="exact"/>
        <w:rPr>
          <w:sz w:val="20"/>
          <w:szCs w:val="20"/>
          <w:color w:val="auto"/>
        </w:rPr>
      </w:pPr>
    </w:p>
    <w:p>
      <w:pPr>
        <w:ind w:left="120" w:right="40" w:firstLine="439"/>
        <w:spacing w:after="0" w:line="253" w:lineRule="auto"/>
        <w:rPr>
          <w:sz w:val="20"/>
          <w:szCs w:val="20"/>
          <w:color w:val="auto"/>
        </w:rPr>
      </w:pPr>
      <w:r>
        <w:rPr>
          <w:rFonts w:ascii="Arial" w:cs="Arial" w:eastAsia="Arial" w:hAnsi="Arial"/>
          <w:sz w:val="18"/>
          <w:szCs w:val="18"/>
          <w:i w:val="1"/>
          <w:iCs w:val="1"/>
          <w:color w:val="auto"/>
        </w:rPr>
        <w:t xml:space="preserve">Second Lien Debt. </w:t>
      </w:r>
      <w:r>
        <w:rPr>
          <w:rFonts w:ascii="Arial" w:cs="Arial" w:eastAsia="Arial" w:hAnsi="Arial"/>
          <w:sz w:val="18"/>
          <w:szCs w:val="18"/>
          <w:color w:val="auto"/>
        </w:rPr>
        <w:t>The majority of our debt investments take the form of second lien debt, which includes senior subordinated notes. Second lien</w:t>
      </w:r>
      <w:r>
        <w:rPr>
          <w:rFonts w:ascii="Arial" w:cs="Arial" w:eastAsia="Arial" w:hAnsi="Arial"/>
          <w:sz w:val="18"/>
          <w:szCs w:val="18"/>
          <w:i w:val="1"/>
          <w:iCs w:val="1"/>
          <w:color w:val="auto"/>
        </w:rPr>
        <w:t xml:space="preserve"> </w:t>
      </w:r>
      <w:r>
        <w:rPr>
          <w:rFonts w:ascii="Arial" w:cs="Arial" w:eastAsia="Arial" w:hAnsi="Arial"/>
          <w:sz w:val="18"/>
          <w:szCs w:val="18"/>
          <w:color w:val="auto"/>
        </w:rPr>
        <w:t>debt 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p>
    <w:p>
      <w:pPr>
        <w:spacing w:after="0" w:line="194" w:lineRule="exact"/>
        <w:rPr>
          <w:sz w:val="20"/>
          <w:szCs w:val="20"/>
          <w:color w:val="auto"/>
        </w:rPr>
      </w:pPr>
    </w:p>
    <w:p>
      <w:pPr>
        <w:ind w:left="120" w:right="60" w:firstLine="439"/>
        <w:spacing w:after="0" w:line="289" w:lineRule="auto"/>
        <w:rPr>
          <w:sz w:val="20"/>
          <w:szCs w:val="20"/>
          <w:color w:val="auto"/>
        </w:rPr>
      </w:pPr>
      <w:r>
        <w:rPr>
          <w:rFonts w:ascii="Arial" w:cs="Arial" w:eastAsia="Arial" w:hAnsi="Arial"/>
          <w:sz w:val="16"/>
          <w:szCs w:val="16"/>
          <w:i w:val="1"/>
          <w:iCs w:val="1"/>
          <w:color w:val="auto"/>
        </w:rPr>
        <w:t xml:space="preserve">Subordinated Debt. </w:t>
      </w:r>
      <w:r>
        <w:rPr>
          <w:rFonts w:ascii="Arial" w:cs="Arial" w:eastAsia="Arial" w:hAnsi="Arial"/>
          <w:sz w:val="16"/>
          <w:szCs w:val="16"/>
          <w:color w:val="auto"/>
        </w:rPr>
        <w:t>These investments are typically structured as unsecured, subordinated notes. Structurally, subordinated debt usually ranks</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spacing w:after="0" w:line="167" w:lineRule="exact"/>
        <w:rPr>
          <w:sz w:val="20"/>
          <w:szCs w:val="20"/>
          <w:color w:val="auto"/>
        </w:rPr>
      </w:pPr>
    </w:p>
    <w:p>
      <w:pPr>
        <w:ind w:left="120" w:firstLine="439"/>
        <w:spacing w:after="0" w:line="268" w:lineRule="auto"/>
        <w:rPr>
          <w:sz w:val="20"/>
          <w:szCs w:val="20"/>
          <w:color w:val="auto"/>
        </w:rPr>
      </w:pPr>
      <w:r>
        <w:rPr>
          <w:rFonts w:ascii="Arial" w:cs="Arial" w:eastAsia="Arial" w:hAnsi="Arial"/>
          <w:sz w:val="17"/>
          <w:szCs w:val="17"/>
          <w:i w:val="1"/>
          <w:iCs w:val="1"/>
          <w:color w:val="auto"/>
        </w:rPr>
        <w:t>First Lien Debt</w:t>
      </w:r>
      <w:r>
        <w:rPr>
          <w:rFonts w:ascii="Arial" w:cs="Arial" w:eastAsia="Arial" w:hAnsi="Arial"/>
          <w:sz w:val="17"/>
          <w:szCs w:val="17"/>
          <w:color w:val="auto"/>
        </w:rPr>
        <w:t>. To a lesser extent, we also structure some of our debt investments as senior secured or first lien debt investments. First lien debt</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are secured by a 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spacing w:after="0" w:line="179" w:lineRule="exact"/>
        <w:rPr>
          <w:sz w:val="20"/>
          <w:szCs w:val="20"/>
          <w:color w:val="auto"/>
        </w:rPr>
      </w:pPr>
    </w:p>
    <w:p>
      <w:pPr>
        <w:ind w:left="120" w:right="140" w:firstLine="439"/>
        <w:spacing w:after="0" w:line="263" w:lineRule="auto"/>
        <w:rPr>
          <w:sz w:val="20"/>
          <w:szCs w:val="20"/>
          <w:color w:val="auto"/>
        </w:rPr>
      </w:pPr>
      <w:r>
        <w:rPr>
          <w:rFonts w:ascii="Arial" w:cs="Arial" w:eastAsia="Arial" w:hAnsi="Arial"/>
          <w:sz w:val="18"/>
          <w:szCs w:val="18"/>
          <w:color w:val="auto"/>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fixed interest rate.</w:t>
      </w:r>
    </w:p>
    <w:p>
      <w:pPr>
        <w:spacing w:after="0" w:line="182" w:lineRule="exact"/>
        <w:rPr>
          <w:sz w:val="20"/>
          <w:szCs w:val="20"/>
          <w:color w:val="auto"/>
        </w:rPr>
      </w:pPr>
    </w:p>
    <w:p>
      <w:pPr>
        <w:ind w:left="120" w:firstLine="439"/>
        <w:spacing w:after="0" w:line="269" w:lineRule="auto"/>
        <w:rPr>
          <w:sz w:val="20"/>
          <w:szCs w:val="20"/>
          <w:color w:val="auto"/>
        </w:rPr>
      </w:pPr>
      <w:r>
        <w:rPr>
          <w:rFonts w:ascii="Arial" w:cs="Arial" w:eastAsia="Arial" w:hAnsi="Arial"/>
          <w:sz w:val="17"/>
          <w:szCs w:val="17"/>
          <w:i w:val="1"/>
          <w:iCs w:val="1"/>
          <w:color w:val="auto"/>
        </w:rPr>
        <w:t>Equity Securities</w:t>
      </w:r>
      <w:r>
        <w:rPr>
          <w:rFonts w:ascii="Arial" w:cs="Arial" w:eastAsia="Arial" w:hAnsi="Arial"/>
          <w:sz w:val="17"/>
          <w:szCs w:val="17"/>
          <w:color w:val="auto"/>
        </w:rPr>
        <w:t>. Our equity securities typically consist of either a direct minority equity investment in common or preferred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8"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20" w:firstLine="439"/>
        <w:spacing w:after="0" w:line="284"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We generate revenue in the form of interest and fee income on debt investments and dividends, if any, on equity investments. Our debt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whether in the form of second lien, subordinated or first lien loans, typically have terms of five to seven years and most bear interest at a fixed rate, but some bear interest at a floating rate.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w:t>
      </w:r>
    </w:p>
    <w:p>
      <w:pPr>
        <w:spacing w:after="0" w:line="171" w:lineRule="exact"/>
        <w:rPr>
          <w:sz w:val="20"/>
          <w:szCs w:val="20"/>
          <w:color w:val="auto"/>
        </w:rPr>
      </w:pPr>
    </w:p>
    <w:p>
      <w:pPr>
        <w:jc w:val="both"/>
        <w:ind w:left="120" w:right="180" w:firstLine="439"/>
        <w:spacing w:after="0" w:line="258" w:lineRule="auto"/>
        <w:rPr>
          <w:sz w:val="20"/>
          <w:szCs w:val="20"/>
          <w:color w:val="auto"/>
        </w:rPr>
      </w:pPr>
      <w:r>
        <w:rPr>
          <w:rFonts w:ascii="Arial" w:cs="Arial" w:eastAsia="Arial" w:hAnsi="Arial"/>
          <w:sz w:val="18"/>
          <w:szCs w:val="18"/>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87" w:lineRule="exact"/>
        <w:rPr>
          <w:sz w:val="20"/>
          <w:szCs w:val="20"/>
          <w:color w:val="auto"/>
        </w:rPr>
      </w:pPr>
    </w:p>
    <w:p>
      <w:pPr>
        <w:ind w:left="120" w:right="140" w:firstLine="439"/>
        <w:spacing w:after="0" w:line="258"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All investment professionals of the Investment Advisor and/or its affiliates, when and to the extent engaged in providing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and 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 including, without limitation, those relating to:</w:t>
      </w:r>
    </w:p>
    <w:p>
      <w:pPr>
        <w:spacing w:after="0" w:line="93" w:lineRule="exact"/>
        <w:rPr>
          <w:sz w:val="20"/>
          <w:szCs w:val="20"/>
          <w:color w:val="auto"/>
        </w:rPr>
      </w:pPr>
    </w:p>
    <w:p>
      <w:pPr>
        <w:ind w:left="1100" w:hanging="540"/>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29" w:lineRule="exact"/>
        <w:rPr>
          <w:rFonts w:ascii="Arial" w:cs="Arial" w:eastAsia="Arial" w:hAnsi="Arial"/>
          <w:sz w:val="18"/>
          <w:szCs w:val="18"/>
          <w:color w:val="auto"/>
        </w:rPr>
      </w:pPr>
    </w:p>
    <w:p>
      <w:pPr>
        <w:ind w:left="1100" w:hanging="540"/>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29" w:lineRule="exact"/>
        <w:rPr>
          <w:rFonts w:ascii="Arial" w:cs="Arial" w:eastAsia="Arial" w:hAnsi="Arial"/>
          <w:sz w:val="18"/>
          <w:szCs w:val="18"/>
          <w:color w:val="auto"/>
        </w:rPr>
      </w:pPr>
    </w:p>
    <w:p>
      <w:pPr>
        <w:ind w:left="1100" w:hanging="540"/>
        <w:spacing w:after="0" w:line="258"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fees and expenses incurred by the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spacing w:after="0" w:line="93" w:lineRule="exact"/>
        <w:rPr>
          <w:rFonts w:ascii="Arial" w:cs="Arial" w:eastAsia="Arial" w:hAnsi="Arial"/>
          <w:sz w:val="18"/>
          <w:szCs w:val="18"/>
          <w:color w:val="auto"/>
        </w:rPr>
      </w:pPr>
    </w:p>
    <w:p>
      <w:pPr>
        <w:ind w:left="1100" w:hanging="540"/>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29" w:lineRule="exact"/>
        <w:rPr>
          <w:rFonts w:ascii="Arial" w:cs="Arial" w:eastAsia="Arial" w:hAnsi="Arial"/>
          <w:sz w:val="18"/>
          <w:szCs w:val="18"/>
          <w:color w:val="auto"/>
        </w:rPr>
      </w:pPr>
    </w:p>
    <w:p>
      <w:pPr>
        <w:ind w:left="1100" w:hanging="540"/>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29" w:lineRule="exact"/>
        <w:rPr>
          <w:rFonts w:ascii="Arial" w:cs="Arial" w:eastAsia="Arial" w:hAnsi="Arial"/>
          <w:sz w:val="18"/>
          <w:szCs w:val="18"/>
          <w:color w:val="auto"/>
        </w:rPr>
      </w:pPr>
    </w:p>
    <w:p>
      <w:pPr>
        <w:ind w:left="1100" w:hanging="540"/>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 advisory fees and management fees;</w:t>
      </w:r>
    </w:p>
    <w:p>
      <w:pPr>
        <w:spacing w:after="0" w:line="129" w:lineRule="exact"/>
        <w:rPr>
          <w:rFonts w:ascii="Arial" w:cs="Arial" w:eastAsia="Arial" w:hAnsi="Arial"/>
          <w:sz w:val="18"/>
          <w:szCs w:val="18"/>
          <w:color w:val="auto"/>
        </w:rPr>
      </w:pPr>
    </w:p>
    <w:p>
      <w:pPr>
        <w:ind w:left="1100" w:right="80" w:hanging="540"/>
        <w:spacing w:after="0" w:line="258"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administration fees and expenses, if any, payable under the Administration Agreement (including payments under the Administration Agreement between us and the Investment Advisor based upon our allocable portion of the Investment Advisor’s overhead in performing its obligations under the Administration Agreement, including rent and the allocable portion of the cost of our officers, including our chief compliance officer, our chief financial officer, and their respective staffs);</w:t>
      </w:r>
    </w:p>
    <w:p>
      <w:pPr>
        <w:spacing w:after="0" w:line="93" w:lineRule="exact"/>
        <w:rPr>
          <w:rFonts w:ascii="Arial" w:cs="Arial" w:eastAsia="Arial" w:hAnsi="Arial"/>
          <w:sz w:val="18"/>
          <w:szCs w:val="18"/>
          <w:color w:val="auto"/>
        </w:rPr>
      </w:pPr>
    </w:p>
    <w:p>
      <w:pPr>
        <w:ind w:left="1100" w:hanging="540"/>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transfer agent, dividend agent and custodial fees and expenses;</w:t>
      </w:r>
    </w:p>
    <w:p>
      <w:pPr>
        <w:spacing w:after="0" w:line="129" w:lineRule="exact"/>
        <w:rPr>
          <w:rFonts w:ascii="Arial" w:cs="Arial" w:eastAsia="Arial" w:hAnsi="Arial"/>
          <w:sz w:val="18"/>
          <w:szCs w:val="18"/>
          <w:color w:val="auto"/>
        </w:rPr>
      </w:pPr>
    </w:p>
    <w:p>
      <w:pPr>
        <w:ind w:left="1100" w:hanging="540"/>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29" w:lineRule="exact"/>
        <w:rPr>
          <w:rFonts w:ascii="Arial" w:cs="Arial" w:eastAsia="Arial" w:hAnsi="Arial"/>
          <w:sz w:val="18"/>
          <w:szCs w:val="18"/>
          <w:color w:val="auto"/>
        </w:rPr>
      </w:pPr>
    </w:p>
    <w:p>
      <w:pPr>
        <w:ind w:left="1100" w:hanging="540"/>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costs of registration and listing our shares on any securities exchange;</w:t>
      </w:r>
    </w:p>
    <w:p>
      <w:pPr>
        <w:spacing w:after="0" w:line="129" w:lineRule="exact"/>
        <w:rPr>
          <w:rFonts w:ascii="Arial" w:cs="Arial" w:eastAsia="Arial" w:hAnsi="Arial"/>
          <w:sz w:val="18"/>
          <w:szCs w:val="18"/>
          <w:color w:val="auto"/>
        </w:rPr>
      </w:pPr>
    </w:p>
    <w:p>
      <w:pPr>
        <w:ind w:left="1100" w:hanging="540"/>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129" w:lineRule="exact"/>
        <w:rPr>
          <w:rFonts w:ascii="Arial" w:cs="Arial" w:eastAsia="Arial" w:hAnsi="Arial"/>
          <w:sz w:val="18"/>
          <w:szCs w:val="18"/>
          <w:color w:val="auto"/>
        </w:rPr>
      </w:pPr>
    </w:p>
    <w:p>
      <w:pPr>
        <w:ind w:left="1100" w:hanging="540"/>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29" w:lineRule="exact"/>
        <w:rPr>
          <w:rFonts w:ascii="Arial" w:cs="Arial" w:eastAsia="Arial" w:hAnsi="Arial"/>
          <w:sz w:val="18"/>
          <w:szCs w:val="18"/>
          <w:color w:val="auto"/>
        </w:rPr>
      </w:pPr>
    </w:p>
    <w:p>
      <w:pPr>
        <w:ind w:left="1100" w:hanging="540"/>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or other regulators including printing costs;</w:t>
      </w:r>
    </w:p>
    <w:p>
      <w:pPr>
        <w:spacing w:after="0" w:line="129" w:lineRule="exact"/>
        <w:rPr>
          <w:rFonts w:ascii="Arial" w:cs="Arial" w:eastAsia="Arial" w:hAnsi="Arial"/>
          <w:sz w:val="18"/>
          <w:szCs w:val="18"/>
          <w:color w:val="auto"/>
        </w:rPr>
      </w:pPr>
    </w:p>
    <w:p>
      <w:pPr>
        <w:ind w:left="1100" w:hanging="540"/>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and mailing costs;</w:t>
      </w:r>
    </w:p>
    <w:p>
      <w:pPr>
        <w:spacing w:after="0" w:line="129" w:lineRule="exact"/>
        <w:rPr>
          <w:rFonts w:ascii="Arial" w:cs="Arial" w:eastAsia="Arial" w:hAnsi="Arial"/>
          <w:sz w:val="18"/>
          <w:szCs w:val="18"/>
          <w:color w:val="auto"/>
        </w:rPr>
      </w:pPr>
    </w:p>
    <w:p>
      <w:pPr>
        <w:ind w:left="1100" w:right="780" w:hanging="540"/>
        <w:spacing w:after="0" w:line="276"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officers/errors and omissions liability insurance, and any other insurance premiums;</w:t>
      </w:r>
    </w:p>
    <w:p>
      <w:pPr>
        <w:spacing w:after="0" w:line="76" w:lineRule="exact"/>
        <w:rPr>
          <w:rFonts w:ascii="Arial" w:cs="Arial" w:eastAsia="Arial" w:hAnsi="Arial"/>
          <w:sz w:val="18"/>
          <w:szCs w:val="18"/>
          <w:color w:val="auto"/>
        </w:rPr>
      </w:pPr>
    </w:p>
    <w:p>
      <w:pPr>
        <w:ind w:left="1100" w:right="520" w:hanging="540"/>
        <w:spacing w:after="0" w:line="276"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w:t>
      </w:r>
    </w:p>
    <w:p>
      <w:pPr>
        <w:spacing w:after="0" w:line="76" w:lineRule="exact"/>
        <w:rPr>
          <w:rFonts w:ascii="Arial" w:cs="Arial" w:eastAsia="Arial" w:hAnsi="Arial"/>
          <w:sz w:val="18"/>
          <w:szCs w:val="18"/>
          <w:color w:val="auto"/>
        </w:rPr>
      </w:pPr>
    </w:p>
    <w:p>
      <w:pPr>
        <w:ind w:left="1100" w:hanging="540"/>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proxy voting expenses; and</w:t>
      </w:r>
    </w:p>
    <w:p>
      <w:pPr>
        <w:spacing w:after="0" w:line="129" w:lineRule="exact"/>
        <w:rPr>
          <w:rFonts w:ascii="Arial" w:cs="Arial" w:eastAsia="Arial" w:hAnsi="Arial"/>
          <w:sz w:val="18"/>
          <w:szCs w:val="18"/>
          <w:color w:val="auto"/>
        </w:rPr>
      </w:pPr>
    </w:p>
    <w:p>
      <w:pPr>
        <w:ind w:left="1100" w:hanging="540"/>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other expenses reasonably incurred by us or the Investment Advisor in connection with administering our business.</w:t>
      </w:r>
    </w:p>
    <w:p>
      <w:pPr>
        <w:sectPr>
          <w:pgSz w:w="11900" w:h="16838" w:orient="portrait"/>
          <w:cols w:equalWidth="0" w:num="1">
            <w:col w:w="11120"/>
          </w:cols>
          <w:pgMar w:left="320" w:top="458" w:right="459" w:bottom="718" w:gutter="0" w:footer="0" w:header="0"/>
        </w:sectPr>
      </w:pP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120"/>
          </w:cols>
          <w:pgMar w:left="320" w:top="458" w:right="459" w:bottom="718"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Portfolio Composition, Investment Activity and Yield</w:t>
      </w:r>
    </w:p>
    <w:p>
      <w:pPr>
        <w:spacing w:after="0" w:line="120" w:lineRule="exact"/>
        <w:rPr>
          <w:sz w:val="20"/>
          <w:szCs w:val="20"/>
          <w:color w:val="auto"/>
        </w:rPr>
      </w:pPr>
    </w:p>
    <w:p>
      <w:pPr>
        <w:ind w:left="120" w:right="180" w:firstLine="439"/>
        <w:spacing w:after="0" w:line="275" w:lineRule="auto"/>
        <w:rPr>
          <w:sz w:val="20"/>
          <w:szCs w:val="20"/>
          <w:color w:val="auto"/>
        </w:rPr>
      </w:pPr>
      <w:r>
        <w:rPr>
          <w:rFonts w:ascii="Arial" w:cs="Arial" w:eastAsia="Arial" w:hAnsi="Arial"/>
          <w:sz w:val="17"/>
          <w:szCs w:val="17"/>
          <w:color w:val="auto"/>
        </w:rPr>
        <w:t>During the nine months ended September 30, 2020 and 2019, we invested $86.1 million and $175.5 million, respectively, in debt and equity investments including five and 10 new portfolio companies, respectively. During the nine months ended September 30, 2020 and 2019, we received proceeds from sales or repayments, including principal, return of capital dividends and net realized gains (losses), of $110.1 million and $98.8 million, respectively, including exits of three and seven portfolio companies, respectively. The following table summarizes investment purchases and sales and repayments of investments by type for the nine months ended September 30, 2020 and 2019 (dollars in millions).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8"/>
          </w:tcPr>
          <w:p>
            <w:pPr>
              <w:jc w:val="right"/>
              <w:ind w:right="60"/>
              <w:spacing w:after="0"/>
              <w:rPr>
                <w:sz w:val="20"/>
                <w:szCs w:val="20"/>
                <w:color w:val="auto"/>
              </w:rPr>
            </w:pPr>
            <w:r>
              <w:rPr>
                <w:rFonts w:ascii="Arial" w:cs="Arial" w:eastAsia="Arial" w:hAnsi="Arial"/>
                <w:sz w:val="14"/>
                <w:szCs w:val="14"/>
                <w:b w:val="1"/>
                <w:bCs w:val="1"/>
                <w:color w:val="auto"/>
                <w:w w:val="88"/>
              </w:rPr>
              <w:t>Purchases of Investments</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10"/>
          </w:tcPr>
          <w:p>
            <w:pPr>
              <w:jc w:val="right"/>
              <w:ind w:right="280"/>
              <w:spacing w:after="0"/>
              <w:rPr>
                <w:sz w:val="20"/>
                <w:szCs w:val="20"/>
                <w:color w:val="auto"/>
              </w:rPr>
            </w:pPr>
            <w:r>
              <w:rPr>
                <w:rFonts w:ascii="Arial" w:cs="Arial" w:eastAsia="Arial" w:hAnsi="Arial"/>
                <w:sz w:val="14"/>
                <w:szCs w:val="14"/>
                <w:b w:val="1"/>
                <w:bCs w:val="1"/>
                <w:color w:val="auto"/>
                <w:w w:val="92"/>
              </w:rPr>
              <w:t>Sales and Repayments of Investments</w:t>
            </w:r>
          </w:p>
        </w:tc>
      </w:tr>
      <w:tr>
        <w:trPr>
          <w:trHeight w:val="142"/>
        </w:trPr>
        <w:tc>
          <w:tcPr>
            <w:tcW w:w="3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760" w:type="dxa"/>
            <w:vAlign w:val="bottom"/>
            <w:tcBorders>
              <w:top w:val="single" w:sz="8" w:color="auto"/>
              <w:bottom w:val="single" w:sz="8" w:color="auto"/>
            </w:tcBorders>
            <w:gridSpan w:val="11"/>
          </w:tcPr>
          <w:p>
            <w:pPr>
              <w:ind w:left="100"/>
              <w:spacing w:after="0" w:line="142" w:lineRule="exact"/>
              <w:rPr>
                <w:sz w:val="20"/>
                <w:szCs w:val="20"/>
                <w:color w:val="auto"/>
              </w:rPr>
            </w:pPr>
            <w:r>
              <w:rPr>
                <w:rFonts w:ascii="Arial" w:cs="Arial" w:eastAsia="Arial" w:hAnsi="Arial"/>
                <w:sz w:val="14"/>
                <w:szCs w:val="14"/>
                <w:b w:val="1"/>
                <w:bCs w:val="1"/>
                <w:color w:val="auto"/>
              </w:rPr>
              <w:t>Nine Months Ended September 30,</w:t>
            </w: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4"/>
          </w:tcPr>
          <w:p>
            <w:pPr>
              <w:jc w:val="right"/>
              <w:ind w:right="29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2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$22.0</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$39.5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w:t>
            </w:r>
          </w:p>
        </w:tc>
      </w:tr>
      <w:tr>
        <w:trPr>
          <w:trHeight w:val="215"/>
        </w:trPr>
        <w:tc>
          <w:tcPr>
            <w:tcW w:w="3460" w:type="dxa"/>
            <w:vAlign w:val="bottom"/>
          </w:tcPr>
          <w:p>
            <w:pPr>
              <w:spacing w:after="0"/>
              <w:rPr>
                <w:sz w:val="20"/>
                <w:szCs w:val="20"/>
                <w:color w:val="auto"/>
              </w:rPr>
            </w:pPr>
            <w:r>
              <w:rPr>
                <w:rFonts w:ascii="Arial" w:cs="Arial" w:eastAsia="Arial" w:hAnsi="Arial"/>
                <w:sz w:val="18"/>
                <w:szCs w:val="18"/>
                <w:color w:val="auto"/>
              </w:rPr>
              <w:t>Subordinated Debt</w:t>
            </w:r>
          </w:p>
        </w:tc>
        <w:tc>
          <w:tcPr>
            <w:tcW w:w="2540" w:type="dxa"/>
            <w:vAlign w:val="bottom"/>
            <w:gridSpan w:val="3"/>
          </w:tcPr>
          <w:p>
            <w:pPr>
              <w:jc w:val="right"/>
              <w:ind w:right="20"/>
              <w:spacing w:after="0"/>
              <w:rPr>
                <w:sz w:val="20"/>
                <w:szCs w:val="20"/>
                <w:color w:val="auto"/>
              </w:rPr>
            </w:pPr>
            <w:r>
              <w:rPr>
                <w:rFonts w:ascii="Arial" w:cs="Arial" w:eastAsia="Arial" w:hAnsi="Arial"/>
                <w:sz w:val="18"/>
                <w:szCs w:val="18"/>
                <w:color w:val="auto"/>
              </w:rPr>
              <w:t>13.5</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c>
          <w:tcPr>
            <w:tcW w:w="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9.6</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32.0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32.4</w:t>
            </w:r>
          </w:p>
        </w:tc>
      </w:tr>
      <w:tr>
        <w:trPr>
          <w:trHeight w:val="215"/>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49.2</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r>
      <w:tr>
        <w:trPr>
          <w:trHeight w:val="215"/>
        </w:trPr>
        <w:tc>
          <w:tcPr>
            <w:tcW w:w="3460" w:type="dxa"/>
            <w:vAlign w:val="bottom"/>
          </w:tcPr>
          <w:p>
            <w:pPr>
              <w:spacing w:after="0"/>
              <w:rPr>
                <w:sz w:val="20"/>
                <w:szCs w:val="20"/>
                <w:color w:val="auto"/>
              </w:rPr>
            </w:pPr>
            <w:r>
              <w:rPr>
                <w:rFonts w:ascii="Arial" w:cs="Arial" w:eastAsia="Arial" w:hAnsi="Arial"/>
                <w:sz w:val="18"/>
                <w:szCs w:val="18"/>
                <w:color w:val="auto"/>
              </w:rPr>
              <w:t>Equity</w:t>
            </w:r>
          </w:p>
        </w:tc>
        <w:tc>
          <w:tcPr>
            <w:tcW w:w="254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43.6</w:t>
            </w:r>
          </w:p>
        </w:tc>
        <w:tc>
          <w:tcPr>
            <w:tcW w:w="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39.6</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r>
      <w:tr>
        <w:trPr>
          <w:trHeight w:val="215"/>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2"/>
        </w:trPr>
        <w:tc>
          <w:tcPr>
            <w:tcW w:w="3460" w:type="dxa"/>
            <w:vAlign w:val="bottom"/>
          </w:tcPr>
          <w:p>
            <w:pPr>
              <w:spacing w:after="0"/>
              <w:rPr>
                <w:sz w:val="20"/>
                <w:szCs w:val="20"/>
                <w:color w:val="auto"/>
              </w:rPr>
            </w:pPr>
            <w:r>
              <w:rPr>
                <w:rFonts w:ascii="Arial" w:cs="Arial" w:eastAsia="Arial" w:hAnsi="Arial"/>
                <w:sz w:val="18"/>
                <w:szCs w:val="18"/>
                <w:color w:val="auto"/>
              </w:rPr>
              <w:t>Royalty Rights</w:t>
            </w:r>
          </w:p>
        </w:tc>
        <w:tc>
          <w:tcPr>
            <w:tcW w:w="2100" w:type="dxa"/>
            <w:vAlign w:val="bottom"/>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15"/>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86.1</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175.5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110.1</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100.0%</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98.8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0"/>
        </w:trPr>
        <w:tc>
          <w:tcPr>
            <w:tcW w:w="3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September 30, 2020, the fair value of our investment portfolio totaled $715.4 million and consisted of 63 active portfolio companies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three portfolio companies that have sold their underlying operations. As of September 30, 2020, 19 portfolio companies’ debt investments bore interest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at a variable rate, which represented $203.0 million, or 32.4%, of our debt investment portfolio on a fair value basis, and the remainder of our debt</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investment portfolio was comprised of fixed rate investments. Overall, the portfolio had net unrealized depreciation of $(1.0) million as of</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September 30, 2020. As of September 30, 2020, our average active portfolio company investment at amortized cost was $11.3 million, which excludes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investments in the three portfolio companies that have sold their underlying operations.</w:t>
      </w:r>
    </w:p>
    <w:p>
      <w:pPr>
        <w:spacing w:after="0" w:line="210" w:lineRule="exact"/>
        <w:rPr>
          <w:sz w:val="20"/>
          <w:szCs w:val="20"/>
          <w:color w:val="auto"/>
        </w:rPr>
      </w:pPr>
    </w:p>
    <w:p>
      <w:pPr>
        <w:ind w:left="120" w:right="40" w:firstLine="439"/>
        <w:spacing w:after="0" w:line="273" w:lineRule="auto"/>
        <w:rPr>
          <w:sz w:val="20"/>
          <w:szCs w:val="20"/>
          <w:color w:val="auto"/>
        </w:rPr>
      </w:pPr>
      <w:r>
        <w:rPr>
          <w:rFonts w:ascii="Arial" w:cs="Arial" w:eastAsia="Arial" w:hAnsi="Arial"/>
          <w:sz w:val="17"/>
          <w:szCs w:val="17"/>
          <w:color w:val="auto"/>
        </w:rPr>
        <w:t>As of December 31, 2019, the fair value of our investment portfolio totaled $766.9 million and consisted of 61 active portfolio companies and three portfolio companies that have sold their underlying operations. As of December 31, 2019, 17 portfolio companies’ debt investments bore interest at a variable rate, which represented $181.3 million, or 28.7%, of our debt investment portfolio on a fair value basis, and the remainder of our debt investment portfolio was comprised of fixed rate investments. Overall, the portfolio had net unrealized appreciation of $62.4 million as of December 31, 2019. As of December 31, 2019, our average active portfolio company investment at amortized cost was $11.5 million, which excludes investments in the three portfolio companies that have sold their underlying operations.</w:t>
      </w:r>
    </w:p>
    <w:p>
      <w:pPr>
        <w:spacing w:after="0" w:line="174" w:lineRule="exact"/>
        <w:rPr>
          <w:sz w:val="20"/>
          <w:szCs w:val="20"/>
          <w:color w:val="auto"/>
        </w:rPr>
      </w:pPr>
    </w:p>
    <w:p>
      <w:pPr>
        <w:ind w:left="120" w:right="460" w:firstLine="439"/>
        <w:spacing w:after="0" w:line="256" w:lineRule="auto"/>
        <w:rPr>
          <w:sz w:val="20"/>
          <w:szCs w:val="20"/>
          <w:color w:val="auto"/>
        </w:rPr>
      </w:pPr>
      <w:r>
        <w:rPr>
          <w:rFonts w:ascii="Arial" w:cs="Arial" w:eastAsia="Arial" w:hAnsi="Arial"/>
          <w:sz w:val="18"/>
          <w:szCs w:val="18"/>
          <w:color w:val="auto"/>
        </w:rPr>
        <w:t>The weighted average yield on debt investments as of September 30, 2020 and December 31, 2019 was 12.1% and 12.0%,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including the accretion of OID and debt investment origination fees, but excluding investments on non-accrual status, if any.</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8"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40" w:firstLine="439"/>
        <w:spacing w:after="0" w:line="276" w:lineRule="auto"/>
        <w:rPr>
          <w:sz w:val="20"/>
          <w:szCs w:val="20"/>
          <w:color w:val="auto"/>
        </w:rPr>
      </w:pPr>
      <w:r>
        <w:rPr>
          <w:rFonts w:ascii="Arial" w:cs="Arial" w:eastAsia="Arial" w:hAnsi="Arial"/>
          <w:sz w:val="18"/>
          <w:szCs w:val="18"/>
          <w:color w:val="auto"/>
        </w:rPr>
        <w:t>The following table shows the portfolio composition by investment type at fair value and cost and as a percentage of total investments (dollars in millions):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33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340" w:type="dxa"/>
            <w:vAlign w:val="bottom"/>
            <w:gridSpan w:val="5"/>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80" w:type="dxa"/>
            <w:vAlign w:val="bottom"/>
          </w:tcPr>
          <w:p>
            <w:pPr>
              <w:spacing w:after="0"/>
              <w:rPr>
                <w:sz w:val="10"/>
                <w:szCs w:val="10"/>
                <w:color w:val="auto"/>
              </w:rPr>
            </w:pPr>
          </w:p>
        </w:tc>
        <w:tc>
          <w:tcPr>
            <w:tcW w:w="11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20" w:type="dxa"/>
            <w:vAlign w:val="bottom"/>
          </w:tcPr>
          <w:p>
            <w:pPr>
              <w:spacing w:after="0"/>
              <w:rPr>
                <w:sz w:val="10"/>
                <w:szCs w:val="10"/>
                <w:color w:val="auto"/>
              </w:rPr>
            </w:pPr>
          </w:p>
        </w:tc>
        <w:tc>
          <w:tcPr>
            <w:tcW w:w="1420" w:type="dxa"/>
            <w:vAlign w:val="bottom"/>
            <w:gridSpan w:val="5"/>
          </w:tcPr>
          <w:p>
            <w:pPr>
              <w:jc w:val="center"/>
              <w:ind w:right="248"/>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1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0" w:type="dxa"/>
            <w:vAlign w:val="bottom"/>
          </w:tcPr>
          <w:p>
            <w:pPr>
              <w:spacing w:after="0"/>
              <w:rPr>
                <w:sz w:val="10"/>
                <w:szCs w:val="10"/>
                <w:color w:val="auto"/>
              </w:rPr>
            </w:pPr>
          </w:p>
        </w:tc>
      </w:tr>
      <w:tr>
        <w:trPr>
          <w:trHeight w:val="171"/>
        </w:trPr>
        <w:tc>
          <w:tcPr>
            <w:tcW w:w="338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2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$352.2</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$383.1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$392.3</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54.8%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$392.2</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w:t>
            </w:r>
          </w:p>
        </w:tc>
      </w:tr>
      <w:tr>
        <w:trPr>
          <w:trHeight w:val="215"/>
        </w:trPr>
        <w:tc>
          <w:tcPr>
            <w:tcW w:w="3380" w:type="dxa"/>
            <w:vAlign w:val="bottom"/>
          </w:tcPr>
          <w:p>
            <w:pPr>
              <w:spacing w:after="0"/>
              <w:rPr>
                <w:sz w:val="20"/>
                <w:szCs w:val="20"/>
                <w:color w:val="auto"/>
              </w:rPr>
            </w:pPr>
            <w:r>
              <w:rPr>
                <w:rFonts w:ascii="Arial" w:cs="Arial" w:eastAsia="Arial" w:hAnsi="Arial"/>
                <w:sz w:val="18"/>
                <w:szCs w:val="18"/>
                <w:color w:val="auto"/>
              </w:rPr>
              <w:t>Subordinated Debt</w:t>
            </w:r>
          </w:p>
        </w:tc>
        <w:tc>
          <w:tcPr>
            <w:tcW w:w="2680" w:type="dxa"/>
            <w:vAlign w:val="bottom"/>
            <w:gridSpan w:val="3"/>
          </w:tcPr>
          <w:p>
            <w:pPr>
              <w:jc w:val="right"/>
              <w:ind w:right="160"/>
              <w:spacing w:after="0"/>
              <w:rPr>
                <w:sz w:val="20"/>
                <w:szCs w:val="20"/>
                <w:color w:val="auto"/>
              </w:rPr>
            </w:pPr>
            <w:r>
              <w:rPr>
                <w:rFonts w:ascii="Arial" w:cs="Arial" w:eastAsia="Arial" w:hAnsi="Arial"/>
                <w:sz w:val="18"/>
                <w:szCs w:val="18"/>
                <w:color w:val="auto"/>
              </w:rPr>
              <w:t>144.1</w:t>
            </w:r>
          </w:p>
        </w:tc>
        <w:tc>
          <w:tcPr>
            <w:tcW w:w="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140.8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18.4</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143.9</w:t>
            </w:r>
          </w:p>
        </w:tc>
        <w:tc>
          <w:tcPr>
            <w:tcW w:w="40" w:type="dxa"/>
            <w:vAlign w:val="bottom"/>
          </w:tcPr>
          <w:p>
            <w:pPr>
              <w:spacing w:after="0"/>
              <w:rPr>
                <w:sz w:val="18"/>
                <w:szCs w:val="18"/>
                <w:color w:val="auto"/>
              </w:rPr>
            </w:pPr>
          </w:p>
        </w:tc>
        <w:tc>
          <w:tcPr>
            <w:tcW w:w="720" w:type="dxa"/>
            <w:vAlign w:val="bottom"/>
            <w:gridSpan w:val="2"/>
          </w:tcPr>
          <w:p>
            <w:pPr>
              <w:jc w:val="right"/>
              <w:ind w:right="248"/>
              <w:spacing w:after="0"/>
              <w:rPr>
                <w:sz w:val="20"/>
                <w:szCs w:val="20"/>
                <w:color w:val="auto"/>
              </w:rPr>
            </w:pPr>
            <w:r>
              <w:rPr>
                <w:rFonts w:ascii="Arial" w:cs="Arial" w:eastAsia="Arial" w:hAnsi="Arial"/>
                <w:sz w:val="18"/>
                <w:szCs w:val="18"/>
                <w:color w:val="auto"/>
              </w:rPr>
              <w:t>20.1</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140.7</w:t>
            </w:r>
          </w:p>
        </w:tc>
        <w:tc>
          <w:tcPr>
            <w:tcW w:w="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r>
      <w:tr>
        <w:trPr>
          <w:trHeight w:val="215"/>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130.7</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130.2</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18.2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107.7</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r>
      <w:tr>
        <w:trPr>
          <w:trHeight w:val="215"/>
        </w:trPr>
        <w:tc>
          <w:tcPr>
            <w:tcW w:w="3380" w:type="dxa"/>
            <w:vAlign w:val="bottom"/>
          </w:tcPr>
          <w:p>
            <w:pPr>
              <w:spacing w:after="0"/>
              <w:rPr>
                <w:sz w:val="20"/>
                <w:szCs w:val="20"/>
                <w:color w:val="auto"/>
              </w:rPr>
            </w:pPr>
            <w:r>
              <w:rPr>
                <w:rFonts w:ascii="Arial" w:cs="Arial" w:eastAsia="Arial" w:hAnsi="Arial"/>
                <w:sz w:val="18"/>
                <w:szCs w:val="18"/>
                <w:color w:val="auto"/>
              </w:rPr>
              <w:t>Equity</w:t>
            </w:r>
          </w:p>
        </w:tc>
        <w:tc>
          <w:tcPr>
            <w:tcW w:w="2680" w:type="dxa"/>
            <w:vAlign w:val="bottom"/>
            <w:gridSpan w:val="3"/>
          </w:tcPr>
          <w:p>
            <w:pPr>
              <w:jc w:val="right"/>
              <w:ind w:right="160"/>
              <w:spacing w:after="0"/>
              <w:rPr>
                <w:sz w:val="20"/>
                <w:szCs w:val="20"/>
                <w:color w:val="auto"/>
              </w:rPr>
            </w:pPr>
            <w:r>
              <w:rPr>
                <w:rFonts w:ascii="Arial" w:cs="Arial" w:eastAsia="Arial" w:hAnsi="Arial"/>
                <w:sz w:val="18"/>
                <w:szCs w:val="18"/>
                <w:color w:val="auto"/>
              </w:rPr>
              <w:t>85.8</w:t>
            </w:r>
          </w:p>
        </w:tc>
        <w:tc>
          <w:tcPr>
            <w:tcW w:w="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126.6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16.5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46.8</w:t>
            </w:r>
          </w:p>
        </w:tc>
        <w:tc>
          <w:tcPr>
            <w:tcW w:w="40" w:type="dxa"/>
            <w:vAlign w:val="bottom"/>
          </w:tcPr>
          <w:p>
            <w:pPr>
              <w:spacing w:after="0"/>
              <w:rPr>
                <w:sz w:val="18"/>
                <w:szCs w:val="18"/>
                <w:color w:val="auto"/>
              </w:rPr>
            </w:pPr>
          </w:p>
        </w:tc>
        <w:tc>
          <w:tcPr>
            <w:tcW w:w="720" w:type="dxa"/>
            <w:vAlign w:val="bottom"/>
            <w:gridSpan w:val="2"/>
          </w:tcPr>
          <w:p>
            <w:pPr>
              <w:jc w:val="right"/>
              <w:ind w:right="248"/>
              <w:spacing w:after="0"/>
              <w:rPr>
                <w:sz w:val="20"/>
                <w:szCs w:val="20"/>
                <w:color w:val="auto"/>
              </w:rPr>
            </w:pPr>
            <w:r>
              <w:rPr>
                <w:rFonts w:ascii="Arial" w:cs="Arial" w:eastAsia="Arial" w:hAnsi="Arial"/>
                <w:sz w:val="18"/>
                <w:szCs w:val="18"/>
                <w:color w:val="auto"/>
              </w:rPr>
              <w:t>6.5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58.1</w:t>
            </w: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r>
      <w:tr>
        <w:trPr>
          <w:trHeight w:val="215"/>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Royalty Rights</w:t>
            </w:r>
          </w:p>
        </w:tc>
        <w:tc>
          <w:tcPr>
            <w:tcW w:w="2020" w:type="dxa"/>
            <w:vAlign w:val="bottom"/>
          </w:tcPr>
          <w:p>
            <w:pPr>
              <w:spacing w:after="0"/>
              <w:rPr>
                <w:sz w:val="19"/>
                <w:szCs w:val="19"/>
                <w:color w:val="auto"/>
              </w:rPr>
            </w:pPr>
          </w:p>
        </w:tc>
        <w:tc>
          <w:tcPr>
            <w:tcW w:w="5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15"/>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715.4</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766.9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100.0%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716.4</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8"/>
              </w:rPr>
              <w:t>100.0%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704.5</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0"/>
        </w:trPr>
        <w:tc>
          <w:tcPr>
            <w:tcW w:w="3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20" w:firstLine="439"/>
        <w:spacing w:after="0" w:line="258" w:lineRule="auto"/>
        <w:rPr>
          <w:sz w:val="20"/>
          <w:szCs w:val="20"/>
          <w:color w:val="auto"/>
        </w:rPr>
      </w:pPr>
      <w:r>
        <w:rPr>
          <w:rFonts w:ascii="Arial" w:cs="Arial" w:eastAsia="Arial" w:hAnsi="Arial"/>
          <w:sz w:val="18"/>
          <w:szCs w:val="18"/>
          <w:color w:val="auto"/>
        </w:rPr>
        <w:t>All investments made by us as of September 30, 2020 and December 31, 2019 were made in portfolio companies headquartered in the U.S. 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40" w:type="dxa"/>
            <w:vAlign w:val="bottom"/>
            <w:gridSpan w:val="4"/>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80" w:type="dxa"/>
            <w:vAlign w:val="bottom"/>
          </w:tcPr>
          <w:p>
            <w:pPr>
              <w:spacing w:after="0"/>
              <w:rPr>
                <w:sz w:val="10"/>
                <w:szCs w:val="10"/>
                <w:color w:val="auto"/>
              </w:rPr>
            </w:pPr>
          </w:p>
        </w:tc>
        <w:tc>
          <w:tcPr>
            <w:tcW w:w="112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1420" w:type="dxa"/>
            <w:vAlign w:val="bottom"/>
            <w:gridSpan w:val="4"/>
          </w:tcPr>
          <w:p>
            <w:pPr>
              <w:jc w:val="right"/>
              <w:ind w:right="368"/>
              <w:spacing w:after="0" w:line="119" w:lineRule="exact"/>
              <w:rPr>
                <w:sz w:val="20"/>
                <w:szCs w:val="20"/>
                <w:color w:val="auto"/>
              </w:rPr>
            </w:pPr>
            <w:r>
              <w:rPr>
                <w:rFonts w:ascii="Arial" w:cs="Arial" w:eastAsia="Arial" w:hAnsi="Arial"/>
                <w:sz w:val="13"/>
                <w:szCs w:val="13"/>
                <w:b w:val="1"/>
                <w:bCs w:val="1"/>
                <w:color w:val="auto"/>
              </w:rPr>
              <w:t>September 30,</w:t>
            </w:r>
          </w:p>
        </w:tc>
        <w:tc>
          <w:tcPr>
            <w:tcW w:w="11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2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$206.4</w:t>
            </w:r>
          </w:p>
        </w:tc>
        <w:tc>
          <w:tcPr>
            <w:tcW w:w="6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$208.2</w:t>
            </w:r>
          </w:p>
        </w:tc>
        <w:tc>
          <w:tcPr>
            <w:tcW w:w="160" w:type="dxa"/>
            <w:vAlign w:val="bottom"/>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$178.6</w:t>
            </w:r>
          </w:p>
        </w:tc>
        <w:tc>
          <w:tcPr>
            <w:tcW w:w="760" w:type="dxa"/>
            <w:vAlign w:val="bottom"/>
            <w:tcBorders>
              <w:left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24.9%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$181.3</w:t>
            </w: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5"/>
        </w:trPr>
        <w:tc>
          <w:tcPr>
            <w:tcW w:w="3080" w:type="dxa"/>
            <w:vAlign w:val="bottom"/>
          </w:tcPr>
          <w:p>
            <w:pPr>
              <w:spacing w:after="0"/>
              <w:rPr>
                <w:sz w:val="20"/>
                <w:szCs w:val="20"/>
                <w:color w:val="auto"/>
              </w:rPr>
            </w:pPr>
            <w:r>
              <w:rPr>
                <w:rFonts w:ascii="Arial" w:cs="Arial" w:eastAsia="Arial" w:hAnsi="Arial"/>
                <w:sz w:val="18"/>
                <w:szCs w:val="18"/>
                <w:color w:val="auto"/>
              </w:rPr>
              <w:t>Southeast</w:t>
            </w:r>
          </w:p>
        </w:tc>
        <w:tc>
          <w:tcPr>
            <w:tcW w:w="2980" w:type="dxa"/>
            <w:vAlign w:val="bottom"/>
            <w:gridSpan w:val="3"/>
          </w:tcPr>
          <w:p>
            <w:pPr>
              <w:jc w:val="right"/>
              <w:ind w:right="160"/>
              <w:spacing w:after="0"/>
              <w:rPr>
                <w:sz w:val="20"/>
                <w:szCs w:val="20"/>
                <w:color w:val="auto"/>
              </w:rPr>
            </w:pPr>
            <w:r>
              <w:rPr>
                <w:rFonts w:ascii="Arial" w:cs="Arial" w:eastAsia="Arial" w:hAnsi="Arial"/>
                <w:sz w:val="18"/>
                <w:szCs w:val="18"/>
                <w:color w:val="auto"/>
              </w:rPr>
              <w:t>149.4</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160.0</w:t>
            </w:r>
          </w:p>
        </w:tc>
        <w:tc>
          <w:tcPr>
            <w:tcW w:w="16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20.9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140.1</w:t>
            </w:r>
          </w:p>
        </w:tc>
        <w:tc>
          <w:tcPr>
            <w:tcW w:w="760" w:type="dxa"/>
            <w:vAlign w:val="bottom"/>
            <w:gridSpan w:val="2"/>
          </w:tcPr>
          <w:p>
            <w:pPr>
              <w:jc w:val="right"/>
              <w:ind w:right="248"/>
              <w:spacing w:after="0"/>
              <w:rPr>
                <w:sz w:val="20"/>
                <w:szCs w:val="20"/>
                <w:color w:val="auto"/>
              </w:rPr>
            </w:pPr>
            <w:r>
              <w:rPr>
                <w:rFonts w:ascii="Arial" w:cs="Arial" w:eastAsia="Arial" w:hAnsi="Arial"/>
                <w:sz w:val="18"/>
                <w:szCs w:val="18"/>
                <w:color w:val="auto"/>
              </w:rPr>
              <w:t>19.6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138.1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5"/>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2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138.3</w:t>
            </w:r>
          </w:p>
        </w:tc>
        <w:tc>
          <w:tcPr>
            <w:tcW w:w="68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60" w:type="dxa"/>
            <w:vAlign w:val="bottom"/>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143.6</w:t>
            </w:r>
          </w:p>
        </w:tc>
        <w:tc>
          <w:tcPr>
            <w:tcW w:w="760" w:type="dxa"/>
            <w:vAlign w:val="bottom"/>
            <w:tcBorders>
              <w:left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20.0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142.1</w:t>
            </w:r>
          </w:p>
        </w:tc>
        <w:tc>
          <w:tcPr>
            <w:tcW w:w="66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5"/>
        </w:trPr>
        <w:tc>
          <w:tcPr>
            <w:tcW w:w="3080" w:type="dxa"/>
            <w:vAlign w:val="bottom"/>
          </w:tcPr>
          <w:p>
            <w:pPr>
              <w:spacing w:after="0"/>
              <w:rPr>
                <w:sz w:val="20"/>
                <w:szCs w:val="20"/>
                <w:color w:val="auto"/>
              </w:rPr>
            </w:pPr>
            <w:r>
              <w:rPr>
                <w:rFonts w:ascii="Arial" w:cs="Arial" w:eastAsia="Arial" w:hAnsi="Arial"/>
                <w:sz w:val="18"/>
                <w:szCs w:val="18"/>
                <w:color w:val="auto"/>
              </w:rPr>
              <w:t>West</w:t>
            </w:r>
          </w:p>
        </w:tc>
        <w:tc>
          <w:tcPr>
            <w:tcW w:w="2980" w:type="dxa"/>
            <w:vAlign w:val="bottom"/>
            <w:gridSpan w:val="3"/>
          </w:tcPr>
          <w:p>
            <w:pPr>
              <w:jc w:val="right"/>
              <w:ind w:right="160"/>
              <w:spacing w:after="0"/>
              <w:rPr>
                <w:sz w:val="20"/>
                <w:szCs w:val="20"/>
                <w:color w:val="auto"/>
              </w:rPr>
            </w:pPr>
            <w:r>
              <w:rPr>
                <w:rFonts w:ascii="Arial" w:cs="Arial" w:eastAsia="Arial" w:hAnsi="Arial"/>
                <w:sz w:val="18"/>
                <w:szCs w:val="18"/>
                <w:color w:val="auto"/>
              </w:rPr>
              <w:t>87.4</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76.3</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9.9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88.5</w:t>
            </w:r>
          </w:p>
        </w:tc>
        <w:tc>
          <w:tcPr>
            <w:tcW w:w="760" w:type="dxa"/>
            <w:vAlign w:val="bottom"/>
            <w:gridSpan w:val="2"/>
          </w:tcPr>
          <w:p>
            <w:pPr>
              <w:jc w:val="right"/>
              <w:ind w:right="248"/>
              <w:spacing w:after="0"/>
              <w:rPr>
                <w:sz w:val="20"/>
                <w:szCs w:val="20"/>
                <w:color w:val="auto"/>
              </w:rPr>
            </w:pPr>
            <w:r>
              <w:rPr>
                <w:rFonts w:ascii="Arial" w:cs="Arial" w:eastAsia="Arial" w:hAnsi="Arial"/>
                <w:sz w:val="18"/>
                <w:szCs w:val="18"/>
                <w:color w:val="auto"/>
              </w:rPr>
              <w:t>12.4</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76.6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5"/>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2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60" w:type="dxa"/>
            <w:vAlign w:val="bottom"/>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165.6</w:t>
            </w:r>
          </w:p>
        </w:tc>
        <w:tc>
          <w:tcPr>
            <w:tcW w:w="760" w:type="dxa"/>
            <w:vAlign w:val="bottom"/>
            <w:tcBorders>
              <w:left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23.1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166.4</w:t>
            </w:r>
          </w:p>
        </w:tc>
        <w:tc>
          <w:tcPr>
            <w:tcW w:w="66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3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80" w:type="dxa"/>
            <w:vAlign w:val="bottom"/>
            <w:vMerge w:val="continue"/>
          </w:tcPr>
          <w:p>
            <w:pPr>
              <w:spacing w:after="0"/>
              <w:rPr>
                <w:sz w:val="19"/>
                <w:szCs w:val="19"/>
                <w:color w:val="auto"/>
              </w:rPr>
            </w:pPr>
          </w:p>
        </w:tc>
        <w:tc>
          <w:tcPr>
            <w:tcW w:w="23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715.4</w:t>
            </w:r>
          </w:p>
        </w:tc>
        <w:tc>
          <w:tcPr>
            <w:tcW w:w="160" w:type="dxa"/>
            <w:vAlign w:val="bottom"/>
            <w:vMerge w:val="continue"/>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100.0%</w:t>
            </w:r>
          </w:p>
        </w:tc>
        <w:tc>
          <w:tcPr>
            <w:tcW w:w="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766.9</w:t>
            </w:r>
          </w:p>
        </w:tc>
        <w:tc>
          <w:tcPr>
            <w:tcW w:w="16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100.0%</w:t>
            </w: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716.4</w:t>
            </w:r>
          </w:p>
        </w:tc>
        <w:tc>
          <w:tcPr>
            <w:tcW w:w="180" w:type="dxa"/>
            <w:vAlign w:val="bottom"/>
            <w:vMerge w:val="continue"/>
          </w:tcPr>
          <w:p>
            <w:pPr>
              <w:spacing w:after="0"/>
              <w:rPr>
                <w:sz w:val="19"/>
                <w:szCs w:val="19"/>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704.5</w:t>
            </w:r>
          </w:p>
        </w:tc>
        <w:tc>
          <w:tcPr>
            <w:tcW w:w="16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80" w:type="dxa"/>
            <w:vAlign w:val="bottom"/>
          </w:tcPr>
          <w:p>
            <w:pPr>
              <w:spacing w:after="0"/>
              <w:rPr>
                <w:sz w:val="24"/>
                <w:szCs w:val="24"/>
                <w:color w:val="auto"/>
              </w:rPr>
            </w:pPr>
          </w:p>
        </w:tc>
        <w:tc>
          <w:tcPr>
            <w:tcW w:w="2820" w:type="dxa"/>
            <w:vAlign w:val="bottom"/>
            <w:gridSpan w:val="2"/>
          </w:tcPr>
          <w:p>
            <w:pPr>
              <w:jc w:val="right"/>
              <w:ind w:right="218"/>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8"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shows the detailed industry composition of our portfolio at fair value and cost as a percentage of total investments: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Cost</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72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70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4"/>
              </w:rPr>
              <w:t>December 31,</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Specialty Distribution</w:t>
            </w:r>
          </w:p>
        </w:tc>
        <w:tc>
          <w:tcPr>
            <w:tcW w:w="1600" w:type="dxa"/>
            <w:vAlign w:val="bottom"/>
            <w:gridSpan w:val="2"/>
            <w:shd w:val="clear" w:color="auto" w:fill="CCEEFF"/>
          </w:tcPr>
          <w:p>
            <w:pPr>
              <w:jc w:val="right"/>
              <w:ind w:right="505"/>
              <w:spacing w:after="0"/>
              <w:rPr>
                <w:sz w:val="20"/>
                <w:szCs w:val="20"/>
                <w:color w:val="auto"/>
              </w:rPr>
            </w:pPr>
            <w:r>
              <w:rPr>
                <w:rFonts w:ascii="Arial" w:cs="Arial" w:eastAsia="Arial" w:hAnsi="Arial"/>
                <w:sz w:val="18"/>
                <w:szCs w:val="18"/>
                <w:color w:val="auto"/>
              </w:rPr>
              <w:t>18.4%</w:t>
            </w:r>
          </w:p>
        </w:tc>
        <w:tc>
          <w:tcPr>
            <w:tcW w:w="1540" w:type="dxa"/>
            <w:vAlign w:val="bottom"/>
            <w:gridSpan w:val="3"/>
            <w:shd w:val="clear" w:color="auto" w:fill="CCEEFF"/>
          </w:tcPr>
          <w:p>
            <w:pPr>
              <w:jc w:val="right"/>
              <w:ind w:right="484"/>
              <w:spacing w:after="0"/>
              <w:rPr>
                <w:sz w:val="20"/>
                <w:szCs w:val="20"/>
                <w:color w:val="auto"/>
              </w:rPr>
            </w:pPr>
            <w:r>
              <w:rPr>
                <w:rFonts w:ascii="Arial" w:cs="Arial" w:eastAsia="Arial" w:hAnsi="Arial"/>
                <w:sz w:val="18"/>
                <w:szCs w:val="18"/>
                <w:color w:val="auto"/>
              </w:rPr>
              <w:t>16.9%</w:t>
            </w:r>
          </w:p>
        </w:tc>
        <w:tc>
          <w:tcPr>
            <w:tcW w:w="1600" w:type="dxa"/>
            <w:vAlign w:val="bottom"/>
            <w:gridSpan w:val="3"/>
            <w:shd w:val="clear" w:color="auto" w:fill="CCEEFF"/>
          </w:tcPr>
          <w:p>
            <w:pPr>
              <w:jc w:val="right"/>
              <w:ind w:right="506"/>
              <w:spacing w:after="0"/>
              <w:rPr>
                <w:sz w:val="20"/>
                <w:szCs w:val="20"/>
                <w:color w:val="auto"/>
              </w:rPr>
            </w:pPr>
            <w:r>
              <w:rPr>
                <w:rFonts w:ascii="Arial" w:cs="Arial" w:eastAsia="Arial" w:hAnsi="Arial"/>
                <w:sz w:val="18"/>
                <w:szCs w:val="18"/>
                <w:color w:val="auto"/>
              </w:rPr>
              <w:t>18.2%</w:t>
            </w:r>
          </w:p>
        </w:tc>
        <w:tc>
          <w:tcPr>
            <w:tcW w:w="1100" w:type="dxa"/>
            <w:vAlign w:val="bottom"/>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Information Technology Services</w:t>
            </w: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c>
          <w:tcPr>
            <w:tcW w:w="7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7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7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Healthcare Products</w:t>
            </w: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7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7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Component Manufacturing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Consumer Products</w:t>
            </w: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7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Aerospace &amp; Defense Manufacturing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Retail</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7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7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Healthcare Services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Promotional Products</w:t>
            </w: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7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7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Building Products Manufacturing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Transportation Services</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7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Utilities: Services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Environmental Industries</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7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7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Oil &amp; Gas Services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Packaging</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7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7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Industrial Cleaning &amp; Coatings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Oil &amp; Gas Distribution</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7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7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Utility Equipment Manufacturing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Vending Equipment Manufacturing</w:t>
            </w: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c>
          <w:tcPr>
            <w:tcW w:w="7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7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Restaurants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720" w:type="dxa"/>
            <w:vAlign w:val="bottom"/>
            <w:shd w:val="clear" w:color="auto" w:fill="CCEEFF"/>
          </w:tcPr>
          <w:p>
            <w:pPr>
              <w:jc w:val="right"/>
              <w:ind w:right="425"/>
              <w:spacing w:after="0"/>
              <w:rPr>
                <w:sz w:val="20"/>
                <w:szCs w:val="20"/>
                <w:color w:val="auto"/>
              </w:rPr>
            </w:pPr>
            <w:r>
              <w:rPr>
                <w:rFonts w:ascii="Arial" w:cs="Arial" w:eastAsia="Arial" w:hAnsi="Arial"/>
                <w:sz w:val="15"/>
                <w:szCs w:val="15"/>
                <w:color w:val="auto"/>
              </w:rPr>
              <w:t>(1)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700" w:type="dxa"/>
            <w:vAlign w:val="bottom"/>
            <w:shd w:val="clear" w:color="auto" w:fill="CCEEFF"/>
          </w:tcPr>
          <w:p>
            <w:pPr>
              <w:jc w:val="right"/>
              <w:ind w:right="424"/>
              <w:spacing w:after="0"/>
              <w:rPr>
                <w:sz w:val="20"/>
                <w:szCs w:val="20"/>
                <w:color w:val="auto"/>
              </w:rPr>
            </w:pPr>
            <w:r>
              <w:rPr>
                <w:rFonts w:ascii="Arial" w:cs="Arial" w:eastAsia="Arial" w:hAnsi="Arial"/>
                <w:sz w:val="15"/>
                <w:szCs w:val="15"/>
                <w:color w:val="auto"/>
                <w:w w:val="97"/>
              </w:rPr>
              <w:t>(1)</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Specialty Chemicals</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720" w:type="dxa"/>
            <w:vAlign w:val="bottom"/>
          </w:tcPr>
          <w:p>
            <w:pPr>
              <w:jc w:val="right"/>
              <w:ind w:right="425"/>
              <w:spacing w:after="0"/>
              <w:rPr>
                <w:sz w:val="20"/>
                <w:szCs w:val="20"/>
                <w:color w:val="auto"/>
              </w:rPr>
            </w:pPr>
            <w:r>
              <w:rPr>
                <w:rFonts w:ascii="Arial" w:cs="Arial" w:eastAsia="Arial" w:hAnsi="Arial"/>
                <w:sz w:val="15"/>
                <w:szCs w:val="15"/>
                <w:color w:val="auto"/>
              </w:rPr>
              <w:t>(1)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700" w:type="dxa"/>
            <w:vAlign w:val="bottom"/>
          </w:tcPr>
          <w:p>
            <w:pPr>
              <w:jc w:val="right"/>
              <w:ind w:right="424"/>
              <w:spacing w:after="0"/>
              <w:rPr>
                <w:sz w:val="20"/>
                <w:szCs w:val="20"/>
                <w:color w:val="auto"/>
              </w:rPr>
            </w:pPr>
            <w:r>
              <w:rPr>
                <w:rFonts w:ascii="Arial" w:cs="Arial" w:eastAsia="Arial" w:hAnsi="Arial"/>
                <w:sz w:val="15"/>
                <w:szCs w:val="15"/>
                <w:color w:val="auto"/>
                <w:w w:val="97"/>
              </w:rPr>
              <w:t>(1)</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700" w:type="dxa"/>
            <w:vAlign w:val="bottom"/>
          </w:tcPr>
          <w:p>
            <w:pPr>
              <w:jc w:val="right"/>
              <w:ind w:right="426"/>
              <w:spacing w:after="0"/>
              <w:rPr>
                <w:sz w:val="20"/>
                <w:szCs w:val="20"/>
                <w:color w:val="auto"/>
              </w:rPr>
            </w:pPr>
            <w:r>
              <w:rPr>
                <w:rFonts w:ascii="Arial" w:cs="Arial" w:eastAsia="Arial" w:hAnsi="Arial"/>
                <w:sz w:val="15"/>
                <w:szCs w:val="15"/>
                <w:color w:val="auto"/>
                <w:w w:val="97"/>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w w:val="97"/>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jc w:val="right"/>
              <w:ind w:right="505"/>
              <w:spacing w:after="0"/>
              <w:rPr>
                <w:sz w:val="20"/>
                <w:szCs w:val="20"/>
                <w:color w:val="auto"/>
              </w:rPr>
            </w:pPr>
            <w:r>
              <w:rPr>
                <w:rFonts w:ascii="Arial" w:cs="Arial" w:eastAsia="Arial" w:hAnsi="Arial"/>
                <w:sz w:val="18"/>
                <w:szCs w:val="18"/>
                <w:color w:val="auto"/>
              </w:rPr>
              <w:t>100.0%</w:t>
            </w:r>
          </w:p>
        </w:tc>
        <w:tc>
          <w:tcPr>
            <w:tcW w:w="1540" w:type="dxa"/>
            <w:vAlign w:val="bottom"/>
            <w:gridSpan w:val="3"/>
            <w:shd w:val="clear" w:color="auto" w:fill="CCEEFF"/>
          </w:tcPr>
          <w:p>
            <w:pPr>
              <w:jc w:val="right"/>
              <w:ind w:right="484"/>
              <w:spacing w:after="0"/>
              <w:rPr>
                <w:sz w:val="20"/>
                <w:szCs w:val="20"/>
                <w:color w:val="auto"/>
              </w:rPr>
            </w:pPr>
            <w:r>
              <w:rPr>
                <w:rFonts w:ascii="Arial" w:cs="Arial" w:eastAsia="Arial" w:hAnsi="Arial"/>
                <w:sz w:val="18"/>
                <w:szCs w:val="18"/>
                <w:color w:val="auto"/>
              </w:rPr>
              <w:t>100.0%</w:t>
            </w:r>
          </w:p>
        </w:tc>
        <w:tc>
          <w:tcPr>
            <w:tcW w:w="1600" w:type="dxa"/>
            <w:vAlign w:val="bottom"/>
            <w:gridSpan w:val="3"/>
            <w:shd w:val="clear" w:color="auto" w:fill="CCEEFF"/>
          </w:tcPr>
          <w:p>
            <w:pPr>
              <w:jc w:val="right"/>
              <w:ind w:right="506"/>
              <w:spacing w:after="0"/>
              <w:rPr>
                <w:sz w:val="20"/>
                <w:szCs w:val="20"/>
                <w:color w:val="auto"/>
              </w:rPr>
            </w:pPr>
            <w:r>
              <w:rPr>
                <w:rFonts w:ascii="Arial" w:cs="Arial" w:eastAsia="Arial" w:hAnsi="Arial"/>
                <w:sz w:val="18"/>
                <w:szCs w:val="18"/>
                <w:color w:val="auto"/>
              </w:rPr>
              <w:t>100.0%</w:t>
            </w:r>
          </w:p>
        </w:tc>
        <w:tc>
          <w:tcPr>
            <w:tcW w:w="1100" w:type="dxa"/>
            <w:vAlign w:val="bottom"/>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hanging="431"/>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Percentage is less than 0.1% of respective total.</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Portfolio Asset Quality</w:t>
      </w:r>
    </w:p>
    <w:p>
      <w:pPr>
        <w:spacing w:after="0" w:line="120" w:lineRule="exact"/>
        <w:rPr>
          <w:sz w:val="20"/>
          <w:szCs w:val="20"/>
          <w:color w:val="auto"/>
        </w:rPr>
      </w:pPr>
    </w:p>
    <w:p>
      <w:pPr>
        <w:ind w:left="120" w:right="260" w:firstLine="439"/>
        <w:spacing w:after="0" w:line="263" w:lineRule="auto"/>
        <w:rPr>
          <w:sz w:val="20"/>
          <w:szCs w:val="20"/>
          <w:color w:val="auto"/>
        </w:rPr>
      </w:pPr>
      <w:r>
        <w:rPr>
          <w:rFonts w:ascii="Arial" w:cs="Arial" w:eastAsia="Arial" w:hAnsi="Arial"/>
          <w:sz w:val="18"/>
          <w:szCs w:val="18"/>
          <w:color w:val="auto"/>
        </w:rPr>
        <w:t>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87" w:lineRule="exact"/>
        <w:rPr>
          <w:sz w:val="20"/>
          <w:szCs w:val="20"/>
          <w:color w:val="auto"/>
        </w:rPr>
      </w:pPr>
    </w:p>
    <w:p>
      <w:pPr>
        <w:ind w:left="1100" w:right="280" w:hanging="432"/>
        <w:spacing w:after="0" w:line="263"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87" w:lineRule="exact"/>
        <w:rPr>
          <w:rFonts w:ascii="Arial" w:cs="Arial" w:eastAsia="Arial" w:hAnsi="Arial"/>
          <w:sz w:val="18"/>
          <w:szCs w:val="18"/>
          <w:color w:val="auto"/>
        </w:rPr>
      </w:pPr>
    </w:p>
    <w:p>
      <w:pPr>
        <w:ind w:left="1100" w:hanging="432"/>
        <w:spacing w:after="0" w:line="263"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spacing w:after="0" w:line="87" w:lineRule="exact"/>
        <w:rPr>
          <w:rFonts w:ascii="Arial" w:cs="Arial" w:eastAsia="Arial" w:hAnsi="Arial"/>
          <w:sz w:val="18"/>
          <w:szCs w:val="18"/>
          <w:color w:val="auto"/>
        </w:rPr>
      </w:pPr>
    </w:p>
    <w:p>
      <w:pPr>
        <w:ind w:left="1100" w:right="180" w:hanging="432"/>
        <w:spacing w:after="0" w:line="263"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87" w:lineRule="exact"/>
        <w:rPr>
          <w:rFonts w:ascii="Arial" w:cs="Arial" w:eastAsia="Arial" w:hAnsi="Arial"/>
          <w:sz w:val="18"/>
          <w:szCs w:val="18"/>
          <w:color w:val="auto"/>
        </w:rPr>
      </w:pPr>
    </w:p>
    <w:p>
      <w:pPr>
        <w:ind w:left="1100" w:right="680" w:hanging="432"/>
        <w:spacing w:after="0" w:line="306" w:lineRule="auto"/>
        <w:tabs>
          <w:tab w:leader="none" w:pos="11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Investment Rating 4 is used for investments performing materially below expectations and the risk has increased materially since origination. The investment has the potential for some loss of investment return, but we expect no loss of principal.</w:t>
      </w:r>
    </w:p>
    <w:p>
      <w:pPr>
        <w:spacing w:after="0" w:line="53" w:lineRule="exact"/>
        <w:rPr>
          <w:rFonts w:ascii="Arial" w:cs="Arial" w:eastAsia="Arial" w:hAnsi="Arial"/>
          <w:sz w:val="17"/>
          <w:szCs w:val="17"/>
          <w:color w:val="auto"/>
        </w:rPr>
      </w:pPr>
    </w:p>
    <w:p>
      <w:pPr>
        <w:ind w:left="1100" w:right="280" w:hanging="432"/>
        <w:spacing w:after="0" w:line="276"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Rating 5 is used for investments performing substantially below our expectations and the risks have increased substantially since origination. We expect some loss of principal.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320" w:top="458" w:right="5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60" w:firstLine="439"/>
        <w:spacing w:after="0" w:line="276" w:lineRule="auto"/>
        <w:rPr>
          <w:sz w:val="20"/>
          <w:szCs w:val="20"/>
          <w:color w:val="auto"/>
        </w:rPr>
      </w:pPr>
      <w:r>
        <w:rPr>
          <w:rFonts w:ascii="Arial" w:cs="Arial" w:eastAsia="Arial" w:hAnsi="Arial"/>
          <w:sz w:val="18"/>
          <w:szCs w:val="18"/>
          <w:color w:val="auto"/>
        </w:rPr>
        <w:t>The following table shows the distribution of our investments on the 1 to 5 investment rating scale at fair value and cost as of September 30, 2020 and December 31, 2019 (dollars in millions):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3"/>
              </w:rPr>
              <w:t>Investment Rating</w:t>
            </w:r>
          </w:p>
        </w:tc>
        <w:tc>
          <w:tcPr>
            <w:tcW w:w="4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5"/>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80" w:type="dxa"/>
            <w:vAlign w:val="bottom"/>
          </w:tcPr>
          <w:p>
            <w:pPr>
              <w:spacing w:after="0"/>
              <w:rPr>
                <w:sz w:val="10"/>
                <w:szCs w:val="10"/>
                <w:color w:val="auto"/>
              </w:rPr>
            </w:pPr>
          </w:p>
        </w:tc>
        <w:tc>
          <w:tcPr>
            <w:tcW w:w="112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4"/>
          </w:tcPr>
          <w:p>
            <w:pPr>
              <w:jc w:val="right"/>
              <w:ind w:right="368"/>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1020" w:type="dxa"/>
            <w:vAlign w:val="bottom"/>
            <w:gridSpan w:val="3"/>
          </w:tcPr>
          <w:p>
            <w:pPr>
              <w:jc w:val="center"/>
              <w:ind w:right="1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160" w:type="dxa"/>
            <w:vAlign w:val="bottom"/>
            <w:tcBorders>
              <w:bottom w:val="single" w:sz="8" w:color="auto"/>
            </w:tcBorders>
            <w:vMerge w:val="continue"/>
          </w:tcPr>
          <w:p>
            <w:pPr>
              <w:spacing w:after="0"/>
              <w:rPr>
                <w:sz w:val="13"/>
                <w:szCs w:val="13"/>
                <w:color w:val="auto"/>
              </w:rPr>
            </w:pPr>
          </w:p>
        </w:tc>
        <w:tc>
          <w:tcPr>
            <w:tcW w:w="4900" w:type="dxa"/>
            <w:vAlign w:val="bottom"/>
            <w:gridSpan w:val="5"/>
          </w:tcPr>
          <w:p>
            <w:pPr>
              <w:jc w:val="right"/>
              <w:spacing w:after="0" w:line="157"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3"/>
          </w:tcPr>
          <w:p>
            <w:pPr>
              <w:jc w:val="right"/>
              <w:spacing w:after="0" w:line="157"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4260" w:type="dxa"/>
            <w:vAlign w:val="bottom"/>
            <w:gridSpan w:val="2"/>
            <w:vMerge w:val="restart"/>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60" w:type="dxa"/>
            <w:vAlign w:val="bottom"/>
            <w:vMerge w:val="continue"/>
            <w:shd w:val="clear" w:color="auto" w:fill="CCEEFF"/>
          </w:tcPr>
          <w:p>
            <w:pPr>
              <w:spacing w:after="0"/>
              <w:rPr>
                <w:sz w:val="17"/>
                <w:szCs w:val="17"/>
                <w:color w:val="auto"/>
              </w:rPr>
            </w:pPr>
          </w:p>
        </w:tc>
        <w:tc>
          <w:tcPr>
            <w:tcW w:w="4260" w:type="dxa"/>
            <w:vAlign w:val="bottom"/>
            <w:gridSpan w:val="2"/>
            <w:vMerge w:val="continue"/>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83"/>
              </w:rPr>
              <w:t>$104.2</w:t>
            </w:r>
          </w:p>
        </w:tc>
        <w:tc>
          <w:tcPr>
            <w:tcW w:w="140" w:type="dxa"/>
            <w:vAlign w:val="bottom"/>
            <w:shd w:val="clear" w:color="auto" w:fill="CCEEFF"/>
          </w:tcPr>
          <w:p>
            <w:pPr>
              <w:spacing w:after="0"/>
              <w:rPr>
                <w:sz w:val="17"/>
                <w:szCs w:val="17"/>
                <w:color w:val="auto"/>
              </w:rPr>
            </w:pPr>
          </w:p>
        </w:tc>
        <w:tc>
          <w:tcPr>
            <w:tcW w:w="680" w:type="dxa"/>
            <w:vAlign w:val="bottom"/>
            <w:tcBorders>
              <w:left w:val="single" w:sz="8" w:color="CCEEFF"/>
            </w:tcBorders>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14.5%</w:t>
            </w:r>
          </w:p>
        </w:tc>
        <w:tc>
          <w:tcPr>
            <w:tcW w:w="8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$100.1</w:t>
            </w:r>
          </w:p>
        </w:tc>
        <w:tc>
          <w:tcPr>
            <w:tcW w:w="160" w:type="dxa"/>
            <w:vAlign w:val="bottom"/>
            <w:shd w:val="clear" w:color="auto" w:fill="CCEEFF"/>
          </w:tcPr>
          <w:p>
            <w:pPr>
              <w:spacing w:after="0"/>
              <w:rPr>
                <w:sz w:val="17"/>
                <w:szCs w:val="17"/>
                <w:color w:val="auto"/>
              </w:rPr>
            </w:pPr>
          </w:p>
        </w:tc>
        <w:tc>
          <w:tcPr>
            <w:tcW w:w="780" w:type="dxa"/>
            <w:vAlign w:val="bottom"/>
            <w:tcBorders>
              <w:left w:val="single" w:sz="8" w:color="CCEEFF"/>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55.3</w:t>
            </w:r>
          </w:p>
        </w:tc>
        <w:tc>
          <w:tcPr>
            <w:tcW w:w="760" w:type="dxa"/>
            <w:vAlign w:val="bottom"/>
            <w:tcBorders>
              <w:left w:val="single" w:sz="8" w:color="CCEEFF"/>
            </w:tcBorders>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29.0</w:t>
            </w:r>
          </w:p>
        </w:tc>
        <w:tc>
          <w:tcPr>
            <w:tcW w:w="660" w:type="dxa"/>
            <w:vAlign w:val="bottom"/>
            <w:tcBorders>
              <w:lef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20"/>
                <w:szCs w:val="20"/>
                <w:color w:val="auto"/>
              </w:rPr>
            </w:pPr>
            <w:r>
              <w:rPr>
                <w:rFonts w:ascii="Arial" w:cs="Arial" w:eastAsia="Arial" w:hAnsi="Arial"/>
                <w:sz w:val="18"/>
                <w:szCs w:val="18"/>
                <w:color w:val="auto"/>
              </w:rPr>
              <w:t>2</w:t>
            </w:r>
          </w:p>
        </w:tc>
        <w:tc>
          <w:tcPr>
            <w:tcW w:w="4760" w:type="dxa"/>
            <w:vAlign w:val="bottom"/>
            <w:gridSpan w:val="4"/>
          </w:tcPr>
          <w:p>
            <w:pPr>
              <w:jc w:val="right"/>
              <w:ind w:right="20"/>
              <w:spacing w:after="0"/>
              <w:rPr>
                <w:sz w:val="20"/>
                <w:szCs w:val="20"/>
                <w:color w:val="auto"/>
              </w:rPr>
            </w:pPr>
            <w:r>
              <w:rPr>
                <w:rFonts w:ascii="Arial" w:cs="Arial" w:eastAsia="Arial" w:hAnsi="Arial"/>
                <w:sz w:val="18"/>
                <w:szCs w:val="18"/>
                <w:color w:val="auto"/>
              </w:rPr>
              <w:t>514.3</w:t>
            </w: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71.9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580.5</w:t>
            </w:r>
          </w:p>
        </w:tc>
        <w:tc>
          <w:tcPr>
            <w:tcW w:w="16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509.3</w:t>
            </w:r>
          </w:p>
        </w:tc>
        <w:tc>
          <w:tcPr>
            <w:tcW w:w="760" w:type="dxa"/>
            <w:vAlign w:val="bottom"/>
            <w:gridSpan w:val="2"/>
          </w:tcPr>
          <w:p>
            <w:pPr>
              <w:jc w:val="right"/>
              <w:ind w:right="248"/>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570.1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5"/>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9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90.5</w:t>
            </w:r>
          </w:p>
        </w:tc>
        <w:tc>
          <w:tcPr>
            <w:tcW w:w="68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84.6</w:t>
            </w:r>
          </w:p>
        </w:tc>
        <w:tc>
          <w:tcPr>
            <w:tcW w:w="78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101.7</w:t>
            </w:r>
          </w:p>
        </w:tc>
        <w:tc>
          <w:tcPr>
            <w:tcW w:w="760" w:type="dxa"/>
            <w:vAlign w:val="bottom"/>
            <w:tcBorders>
              <w:left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w:t>
            </w:r>
          </w:p>
        </w:tc>
        <w:tc>
          <w:tcPr>
            <w:tcW w:w="66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20"/>
                <w:szCs w:val="20"/>
                <w:color w:val="auto"/>
              </w:rPr>
            </w:pPr>
            <w:r>
              <w:rPr>
                <w:rFonts w:ascii="Arial" w:cs="Arial" w:eastAsia="Arial" w:hAnsi="Arial"/>
                <w:sz w:val="18"/>
                <w:szCs w:val="18"/>
                <w:color w:val="auto"/>
              </w:rPr>
              <w:t>4</w:t>
            </w:r>
          </w:p>
        </w:tc>
        <w:tc>
          <w:tcPr>
            <w:tcW w:w="4760" w:type="dxa"/>
            <w:vAlign w:val="bottom"/>
            <w:gridSpan w:val="4"/>
          </w:tcPr>
          <w:p>
            <w:pPr>
              <w:jc w:val="right"/>
              <w:ind w:right="2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760" w:type="dxa"/>
            <w:vAlign w:val="bottom"/>
            <w:gridSpan w:val="2"/>
          </w:tcPr>
          <w:p>
            <w:pPr>
              <w:jc w:val="right"/>
              <w:ind w:right="248"/>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260" w:type="dxa"/>
            <w:vAlign w:val="bottom"/>
            <w:gridSpan w:val="2"/>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c>
          <w:tcPr>
            <w:tcW w:w="760" w:type="dxa"/>
            <w:vAlign w:val="bottom"/>
            <w:tcBorders>
              <w:left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vMerge w:val="continue"/>
          </w:tcPr>
          <w:p>
            <w:pPr>
              <w:spacing w:after="0"/>
              <w:rPr>
                <w:sz w:val="19"/>
                <w:szCs w:val="19"/>
                <w:color w:val="auto"/>
              </w:rPr>
            </w:pPr>
          </w:p>
        </w:tc>
        <w:tc>
          <w:tcPr>
            <w:tcW w:w="42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715.4</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100.0%</w:t>
            </w:r>
          </w:p>
        </w:tc>
        <w:tc>
          <w:tcPr>
            <w:tcW w:w="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766.9</w:t>
            </w:r>
          </w:p>
        </w:tc>
        <w:tc>
          <w:tcPr>
            <w:tcW w:w="16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716.4</w:t>
            </w:r>
          </w:p>
        </w:tc>
        <w:tc>
          <w:tcPr>
            <w:tcW w:w="180" w:type="dxa"/>
            <w:vAlign w:val="bottom"/>
            <w:vMerge w:val="continue"/>
          </w:tcPr>
          <w:p>
            <w:pPr>
              <w:spacing w:after="0"/>
              <w:rPr>
                <w:sz w:val="19"/>
                <w:szCs w:val="19"/>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100.0%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704.5</w:t>
            </w:r>
          </w:p>
        </w:tc>
        <w:tc>
          <w:tcPr>
            <w:tcW w:w="16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39"/>
        <w:spacing w:after="0" w:line="276" w:lineRule="auto"/>
        <w:rPr>
          <w:sz w:val="20"/>
          <w:szCs w:val="20"/>
          <w:color w:val="auto"/>
        </w:rPr>
      </w:pPr>
      <w:r>
        <w:rPr>
          <w:rFonts w:ascii="Arial" w:cs="Arial" w:eastAsia="Arial" w:hAnsi="Arial"/>
          <w:sz w:val="18"/>
          <w:szCs w:val="18"/>
          <w:color w:val="auto"/>
        </w:rPr>
        <w:t>Based on our investment rating system, the weighted average rating of our portfolio as of September 30, 2020 and December 31, 2019 was 2.0 on a fair value basis and 2.3 and 2.1, respectively, on a cost basis.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Non-Accrual</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September 30, 2020 and December 31, 2019, we had debt investments in one portfolio company on non-accrual status, (dollars in millions):</w:t>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2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336"/>
              <w:spacing w:after="0"/>
              <w:rPr>
                <w:sz w:val="20"/>
                <w:szCs w:val="20"/>
                <w:color w:val="auto"/>
              </w:rPr>
            </w:pPr>
            <w:r>
              <w:rPr>
                <w:rFonts w:ascii="Arial" w:cs="Arial" w:eastAsia="Arial" w:hAnsi="Arial"/>
                <w:sz w:val="14"/>
                <w:szCs w:val="14"/>
                <w:b w:val="1"/>
                <w:bCs w:val="1"/>
                <w:color w:val="auto"/>
                <w:w w:val="96"/>
              </w:rPr>
              <w:t>2020</w:t>
            </w: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92"/>
              </w:rPr>
              <w:t>Portfolio Company</w:t>
            </w:r>
          </w:p>
        </w:tc>
        <w:tc>
          <w:tcPr>
            <w:tcW w:w="624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Fair</w:t>
            </w:r>
          </w:p>
        </w:tc>
        <w:tc>
          <w:tcPr>
            <w:tcW w:w="320" w:type="dxa"/>
            <w:vAlign w:val="bottom"/>
          </w:tcPr>
          <w:p>
            <w:pPr>
              <w:spacing w:after="0"/>
              <w:rPr>
                <w:sz w:val="10"/>
                <w:szCs w:val="10"/>
                <w:color w:val="auto"/>
              </w:rPr>
            </w:pPr>
          </w:p>
        </w:tc>
        <w:tc>
          <w:tcPr>
            <w:tcW w:w="7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Fair</w:t>
            </w:r>
          </w:p>
        </w:tc>
        <w:tc>
          <w:tcPr>
            <w:tcW w:w="320" w:type="dxa"/>
            <w:vAlign w:val="bottom"/>
          </w:tcPr>
          <w:p>
            <w:pPr>
              <w:spacing w:after="0"/>
              <w:rPr>
                <w:sz w:val="10"/>
                <w:szCs w:val="10"/>
                <w:color w:val="auto"/>
              </w:rPr>
            </w:pPr>
          </w:p>
        </w:tc>
        <w:tc>
          <w:tcPr>
            <w:tcW w:w="4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77"/>
        </w:trPr>
        <w:tc>
          <w:tcPr>
            <w:tcW w:w="1180" w:type="dxa"/>
            <w:vAlign w:val="bottom"/>
            <w:tcBorders>
              <w:bottom w:val="single" w:sz="8" w:color="auto"/>
            </w:tcBorders>
            <w:vMerge w:val="continue"/>
          </w:tcPr>
          <w:p>
            <w:pPr>
              <w:spacing w:after="0"/>
              <w:rPr>
                <w:sz w:val="15"/>
                <w:szCs w:val="15"/>
                <w:color w:val="auto"/>
              </w:rPr>
            </w:pPr>
          </w:p>
        </w:tc>
        <w:tc>
          <w:tcPr>
            <w:tcW w:w="6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2"/>
          </w:tcPr>
          <w:p>
            <w:pPr>
              <w:jc w:val="center"/>
              <w:ind w:right="20"/>
              <w:spacing w:after="0" w:line="157" w:lineRule="exact"/>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4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6"/>
              </w:rPr>
              <w:t>Value</w:t>
            </w:r>
          </w:p>
        </w:tc>
        <w:tc>
          <w:tcPr>
            <w:tcW w:w="32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Accent Food Services, LLC</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4"/>
              </w:rPr>
              <w:t>$ 5.3</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35.3</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33.1</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35.3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$ 5.3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35.3</w:t>
            </w:r>
          </w:p>
        </w:tc>
        <w:tc>
          <w:tcPr>
            <w:tcW w:w="320" w:type="dxa"/>
            <w:vAlign w:val="bottom"/>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33.1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Discussion and Analysis of Results of Operations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three and nine months ended September 30, 2020 and 2019</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Investment Income</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Below is a summary of the changes in total investment income for the three months ended September 30, 2020 as compared to the same period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(dollars in millions):</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9"/>
              </w:rPr>
              <w:t>Change</w:t>
            </w: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2020</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2019</w:t>
            </w:r>
          </w:p>
        </w:tc>
        <w:tc>
          <w:tcPr>
            <w:tcW w:w="4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60" w:type="dxa"/>
            <w:vAlign w:val="bottom"/>
            <w:tcBorders>
              <w:lef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4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5"/>
        </w:trPr>
        <w:tc>
          <w:tcPr>
            <w:tcW w:w="5820" w:type="dxa"/>
            <w:vAlign w:val="bottom"/>
          </w:tcPr>
          <w:p>
            <w:pPr>
              <w:spacing w:after="0"/>
              <w:rPr>
                <w:sz w:val="20"/>
                <w:szCs w:val="20"/>
                <w:color w:val="auto"/>
              </w:rPr>
            </w:pPr>
            <w:r>
              <w:rPr>
                <w:rFonts w:ascii="Arial" w:cs="Arial" w:eastAsia="Arial" w:hAnsi="Arial"/>
                <w:sz w:val="18"/>
                <w:szCs w:val="18"/>
                <w:color w:val="auto"/>
              </w:rPr>
              <w:t>Payment-in-kind interest income</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5"/>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5"/>
        </w:trPr>
        <w:tc>
          <w:tcPr>
            <w:tcW w:w="5820" w:type="dxa"/>
            <w:vAlign w:val="bottom"/>
          </w:tcPr>
          <w:p>
            <w:pPr>
              <w:spacing w:after="0"/>
              <w:rPr>
                <w:sz w:val="20"/>
                <w:szCs w:val="20"/>
                <w:color w:val="auto"/>
              </w:rPr>
            </w:pPr>
            <w:r>
              <w:rPr>
                <w:rFonts w:ascii="Arial" w:cs="Arial" w:eastAsia="Arial" w:hAnsi="Arial"/>
                <w:sz w:val="18"/>
                <w:szCs w:val="18"/>
                <w:color w:val="auto"/>
              </w:rPr>
              <w:t>Fee income</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5"/>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Interest on idle funds and other income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Total investment income</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21.1</w:t>
            </w:r>
          </w:p>
        </w:tc>
        <w:tc>
          <w:tcPr>
            <w:tcW w:w="4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19.2</w:t>
            </w:r>
          </w:p>
        </w:tc>
        <w:tc>
          <w:tcPr>
            <w:tcW w:w="4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440" w:type="dxa"/>
            <w:vAlign w:val="bottom"/>
            <w:vMerge w:val="continue"/>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560" w:hanging="431"/>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2" w:lineRule="exact"/>
        <w:rPr>
          <w:rFonts w:ascii="Arial" w:cs="Arial" w:eastAsia="Arial" w:hAnsi="Arial"/>
          <w:sz w:val="18"/>
          <w:szCs w:val="18"/>
          <w:color w:val="auto"/>
        </w:rPr>
      </w:pPr>
    </w:p>
    <w:p>
      <w:pPr>
        <w:ind w:left="560" w:hanging="431"/>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221" w:lineRule="exact"/>
        <w:rPr>
          <w:sz w:val="20"/>
          <w:szCs w:val="20"/>
          <w:color w:val="auto"/>
        </w:rPr>
      </w:pPr>
    </w:p>
    <w:p>
      <w:pPr>
        <w:ind w:left="120" w:right="500" w:firstLine="439"/>
        <w:spacing w:after="0" w:line="263" w:lineRule="auto"/>
        <w:rPr>
          <w:sz w:val="20"/>
          <w:szCs w:val="20"/>
          <w:color w:val="auto"/>
        </w:rPr>
      </w:pPr>
      <w:r>
        <w:rPr>
          <w:rFonts w:ascii="Arial" w:cs="Arial" w:eastAsia="Arial" w:hAnsi="Arial"/>
          <w:sz w:val="18"/>
          <w:szCs w:val="18"/>
          <w:color w:val="auto"/>
        </w:rPr>
        <w:t>For the three months ended September 30, 2020, total investment income was $21.1 million, an increase of $1.9 million or 9.8%, from the $19.2 million of total investment income for the three months ended September 30, 2019. As reflected in the table above, the increase is primarily attributable to the following:</w:t>
      </w:r>
    </w:p>
    <w:p>
      <w:pPr>
        <w:spacing w:after="0" w:line="87" w:lineRule="exact"/>
        <w:rPr>
          <w:sz w:val="20"/>
          <w:szCs w:val="20"/>
          <w:color w:val="auto"/>
        </w:rPr>
      </w:pPr>
    </w:p>
    <w:p>
      <w:pPr>
        <w:ind w:left="1100" w:right="220" w:hanging="432"/>
        <w:spacing w:after="0" w:line="276"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$1.6 million increase in total interest income (which includes a $1.1 million decrease in payment-in-kind interest income) resulting from higher average debt investment balances outstanding, during 2020 as compared to 2019.</w:t>
      </w:r>
    </w:p>
    <w:p>
      <w:pPr>
        <w:spacing w:after="0" w:line="76" w:lineRule="exact"/>
        <w:rPr>
          <w:rFonts w:ascii="Arial" w:cs="Arial" w:eastAsia="Arial" w:hAnsi="Arial"/>
          <w:sz w:val="18"/>
          <w:szCs w:val="18"/>
          <w:color w:val="auto"/>
        </w:rPr>
      </w:pPr>
    </w:p>
    <w:p>
      <w:pPr>
        <w:ind w:left="1100" w:right="180" w:hanging="432"/>
        <w:spacing w:after="0" w:line="276"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$0.5 million increase in dividend income, during 2020 as compared to 2019, due to increased levels of distributions received from equity investments and tax true-ups related to the tax character of prior year distributions.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right="380" w:hanging="432"/>
        <w:spacing w:after="0" w:line="341" w:lineRule="auto"/>
        <w:tabs>
          <w:tab w:leader="none" w:pos="11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$(0.4) million decrease in fee income resulting from a decrease in structuring fees due to a comparative decrease in new investments partially offset by an increase in amendment fee income and an increase in prepayment fee income, during 2020 as compared to 2019.</w:t>
      </w:r>
    </w:p>
    <w:p>
      <w:pPr>
        <w:spacing w:after="0" w:line="124" w:lineRule="exact"/>
        <w:rPr>
          <w:sz w:val="20"/>
          <w:szCs w:val="20"/>
          <w:color w:val="auto"/>
        </w:rPr>
      </w:pPr>
    </w:p>
    <w:p>
      <w:pPr>
        <w:ind w:left="120" w:right="140" w:firstLine="439"/>
        <w:spacing w:after="0" w:line="276" w:lineRule="auto"/>
        <w:rPr>
          <w:sz w:val="20"/>
          <w:szCs w:val="20"/>
          <w:color w:val="auto"/>
        </w:rPr>
      </w:pPr>
      <w:r>
        <w:rPr>
          <w:rFonts w:ascii="Arial" w:cs="Arial" w:eastAsia="Arial" w:hAnsi="Arial"/>
          <w:sz w:val="18"/>
          <w:szCs w:val="18"/>
          <w:color w:val="auto"/>
        </w:rPr>
        <w:t>Below is a summary of the changes in total investment income for the nine months ended September 30, 2020 as compared to the same period in 2019 (dollars in millions):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6"/>
              </w:rPr>
              <w:t>Nine Months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9"/>
              </w:rPr>
              <w:t>Change</w:t>
            </w: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2020</w:t>
            </w: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2019</w:t>
            </w:r>
          </w:p>
        </w:tc>
        <w:tc>
          <w:tcPr>
            <w:tcW w:w="4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460" w:type="dxa"/>
            <w:vAlign w:val="bottom"/>
            <w:tcBorders>
              <w:lef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4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Payment-in-kind interest income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(4.3)</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5"/>
        </w:trPr>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Fee income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5"/>
        </w:trPr>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on idle funds and other income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Total investment income</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61.5</w:t>
            </w:r>
          </w:p>
        </w:tc>
        <w:tc>
          <w:tcPr>
            <w:tcW w:w="4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57.6</w:t>
            </w:r>
          </w:p>
        </w:tc>
        <w:tc>
          <w:tcPr>
            <w:tcW w:w="4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9</w:t>
            </w:r>
          </w:p>
        </w:tc>
        <w:tc>
          <w:tcPr>
            <w:tcW w:w="440" w:type="dxa"/>
            <w:vAlign w:val="bottom"/>
            <w:vMerge w:val="continue"/>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560" w:hanging="431"/>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2" w:lineRule="exact"/>
        <w:rPr>
          <w:rFonts w:ascii="Arial" w:cs="Arial" w:eastAsia="Arial" w:hAnsi="Arial"/>
          <w:sz w:val="18"/>
          <w:szCs w:val="18"/>
          <w:color w:val="auto"/>
        </w:rPr>
      </w:pPr>
    </w:p>
    <w:p>
      <w:pPr>
        <w:ind w:left="560" w:hanging="431"/>
        <w:spacing w:after="0"/>
        <w:tabs>
          <w:tab w:leader="none" w:pos="5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221" w:lineRule="exact"/>
        <w:rPr>
          <w:sz w:val="20"/>
          <w:szCs w:val="20"/>
          <w:color w:val="auto"/>
        </w:rPr>
      </w:pPr>
    </w:p>
    <w:p>
      <w:pPr>
        <w:ind w:left="120" w:right="560" w:firstLine="439"/>
        <w:spacing w:after="0" w:line="263" w:lineRule="auto"/>
        <w:rPr>
          <w:sz w:val="20"/>
          <w:szCs w:val="20"/>
          <w:color w:val="auto"/>
        </w:rPr>
      </w:pPr>
      <w:r>
        <w:rPr>
          <w:rFonts w:ascii="Arial" w:cs="Arial" w:eastAsia="Arial" w:hAnsi="Arial"/>
          <w:sz w:val="18"/>
          <w:szCs w:val="18"/>
          <w:color w:val="auto"/>
        </w:rPr>
        <w:t>For the nine months ended September 30, 2020, total investment income was $61.5 million, an increase of $3.9 million or 6.8%, from the $57.6 million of total investment income for the nine months ended September 30, 2019. As reflected in the table above, the increase is primarily attributable to the following:</w:t>
      </w:r>
    </w:p>
    <w:p>
      <w:pPr>
        <w:spacing w:after="0" w:line="87" w:lineRule="exact"/>
        <w:rPr>
          <w:sz w:val="20"/>
          <w:szCs w:val="20"/>
          <w:color w:val="auto"/>
        </w:rPr>
      </w:pPr>
    </w:p>
    <w:p>
      <w:pPr>
        <w:ind w:left="1100" w:right="220" w:hanging="432"/>
        <w:spacing w:after="0" w:line="276"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$5.6 million increase in total interest income (which includes a $4.3 million decrease in payment-in-kind interest income) resulting from higher average debt investment balances outstanding, during 2020 as compared to 2019.</w:t>
      </w:r>
    </w:p>
    <w:p>
      <w:pPr>
        <w:spacing w:after="0" w:line="76" w:lineRule="exact"/>
        <w:rPr>
          <w:rFonts w:ascii="Arial" w:cs="Arial" w:eastAsia="Arial" w:hAnsi="Arial"/>
          <w:sz w:val="18"/>
          <w:szCs w:val="18"/>
          <w:color w:val="auto"/>
        </w:rPr>
      </w:pPr>
    </w:p>
    <w:p>
      <w:pPr>
        <w:ind w:left="1100" w:hanging="432"/>
        <w:spacing w:after="0" w:line="276"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$(0.3) million decrease in dividend income, during 2020 as compared to 2019, due to decreased levels of distributions received from equity investments.</w:t>
      </w:r>
    </w:p>
    <w:p>
      <w:pPr>
        <w:spacing w:after="0" w:line="76" w:lineRule="exact"/>
        <w:rPr>
          <w:rFonts w:ascii="Arial" w:cs="Arial" w:eastAsia="Arial" w:hAnsi="Arial"/>
          <w:sz w:val="18"/>
          <w:szCs w:val="18"/>
          <w:color w:val="auto"/>
        </w:rPr>
      </w:pPr>
    </w:p>
    <w:p>
      <w:pPr>
        <w:ind w:left="1100" w:right="780" w:hanging="432"/>
        <w:spacing w:after="0" w:line="341" w:lineRule="auto"/>
        <w:tabs>
          <w:tab w:leader="none" w:pos="11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$(1.6) million decrease in fee income resulting from a decrease in prepayment fee income, a decrease in structuring fees due to a comparative decrease in new investments, offset by an increase in amendment fee income, during 2020 as compared to 2019.</w:t>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Expenses</w:t>
      </w:r>
    </w:p>
    <w:p>
      <w:pPr>
        <w:spacing w:after="0" w:line="116" w:lineRule="exact"/>
        <w:rPr>
          <w:sz w:val="20"/>
          <w:szCs w:val="20"/>
          <w:color w:val="auto"/>
        </w:rPr>
      </w:pPr>
    </w:p>
    <w:p>
      <w:pPr>
        <w:ind w:left="120" w:right="740" w:firstLine="439"/>
        <w:spacing w:after="0" w:line="276" w:lineRule="auto"/>
        <w:rPr>
          <w:sz w:val="20"/>
          <w:szCs w:val="20"/>
          <w:color w:val="auto"/>
        </w:rPr>
      </w:pPr>
      <w:r>
        <w:rPr>
          <w:rFonts w:ascii="Arial" w:cs="Arial" w:eastAsia="Arial" w:hAnsi="Arial"/>
          <w:sz w:val="18"/>
          <w:szCs w:val="18"/>
          <w:color w:val="auto"/>
        </w:rPr>
        <w:t>Below is a summary of the changes in total expenses, including income tax provision, for the three months ended September 30, 2020 as compared to the same period in 2019 (dollars in millions):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9"/>
              </w:rPr>
              <w:t>Change</w:t>
            </w: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2020</w:t>
            </w: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6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5"/>
        </w:trPr>
        <w:tc>
          <w:tcPr>
            <w:tcW w:w="5780" w:type="dxa"/>
            <w:vAlign w:val="bottom"/>
          </w:tcPr>
          <w:p>
            <w:pPr>
              <w:spacing w:after="0"/>
              <w:rPr>
                <w:sz w:val="20"/>
                <w:szCs w:val="20"/>
                <w:color w:val="auto"/>
              </w:rPr>
            </w:pPr>
            <w:r>
              <w:rPr>
                <w:rFonts w:ascii="Arial" w:cs="Arial" w:eastAsia="Arial" w:hAnsi="Arial"/>
                <w:sz w:val="18"/>
                <w:szCs w:val="18"/>
                <w:color w:val="auto"/>
              </w:rPr>
              <w:t>Base management fee</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Incentive fee - income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5"/>
        </w:trPr>
        <w:tc>
          <w:tcPr>
            <w:tcW w:w="5780" w:type="dxa"/>
            <w:vAlign w:val="bottom"/>
          </w:tcPr>
          <w:p>
            <w:pPr>
              <w:spacing w:after="0"/>
              <w:rPr>
                <w:sz w:val="20"/>
                <w:szCs w:val="20"/>
                <w:color w:val="auto"/>
              </w:rPr>
            </w:pPr>
            <w:r>
              <w:rPr>
                <w:rFonts w:ascii="Arial" w:cs="Arial" w:eastAsia="Arial" w:hAnsi="Arial"/>
                <w:sz w:val="18"/>
                <w:szCs w:val="18"/>
                <w:color w:val="auto"/>
              </w:rPr>
              <w:t>Incentive fee - capital gains</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service expenses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5"/>
        </w:trPr>
        <w:tc>
          <w:tcPr>
            <w:tcW w:w="5780" w:type="dxa"/>
            <w:vAlign w:val="bottom"/>
          </w:tcPr>
          <w:p>
            <w:pPr>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Total expenses, before income incentive fee waiver</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14.2</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Incentive fee waiver - income</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Total expenses, before income tax provision</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14.2</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Total expenses, including income tax provision</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14.2</w:t>
            </w:r>
          </w:p>
        </w:tc>
        <w:tc>
          <w:tcPr>
            <w:tcW w:w="4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460" w:type="dxa"/>
            <w:vAlign w:val="bottom"/>
            <w:vMerge w:val="continue"/>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560" w:hanging="431"/>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2" w:lineRule="exact"/>
        <w:rPr>
          <w:rFonts w:ascii="Arial" w:cs="Arial" w:eastAsia="Arial" w:hAnsi="Arial"/>
          <w:sz w:val="18"/>
          <w:szCs w:val="18"/>
          <w:color w:val="auto"/>
        </w:rPr>
      </w:pPr>
    </w:p>
    <w:p>
      <w:pPr>
        <w:ind w:left="560" w:hanging="431"/>
        <w:spacing w:after="0"/>
        <w:tabs>
          <w:tab w:leader="none" w:pos="5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both"/>
        <w:ind w:left="120" w:firstLine="439"/>
        <w:spacing w:after="0" w:line="263" w:lineRule="auto"/>
        <w:rPr>
          <w:sz w:val="20"/>
          <w:szCs w:val="20"/>
          <w:color w:val="auto"/>
        </w:rPr>
      </w:pPr>
      <w:r>
        <w:rPr>
          <w:rFonts w:ascii="Arial" w:cs="Arial" w:eastAsia="Arial" w:hAnsi="Arial"/>
          <w:sz w:val="18"/>
          <w:szCs w:val="18"/>
          <w:color w:val="auto"/>
        </w:rPr>
        <w:t>For the three months ended September 30, 2020, total expenses, including income tax provision, were $14.2 million, an increase of $2.4 million or 19.7%, from the $11.8 million of total expenses for the three months ended September 30, 2019. As reflected in the table above, changes across periods were primarily attributable to the following:</w:t>
      </w:r>
    </w:p>
    <w:p>
      <w:pPr>
        <w:spacing w:after="0" w:line="87" w:lineRule="exact"/>
        <w:rPr>
          <w:sz w:val="20"/>
          <w:szCs w:val="20"/>
          <w:color w:val="auto"/>
        </w:rPr>
      </w:pPr>
    </w:p>
    <w:p>
      <w:pPr>
        <w:ind w:left="1100" w:right="40" w:hanging="432"/>
        <w:spacing w:after="0" w:line="263"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$1.5 million increase in the capital gains incentive fee due to a $7.3 million increase in net gain on investments (net realized gains (losses), plus net change in unrealized appreciation (depreciation) on investments, plus realized losses on extinguishment of debt) during 2020 as compared to the same period in 2019.</w:t>
      </w:r>
    </w:p>
    <w:p>
      <w:pPr>
        <w:spacing w:after="0" w:line="87" w:lineRule="exact"/>
        <w:rPr>
          <w:rFonts w:ascii="Arial" w:cs="Arial" w:eastAsia="Arial" w:hAnsi="Arial"/>
          <w:sz w:val="18"/>
          <w:szCs w:val="18"/>
          <w:color w:val="auto"/>
        </w:rPr>
      </w:pPr>
    </w:p>
    <w:p>
      <w:pPr>
        <w:ind w:left="1100" w:right="100" w:hanging="432"/>
        <w:spacing w:after="0" w:line="276"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$0.5 million increase in interest and financing expenses due to an increase in average borrowings outstanding during 2020 as compared to 2019.</w:t>
      </w:r>
    </w:p>
    <w:p>
      <w:pPr>
        <w:spacing w:after="0" w:line="76" w:lineRule="exact"/>
        <w:rPr>
          <w:rFonts w:ascii="Arial" w:cs="Arial" w:eastAsia="Arial" w:hAnsi="Arial"/>
          <w:sz w:val="18"/>
          <w:szCs w:val="18"/>
          <w:color w:val="auto"/>
        </w:rPr>
      </w:pPr>
    </w:p>
    <w:p>
      <w:pPr>
        <w:ind w:left="1100" w:right="40" w:hanging="432"/>
        <w:spacing w:after="0" w:line="276"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$0.2 million net increase in the income incentive fee due to a $1.2 million increase in pre-incentive fee net investment income during 2020 as compared to the same period in 2019.</w:t>
      </w:r>
    </w:p>
    <w:p>
      <w:pPr>
        <w:spacing w:after="0" w:line="76" w:lineRule="exact"/>
        <w:rPr>
          <w:rFonts w:ascii="Arial" w:cs="Arial" w:eastAsia="Arial" w:hAnsi="Arial"/>
          <w:sz w:val="18"/>
          <w:szCs w:val="18"/>
          <w:color w:val="auto"/>
        </w:rPr>
      </w:pPr>
    </w:p>
    <w:p>
      <w:pPr>
        <w:ind w:left="1100" w:hanging="432"/>
        <w:spacing w:after="0"/>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$0.1 million increase in professional fees due to increased legal, audit and tax compliance costs during 2020 as compared to 2019.</w:t>
      </w:r>
    </w:p>
    <w:p>
      <w:pPr>
        <w:spacing w:after="0" w:line="236" w:lineRule="exact"/>
        <w:rPr>
          <w:sz w:val="20"/>
          <w:szCs w:val="20"/>
          <w:color w:val="auto"/>
        </w:rPr>
      </w:pPr>
    </w:p>
    <w:p>
      <w:pPr>
        <w:ind w:left="120" w:right="60" w:firstLine="439"/>
        <w:spacing w:after="0" w:line="276" w:lineRule="auto"/>
        <w:rPr>
          <w:sz w:val="20"/>
          <w:szCs w:val="20"/>
          <w:color w:val="auto"/>
        </w:rPr>
      </w:pPr>
      <w:r>
        <w:rPr>
          <w:rFonts w:ascii="Arial" w:cs="Arial" w:eastAsia="Arial" w:hAnsi="Arial"/>
          <w:sz w:val="18"/>
          <w:szCs w:val="18"/>
          <w:color w:val="auto"/>
        </w:rPr>
        <w:t>Below is a summary of the changes in total expenses, including income tax provision for the nine months ended September 30, 2020 as compared to the same period in 2019 (dollars in millions):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vMerge w:val="restart"/>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2019</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CCEEFF"/>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Base management fee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920" w:type="dxa"/>
            <w:vAlign w:val="bottom"/>
            <w:gridSpan w:val="2"/>
          </w:tcPr>
          <w:p>
            <w:pPr>
              <w:jc w:val="right"/>
              <w:ind w:right="361"/>
              <w:spacing w:after="0"/>
              <w:rPr>
                <w:sz w:val="20"/>
                <w:szCs w:val="20"/>
                <w:color w:val="auto"/>
              </w:rPr>
            </w:pPr>
            <w:r>
              <w:rPr>
                <w:rFonts w:ascii="Arial" w:cs="Arial" w:eastAsia="Arial" w:hAnsi="Arial"/>
                <w:sz w:val="18"/>
                <w:szCs w:val="18"/>
                <w:color w:val="auto"/>
              </w:rPr>
              <w:t>0.6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Incentive fee -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0.4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Incentive fee - capital gains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920" w:type="dxa"/>
            <w:vAlign w:val="bottom"/>
            <w:gridSpan w:val="2"/>
          </w:tcPr>
          <w:p>
            <w:pPr>
              <w:jc w:val="right"/>
              <w:ind w:right="301"/>
              <w:spacing w:after="0"/>
              <w:rPr>
                <w:sz w:val="20"/>
                <w:szCs w:val="20"/>
                <w:color w:val="auto"/>
              </w:rPr>
            </w:pPr>
            <w:r>
              <w:rPr>
                <w:rFonts w:ascii="Arial" w:cs="Arial" w:eastAsia="Arial" w:hAnsi="Arial"/>
                <w:sz w:val="18"/>
                <w:szCs w:val="18"/>
                <w:color w:val="auto"/>
              </w:rPr>
              <w:t>(6.8)</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(1810.5%)</w:t>
            </w: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service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920" w:type="dxa"/>
            <w:vAlign w:val="bottom"/>
            <w:gridSpan w:val="2"/>
          </w:tcPr>
          <w:p>
            <w:pPr>
              <w:jc w:val="right"/>
              <w:ind w:right="361"/>
              <w:spacing w:after="0"/>
              <w:rPr>
                <w:sz w:val="20"/>
                <w:szCs w:val="20"/>
                <w:color w:val="auto"/>
              </w:rPr>
            </w:pPr>
            <w:r>
              <w:rPr>
                <w:rFonts w:ascii="Arial" w:cs="Arial" w:eastAsia="Arial" w:hAnsi="Arial"/>
                <w:sz w:val="18"/>
                <w:szCs w:val="18"/>
                <w:color w:val="auto"/>
              </w:rPr>
              <w:t>0.3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0.2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Total expenses, before income incentive fee waiver</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28.2</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31.0</w:t>
            </w: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440" w:type="dxa"/>
            <w:vAlign w:val="bottom"/>
            <w:vMerge w:val="continue"/>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Incentive fee waiver -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(0.4)</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Total expenses, before income tax provision</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27.8</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31.0</w:t>
            </w: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440" w:type="dxa"/>
            <w:vAlign w:val="bottom"/>
            <w:vMerge w:val="continue"/>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Total expenses, including income tax provision</w:t>
            </w: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31.0</w:t>
            </w: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560" w:hanging="431"/>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2" w:lineRule="exact"/>
        <w:rPr>
          <w:rFonts w:ascii="Arial" w:cs="Arial" w:eastAsia="Arial" w:hAnsi="Arial"/>
          <w:sz w:val="18"/>
          <w:szCs w:val="18"/>
          <w:color w:val="auto"/>
        </w:rPr>
      </w:pPr>
    </w:p>
    <w:p>
      <w:pPr>
        <w:ind w:left="560" w:hanging="431"/>
        <w:spacing w:after="0"/>
        <w:tabs>
          <w:tab w:leader="none" w:pos="5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221" w:lineRule="exact"/>
        <w:rPr>
          <w:sz w:val="20"/>
          <w:szCs w:val="20"/>
          <w:color w:val="auto"/>
        </w:rPr>
      </w:pPr>
    </w:p>
    <w:p>
      <w:pPr>
        <w:ind w:left="120" w:right="40" w:firstLine="439"/>
        <w:spacing w:after="0" w:line="263" w:lineRule="auto"/>
        <w:rPr>
          <w:sz w:val="20"/>
          <w:szCs w:val="20"/>
          <w:color w:val="auto"/>
        </w:rPr>
      </w:pPr>
      <w:r>
        <w:rPr>
          <w:rFonts w:ascii="Arial" w:cs="Arial" w:eastAsia="Arial" w:hAnsi="Arial"/>
          <w:sz w:val="18"/>
          <w:szCs w:val="18"/>
          <w:color w:val="auto"/>
        </w:rPr>
        <w:t>For the nine months ended September 30, 2020, total expenses, including income tax provision, were $28.0 million, a decrease of $(3.0) million, or (10.0)%, from the $31.0 million of total expenses, including income tax provision, for the nine months ended September 30, 2019. As reflected in the table above, the decrease is primarily attributable to the following:</w:t>
      </w:r>
    </w:p>
    <w:p>
      <w:pPr>
        <w:spacing w:after="0" w:line="87" w:lineRule="exact"/>
        <w:rPr>
          <w:sz w:val="20"/>
          <w:szCs w:val="20"/>
          <w:color w:val="auto"/>
        </w:rPr>
      </w:pPr>
    </w:p>
    <w:p>
      <w:pPr>
        <w:ind w:left="1100" w:right="100" w:hanging="432"/>
        <w:spacing w:after="0" w:line="276"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$2.5 million increase in interest and financing expenses due to an increase in average borrowings outstanding during 2020 as compared to 2019.</w:t>
      </w:r>
    </w:p>
    <w:p>
      <w:pPr>
        <w:spacing w:after="0" w:line="76" w:lineRule="exact"/>
        <w:rPr>
          <w:rFonts w:ascii="Arial" w:cs="Arial" w:eastAsia="Arial" w:hAnsi="Arial"/>
          <w:sz w:val="18"/>
          <w:szCs w:val="18"/>
          <w:color w:val="auto"/>
        </w:rPr>
      </w:pPr>
    </w:p>
    <w:p>
      <w:pPr>
        <w:ind w:left="1100" w:hanging="432"/>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$0.6 million increase in base management fee due to higher average total assets during 2020 as compared to 2019.</w:t>
      </w:r>
    </w:p>
    <w:p>
      <w:pPr>
        <w:spacing w:after="0" w:line="129" w:lineRule="exact"/>
        <w:rPr>
          <w:rFonts w:ascii="Arial" w:cs="Arial" w:eastAsia="Arial" w:hAnsi="Arial"/>
          <w:sz w:val="18"/>
          <w:szCs w:val="18"/>
          <w:color w:val="auto"/>
        </w:rPr>
      </w:pPr>
    </w:p>
    <w:p>
      <w:pPr>
        <w:ind w:left="1100" w:hanging="432"/>
        <w:spacing w:after="0"/>
        <w:tabs>
          <w:tab w:leader="none" w:pos="11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$0.3 million increase in professional fees due to increased legal, audit and tax compliance costs during 2020 as compared to 2019.</w:t>
      </w:r>
    </w:p>
    <w:p>
      <w:pPr>
        <w:spacing w:after="0" w:line="141" w:lineRule="exact"/>
        <w:rPr>
          <w:rFonts w:ascii="Arial" w:cs="Arial" w:eastAsia="Arial" w:hAnsi="Arial"/>
          <w:sz w:val="17"/>
          <w:szCs w:val="17"/>
          <w:color w:val="auto"/>
        </w:rPr>
      </w:pPr>
    </w:p>
    <w:p>
      <w:pPr>
        <w:ind w:left="1100" w:right="40" w:hanging="432"/>
        <w:spacing w:after="0" w:line="263"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meaningful change in the income incentive fee as the $0.4 million net increase in the income incentive fee due to a $0.6 million increase in pre-incentive fee net investment income during 2020 was offset by a one-time $0.4 million incentive fee waiver during 2020 as compared to the same period in 2019.</w:t>
      </w:r>
    </w:p>
    <w:p>
      <w:pPr>
        <w:spacing w:after="0" w:line="87" w:lineRule="exact"/>
        <w:rPr>
          <w:rFonts w:ascii="Arial" w:cs="Arial" w:eastAsia="Arial" w:hAnsi="Arial"/>
          <w:sz w:val="18"/>
          <w:szCs w:val="18"/>
          <w:color w:val="auto"/>
        </w:rPr>
      </w:pPr>
    </w:p>
    <w:p>
      <w:pPr>
        <w:ind w:left="1100" w:right="220" w:hanging="432"/>
        <w:spacing w:after="0" w:line="263"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$(6.8) million decrease in the capital gains incentive fee due to a $(33.8) million increase in net (loss) on investments (net realized gains (losses), plus net change in unrealized appreciation (depreciation) on investments, plus realized losses on extinguishment of debt), as compared to the same period in 2019.</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Investment Income</w:t>
      </w:r>
    </w:p>
    <w:p>
      <w:pPr>
        <w:spacing w:after="0" w:line="116" w:lineRule="exact"/>
        <w:rPr>
          <w:sz w:val="20"/>
          <w:szCs w:val="20"/>
          <w:color w:val="auto"/>
        </w:rPr>
      </w:pPr>
    </w:p>
    <w:p>
      <w:pPr>
        <w:ind w:left="120" w:firstLine="439"/>
        <w:spacing w:after="0" w:line="263" w:lineRule="auto"/>
        <w:rPr>
          <w:sz w:val="20"/>
          <w:szCs w:val="20"/>
          <w:color w:val="auto"/>
        </w:rPr>
      </w:pPr>
      <w:r>
        <w:rPr>
          <w:rFonts w:ascii="Arial" w:cs="Arial" w:eastAsia="Arial" w:hAnsi="Arial"/>
          <w:sz w:val="18"/>
          <w:szCs w:val="18"/>
          <w:color w:val="auto"/>
        </w:rPr>
        <w:t>Net investment income decreased by $(0.5) million, or (6.2)%, to $6.9 million during the three months ended September 30, 2020 as compared to the same period in 2019, as a result of the $2.4 million increase in total expenses, including incentive fee waiver and income tax provision, partially offset by the $1.9 increase in total investment income.</w:t>
      </w:r>
    </w:p>
    <w:p>
      <w:pPr>
        <w:spacing w:after="0" w:line="182" w:lineRule="exact"/>
        <w:rPr>
          <w:sz w:val="20"/>
          <w:szCs w:val="20"/>
          <w:color w:val="auto"/>
        </w:rPr>
      </w:pPr>
    </w:p>
    <w:p>
      <w:pPr>
        <w:ind w:left="120" w:right="140" w:firstLine="439"/>
        <w:spacing w:after="0" w:line="263" w:lineRule="auto"/>
        <w:rPr>
          <w:sz w:val="20"/>
          <w:szCs w:val="20"/>
          <w:color w:val="auto"/>
        </w:rPr>
      </w:pPr>
      <w:r>
        <w:rPr>
          <w:rFonts w:ascii="Arial" w:cs="Arial" w:eastAsia="Arial" w:hAnsi="Arial"/>
          <w:sz w:val="18"/>
          <w:szCs w:val="18"/>
          <w:color w:val="auto"/>
        </w:rPr>
        <w:t>Net investment income increased by $6.9 million, or 26.3%, to $33.5 million during the nine months ended September 30, 2020 as compared to the same period in 2019, as a result of the $3.9 million increase in total investment income and a decrease in total expenses, including incentive fee waiver and income tax provision, of $(3.0) million.</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Gain (Loss) on Investments</w:t>
      </w:r>
    </w:p>
    <w:p>
      <w:pPr>
        <w:spacing w:after="0" w:line="116" w:lineRule="exact"/>
        <w:rPr>
          <w:sz w:val="20"/>
          <w:szCs w:val="20"/>
          <w:color w:val="auto"/>
        </w:rPr>
      </w:pPr>
    </w:p>
    <w:p>
      <w:pPr>
        <w:ind w:left="120" w:right="140" w:firstLine="439"/>
        <w:spacing w:after="0" w:line="287" w:lineRule="auto"/>
        <w:rPr>
          <w:sz w:val="20"/>
          <w:szCs w:val="20"/>
          <w:color w:val="auto"/>
        </w:rPr>
      </w:pPr>
      <w:r>
        <w:rPr>
          <w:rFonts w:ascii="Arial" w:cs="Arial" w:eastAsia="Arial" w:hAnsi="Arial"/>
          <w:sz w:val="16"/>
          <w:szCs w:val="16"/>
          <w:color w:val="auto"/>
        </w:rPr>
        <w:t>For the three and nine months ended September 30, 2020, the total net realized gain on investments, before income tax provision on realized gains, was $1.3 million and $32.9 million, respectively. Income tax (provision) benefit from realized gains on investments was zero and $(1.1) for the three and nine months ended September 30, 2020, respectively. Significant realized gains (losses) for the three and nine months ended September 30,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are summarized below (dollars in millions):</w:t>
      </w:r>
    </w:p>
    <w:p>
      <w:pPr>
        <w:spacing w:after="0" w:line="228"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Period Ended</w:t>
      </w:r>
    </w:p>
    <w:p>
      <w:pPr>
        <w:jc w:val="center"/>
        <w:ind w:left="7720"/>
        <w:spacing w:after="0" w:line="235" w:lineRule="auto"/>
        <w:rPr>
          <w:sz w:val="20"/>
          <w:szCs w:val="20"/>
          <w:color w:val="auto"/>
        </w:rPr>
      </w:pPr>
      <w:r>
        <w:rPr>
          <w:rFonts w:ascii="Arial" w:cs="Arial" w:eastAsia="Arial" w:hAnsi="Arial"/>
          <w:sz w:val="14"/>
          <w:szCs w:val="14"/>
          <w:b w:val="1"/>
          <w:bCs w:val="1"/>
          <w:color w:val="auto"/>
        </w:rPr>
        <w:t>September 30, 2020</w:t>
      </w:r>
    </w:p>
    <w:tbl>
      <w:tblPr>
        <w:tblLayout w:type="fixed"/>
        <w:tblInd w:w="1020" w:type="dxa"/>
        <w:tblCellMar>
          <w:top w:w="0" w:type="dxa"/>
          <w:left w:w="0" w:type="dxa"/>
          <w:bottom w:w="0" w:type="dxa"/>
          <w:right w:w="0" w:type="dxa"/>
        </w:tblCellMar>
      </w:tblPr>
      <w:tr>
        <w:trPr>
          <w:trHeight w:val="119"/>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Pr>
          <w:p>
            <w:pPr>
              <w:spacing w:after="0"/>
              <w:rPr>
                <w:sz w:val="10"/>
                <w:szCs w:val="10"/>
                <w:color w:val="auto"/>
              </w:rPr>
            </w:pPr>
          </w:p>
        </w:tc>
        <w:tc>
          <w:tcPr>
            <w:tcW w:w="338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2"/>
                <w:szCs w:val="12"/>
                <w:b w:val="1"/>
                <w:bCs w:val="1"/>
                <w:color w:val="auto"/>
              </w:rPr>
              <w:t>(1)</w:t>
            </w:r>
          </w:p>
        </w:tc>
        <w:tc>
          <w:tcPr>
            <w:tcW w:w="360" w:type="dxa"/>
            <w:vAlign w:val="bottom"/>
          </w:tcPr>
          <w:p>
            <w:pPr>
              <w:spacing w:after="0"/>
              <w:rPr>
                <w:sz w:val="10"/>
                <w:szCs w:val="10"/>
                <w:color w:val="auto"/>
              </w:rPr>
            </w:pPr>
          </w:p>
        </w:tc>
        <w:tc>
          <w:tcPr>
            <w:tcW w:w="66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Three</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ind w:right="8"/>
              <w:spacing w:after="0" w:line="119" w:lineRule="exact"/>
              <w:rPr>
                <w:sz w:val="20"/>
                <w:szCs w:val="20"/>
                <w:color w:val="auto"/>
              </w:rPr>
            </w:pPr>
            <w:r>
              <w:rPr>
                <w:rFonts w:ascii="Arial" w:cs="Arial" w:eastAsia="Arial" w:hAnsi="Arial"/>
                <w:sz w:val="13"/>
                <w:szCs w:val="13"/>
                <w:b w:val="1"/>
                <w:bCs w:val="1"/>
                <w:color w:val="auto"/>
                <w:w w:val="99"/>
              </w:rPr>
              <w:t>Nine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40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vMerge w:val="continue"/>
          </w:tcPr>
          <w:p>
            <w:pPr>
              <w:spacing w:after="0"/>
              <w:rPr>
                <w:sz w:val="15"/>
                <w:szCs w:val="15"/>
                <w:color w:val="auto"/>
              </w:rPr>
            </w:pPr>
          </w:p>
        </w:tc>
        <w:tc>
          <w:tcPr>
            <w:tcW w:w="1020" w:type="dxa"/>
            <w:vAlign w:val="bottom"/>
            <w:gridSpan w:val="4"/>
          </w:tcPr>
          <w:p>
            <w:pPr>
              <w:jc w:val="right"/>
              <w:ind w:right="200"/>
              <w:spacing w:after="0" w:line="157" w:lineRule="exact"/>
              <w:rPr>
                <w:sz w:val="20"/>
                <w:szCs w:val="20"/>
                <w:color w:val="auto"/>
              </w:rPr>
            </w:pPr>
            <w:r>
              <w:rPr>
                <w:rFonts w:ascii="Arial" w:cs="Arial" w:eastAsia="Arial" w:hAnsi="Arial"/>
                <w:sz w:val="14"/>
                <w:szCs w:val="14"/>
                <w:b w:val="1"/>
                <w:bCs w:val="1"/>
                <w:color w:val="auto"/>
              </w:rPr>
              <w:t>Months</w:t>
            </w:r>
          </w:p>
        </w:tc>
        <w:tc>
          <w:tcPr>
            <w:tcW w:w="720" w:type="dxa"/>
            <w:vAlign w:val="bottom"/>
            <w:gridSpan w:val="4"/>
          </w:tcPr>
          <w:p>
            <w:pPr>
              <w:jc w:val="right"/>
              <w:ind w:right="100"/>
              <w:spacing w:after="0" w:line="157" w:lineRule="exact"/>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Pfanstiehl, Inc.</w:t>
            </w:r>
          </w:p>
        </w:tc>
        <w:tc>
          <w:tcPr>
            <w:tcW w:w="28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3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Sold 50% of equity investment</w:t>
            </w:r>
          </w:p>
        </w:tc>
        <w:tc>
          <w:tcPr>
            <w:tcW w:w="3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12.8</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tcPr>
          <w:p>
            <w:pPr>
              <w:spacing w:after="0" w:line="148" w:lineRule="exact"/>
              <w:rPr>
                <w:sz w:val="20"/>
                <w:szCs w:val="20"/>
                <w:color w:val="auto"/>
              </w:rPr>
            </w:pPr>
            <w:r>
              <w:rPr>
                <w:rFonts w:ascii="Arial" w:cs="Arial" w:eastAsia="Arial" w:hAnsi="Arial"/>
                <w:sz w:val="14"/>
                <w:szCs w:val="14"/>
                <w:color w:val="auto"/>
              </w:rPr>
              <w:t>Fiber Materials, Inc.</w:t>
            </w:r>
          </w:p>
        </w:tc>
        <w:tc>
          <w:tcPr>
            <w:tcW w:w="348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Sale of portfolio company</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(0.1)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4"/>
                <w:szCs w:val="14"/>
                <w:color w:val="auto"/>
              </w:rPr>
              <w:t>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Microbiology Research Associates, Inc.</w:t>
            </w:r>
          </w:p>
        </w:tc>
        <w:tc>
          <w:tcPr>
            <w:tcW w:w="34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Sale of portfolio company</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tcPr>
          <w:p>
            <w:pPr>
              <w:spacing w:after="0" w:line="148" w:lineRule="exact"/>
              <w:rPr>
                <w:sz w:val="20"/>
                <w:szCs w:val="20"/>
                <w:color w:val="auto"/>
              </w:rPr>
            </w:pPr>
            <w:r>
              <w:rPr>
                <w:rFonts w:ascii="Arial" w:cs="Arial" w:eastAsia="Arial" w:hAnsi="Arial"/>
                <w:sz w:val="14"/>
                <w:szCs w:val="14"/>
                <w:color w:val="auto"/>
              </w:rPr>
              <w:t>Medsurant Holdings, LLC</w:t>
            </w:r>
          </w:p>
        </w:tc>
        <w:tc>
          <w:tcPr>
            <w:tcW w:w="348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Sold 50% of equity investment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Revenue Management Solutions, LLC</w:t>
            </w:r>
          </w:p>
        </w:tc>
        <w:tc>
          <w:tcPr>
            <w:tcW w:w="34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Sold 50% of equity investment</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tcPr>
          <w:p>
            <w:pPr>
              <w:spacing w:after="0" w:line="148" w:lineRule="exact"/>
              <w:rPr>
                <w:sz w:val="20"/>
                <w:szCs w:val="20"/>
                <w:color w:val="auto"/>
              </w:rPr>
            </w:pPr>
            <w:r>
              <w:rPr>
                <w:rFonts w:ascii="Arial" w:cs="Arial" w:eastAsia="Arial" w:hAnsi="Arial"/>
                <w:sz w:val="14"/>
                <w:szCs w:val="14"/>
                <w:color w:val="auto"/>
              </w:rPr>
              <w:t>Worldwide Express Operations, LLC</w:t>
            </w:r>
          </w:p>
        </w:tc>
        <w:tc>
          <w:tcPr>
            <w:tcW w:w="348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Sold 50% of equity investment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Gurobi Optimization, LLC</w:t>
            </w:r>
          </w:p>
        </w:tc>
        <w:tc>
          <w:tcPr>
            <w:tcW w:w="34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Sold 50% of equity investment</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tcPr>
          <w:p>
            <w:pPr>
              <w:spacing w:after="0" w:line="148" w:lineRule="exact"/>
              <w:rPr>
                <w:sz w:val="20"/>
                <w:szCs w:val="20"/>
                <w:color w:val="auto"/>
              </w:rPr>
            </w:pPr>
            <w:r>
              <w:rPr>
                <w:rFonts w:ascii="Arial" w:cs="Arial" w:eastAsia="Arial" w:hAnsi="Arial"/>
                <w:sz w:val="14"/>
                <w:szCs w:val="14"/>
                <w:color w:val="auto"/>
              </w:rPr>
              <w:t>Hub Acquisition Sub, LLC (dba Hub Pen)</w:t>
            </w:r>
          </w:p>
        </w:tc>
        <w:tc>
          <w:tcPr>
            <w:tcW w:w="348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Sold 50% of equity investment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Midwest Transit Equipment, Inc.</w:t>
            </w:r>
          </w:p>
        </w:tc>
        <w:tc>
          <w:tcPr>
            <w:tcW w:w="34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Sold 50% of equity investment</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tcPr>
          <w:p>
            <w:pPr>
              <w:spacing w:after="0" w:line="148" w:lineRule="exact"/>
              <w:rPr>
                <w:sz w:val="20"/>
                <w:szCs w:val="20"/>
                <w:color w:val="auto"/>
              </w:rPr>
            </w:pPr>
            <w:r>
              <w:rPr>
                <w:rFonts w:ascii="Arial" w:cs="Arial" w:eastAsia="Arial" w:hAnsi="Arial"/>
                <w:sz w:val="14"/>
                <w:szCs w:val="14"/>
                <w:color w:val="auto"/>
              </w:rPr>
              <w:t>Pugh Lubricants, LLC</w:t>
            </w:r>
          </w:p>
        </w:tc>
        <w:tc>
          <w:tcPr>
            <w:tcW w:w="348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Sold 50% of equity investment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4"/>
                <w:szCs w:val="14"/>
                <w:color w:val="auto"/>
              </w:rPr>
              <w:t>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ControlScan, Inc.</w:t>
            </w:r>
          </w:p>
        </w:tc>
        <w:tc>
          <w:tcPr>
            <w:tcW w:w="34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Sold 50% of equity investment</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tcPr>
          <w:p>
            <w:pPr>
              <w:spacing w:after="0" w:line="148" w:lineRule="exact"/>
              <w:rPr>
                <w:sz w:val="20"/>
                <w:szCs w:val="20"/>
                <w:color w:val="auto"/>
              </w:rPr>
            </w:pPr>
            <w:r>
              <w:rPr>
                <w:rFonts w:ascii="Arial" w:cs="Arial" w:eastAsia="Arial" w:hAnsi="Arial"/>
                <w:sz w:val="14"/>
                <w:szCs w:val="14"/>
                <w:color w:val="auto"/>
              </w:rPr>
              <w:t>Alzheimer’s Research and Treatment Center, LLC</w:t>
            </w:r>
          </w:p>
        </w:tc>
        <w:tc>
          <w:tcPr>
            <w:tcW w:w="348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Sold 50% of equity investment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4"/>
                <w:szCs w:val="14"/>
                <w:color w:val="auto"/>
              </w:rPr>
              <w:t>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BCM One Group Holdings, Inc.</w:t>
            </w:r>
          </w:p>
        </w:tc>
        <w:tc>
          <w:tcPr>
            <w:tcW w:w="34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Sold 50% of equity investment</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tcPr>
          <w:p>
            <w:pPr>
              <w:spacing w:after="0" w:line="148" w:lineRule="exact"/>
              <w:rPr>
                <w:sz w:val="20"/>
                <w:szCs w:val="20"/>
                <w:color w:val="auto"/>
              </w:rPr>
            </w:pPr>
            <w:r>
              <w:rPr>
                <w:rFonts w:ascii="Arial" w:cs="Arial" w:eastAsia="Arial" w:hAnsi="Arial"/>
                <w:sz w:val="14"/>
                <w:szCs w:val="14"/>
                <w:color w:val="auto"/>
              </w:rPr>
              <w:t>Software Technology, LLC</w:t>
            </w:r>
          </w:p>
        </w:tc>
        <w:tc>
          <w:tcPr>
            <w:tcW w:w="348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Sold 50% of equity investment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LNG Indy, LLC (dba Kinetrex Energy)</w:t>
            </w:r>
          </w:p>
        </w:tc>
        <w:tc>
          <w:tcPr>
            <w:tcW w:w="34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Sold 50% of equity investment</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tcPr>
          <w:p>
            <w:pPr>
              <w:spacing w:after="0" w:line="148" w:lineRule="exact"/>
              <w:rPr>
                <w:sz w:val="20"/>
                <w:szCs w:val="20"/>
                <w:color w:val="auto"/>
              </w:rPr>
            </w:pPr>
            <w:r>
              <w:rPr>
                <w:rFonts w:ascii="Arial" w:cs="Arial" w:eastAsia="Arial" w:hAnsi="Arial"/>
                <w:sz w:val="14"/>
                <w:szCs w:val="14"/>
                <w:color w:val="auto"/>
              </w:rPr>
              <w:t>Wheel Pros, Inc.</w:t>
            </w:r>
          </w:p>
        </w:tc>
        <w:tc>
          <w:tcPr>
            <w:tcW w:w="348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Sold 50% of equity investment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New Era Technology, Inc.</w:t>
            </w:r>
          </w:p>
        </w:tc>
        <w:tc>
          <w:tcPr>
            <w:tcW w:w="34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Escrow distribution</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tcPr>
          <w:p>
            <w:pPr>
              <w:spacing w:after="0" w:line="148" w:lineRule="exact"/>
              <w:rPr>
                <w:sz w:val="20"/>
                <w:szCs w:val="20"/>
                <w:color w:val="auto"/>
              </w:rPr>
            </w:pPr>
            <w:r>
              <w:rPr>
                <w:rFonts w:ascii="Arial" w:cs="Arial" w:eastAsia="Arial" w:hAnsi="Arial"/>
                <w:sz w:val="14"/>
                <w:szCs w:val="14"/>
                <w:color w:val="auto"/>
              </w:rPr>
              <w:t>Apex Microtechnology, Inc.</w:t>
            </w:r>
          </w:p>
        </w:tc>
        <w:tc>
          <w:tcPr>
            <w:tcW w:w="348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Escrow distribution</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Allied 100 Group, Inc.</w:t>
            </w:r>
          </w:p>
        </w:tc>
        <w:tc>
          <w:tcPr>
            <w:tcW w:w="34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Sold 50% of equity investment</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tcPr>
          <w:p>
            <w:pPr>
              <w:spacing w:after="0" w:line="148" w:lineRule="exact"/>
              <w:rPr>
                <w:sz w:val="20"/>
                <w:szCs w:val="20"/>
                <w:color w:val="auto"/>
              </w:rPr>
            </w:pPr>
            <w:r>
              <w:rPr>
                <w:rFonts w:ascii="Arial" w:cs="Arial" w:eastAsia="Arial" w:hAnsi="Arial"/>
                <w:sz w:val="14"/>
                <w:szCs w:val="14"/>
                <w:color w:val="auto"/>
              </w:rPr>
              <w:t>Restaurant Finance Co, LLC</w:t>
            </w:r>
          </w:p>
        </w:tc>
        <w:tc>
          <w:tcPr>
            <w:tcW w:w="348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Escrow distribution</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Allredi, LLC (fka Marco Group International OpCo, LLC)</w:t>
            </w:r>
          </w:p>
        </w:tc>
        <w:tc>
          <w:tcPr>
            <w:tcW w:w="34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Sold 50% of equity investment</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tcPr>
          <w:p>
            <w:pPr>
              <w:spacing w:after="0" w:line="148" w:lineRule="exact"/>
              <w:rPr>
                <w:sz w:val="20"/>
                <w:szCs w:val="20"/>
                <w:color w:val="auto"/>
              </w:rPr>
            </w:pPr>
            <w:r>
              <w:rPr>
                <w:rFonts w:ascii="Arial" w:cs="Arial" w:eastAsia="Arial" w:hAnsi="Arial"/>
                <w:sz w:val="14"/>
                <w:szCs w:val="14"/>
                <w:color w:val="auto"/>
              </w:rPr>
              <w:t>Vanguard Dealer Services, L.L.C.</w:t>
            </w:r>
          </w:p>
        </w:tc>
        <w:tc>
          <w:tcPr>
            <w:tcW w:w="348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Escrow distribution</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80" w:type="dxa"/>
            <w:vAlign w:val="bottom"/>
            <w:gridSpan w:val="2"/>
          </w:tcPr>
          <w:p>
            <w:pPr>
              <w:spacing w:after="0" w:line="148" w:lineRule="exact"/>
              <w:rPr>
                <w:sz w:val="20"/>
                <w:szCs w:val="20"/>
                <w:color w:val="auto"/>
              </w:rPr>
            </w:pPr>
            <w:r>
              <w:rPr>
                <w:rFonts w:ascii="Arial" w:cs="Arial" w:eastAsia="Arial" w:hAnsi="Arial"/>
                <w:sz w:val="14"/>
                <w:szCs w:val="14"/>
                <w:color w:val="auto"/>
              </w:rPr>
              <w:t>Palisade Company, LLC</w:t>
            </w:r>
          </w:p>
        </w:tc>
        <w:tc>
          <w:tcPr>
            <w:tcW w:w="348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Sold 50% of equity investment</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Net realized gain (loss) on investments</w:t>
            </w:r>
          </w:p>
        </w:tc>
        <w:tc>
          <w:tcPr>
            <w:tcW w:w="10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gridSpan w:val="2"/>
          </w:tcPr>
          <w:p>
            <w:pPr>
              <w:spacing w:after="0" w:line="148" w:lineRule="exact"/>
              <w:rPr>
                <w:sz w:val="20"/>
                <w:szCs w:val="20"/>
                <w:color w:val="auto"/>
              </w:rPr>
            </w:pPr>
            <w:r>
              <w:rPr>
                <w:rFonts w:ascii="Arial" w:cs="Arial" w:eastAsia="Arial" w:hAnsi="Arial"/>
                <w:sz w:val="14"/>
                <w:szCs w:val="14"/>
                <w:color w:val="auto"/>
                <w:w w:val="98"/>
              </w:rPr>
              <w:t>Income tax (provision) benefit from realized gains on investments</w:t>
            </w:r>
          </w:p>
        </w:tc>
        <w:tc>
          <w:tcPr>
            <w:tcW w:w="1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ind w:right="8"/>
              <w:spacing w:after="0" w:line="14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39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w w:val="94"/>
              </w:rPr>
              <w:t>Net realized gain (loss), net of income tax provision, on investments</w:t>
            </w:r>
          </w:p>
        </w:tc>
        <w:tc>
          <w:tcPr>
            <w:tcW w:w="10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1"/>
              <w:spacing w:after="0" w:line="148"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560" w:right="60" w:hanging="431"/>
        <w:spacing w:after="0" w:line="256" w:lineRule="auto"/>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320" w:top="459" w:right="5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both"/>
        <w:ind w:left="120" w:firstLine="439"/>
        <w:spacing w:after="0" w:line="258" w:lineRule="auto"/>
        <w:rPr>
          <w:sz w:val="20"/>
          <w:szCs w:val="20"/>
          <w:color w:val="auto"/>
        </w:rPr>
      </w:pPr>
      <w:r>
        <w:rPr>
          <w:rFonts w:ascii="Arial" w:cs="Arial" w:eastAsia="Arial" w:hAnsi="Arial"/>
          <w:sz w:val="18"/>
          <w:szCs w:val="18"/>
          <w:color w:val="auto"/>
        </w:rPr>
        <w:t>For the three and nine months ended September 30, 2019, the total net realized gain (loss) on investments, before income tax provision on realized gains, was $10.5 million and $8.8 million, respectively. Income tax provision from realized gains on investments was $0.1 million and $(0.2) million for the three and nine months ended September 30, 2019, respectively. Significant realized gains (losses) for the three and nine months ended September 30, 2019 are summarized below (dollars in millions):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Period Ended September 30, 2019</w:t>
            </w:r>
          </w:p>
        </w:tc>
        <w:tc>
          <w:tcPr>
            <w:tcW w:w="0" w:type="dxa"/>
            <w:vAlign w:val="bottom"/>
          </w:tcPr>
          <w:p>
            <w:pPr>
              <w:spacing w:after="0"/>
              <w:rPr>
                <w:sz w:val="1"/>
                <w:szCs w:val="1"/>
                <w:color w:val="auto"/>
              </w:rPr>
            </w:pPr>
          </w:p>
        </w:tc>
      </w:tr>
      <w:tr>
        <w:trPr>
          <w:trHeight w:val="119"/>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92"/>
              </w:rPr>
              <w:t>Portfolio Company</w:t>
            </w:r>
          </w:p>
        </w:tc>
        <w:tc>
          <w:tcPr>
            <w:tcW w:w="256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27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2"/>
                <w:szCs w:val="12"/>
                <w:b w:val="1"/>
                <w:bCs w:val="1"/>
                <w:color w:val="auto"/>
              </w:rPr>
              <w:t>(1)</w:t>
            </w: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Three</w:t>
            </w: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Nine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180" w:type="dxa"/>
            <w:vAlign w:val="bottom"/>
            <w:tcBorders>
              <w:bottom w:val="single" w:sz="8" w:color="auto"/>
            </w:tcBorders>
            <w:vMerge w:val="continue"/>
          </w:tcPr>
          <w:p>
            <w:pPr>
              <w:spacing w:after="0"/>
              <w:rPr>
                <w:sz w:val="15"/>
                <w:szCs w:val="15"/>
                <w:color w:val="auto"/>
              </w:rPr>
            </w:pPr>
          </w:p>
        </w:tc>
        <w:tc>
          <w:tcPr>
            <w:tcW w:w="25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520"/>
              <w:spacing w:after="0" w:line="157" w:lineRule="exact"/>
              <w:rPr>
                <w:sz w:val="20"/>
                <w:szCs w:val="20"/>
                <w:color w:val="auto"/>
              </w:rPr>
            </w:pPr>
            <w:r>
              <w:rPr>
                <w:rFonts w:ascii="Arial" w:cs="Arial" w:eastAsia="Arial" w:hAnsi="Arial"/>
                <w:sz w:val="14"/>
                <w:szCs w:val="14"/>
                <w:b w:val="1"/>
                <w:bCs w:val="1"/>
                <w:color w:val="auto"/>
              </w:rPr>
              <w:t>Months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202"/>
        </w:trPr>
        <w:tc>
          <w:tcPr>
            <w:tcW w:w="3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The Wolf Organization, LLC</w:t>
            </w:r>
          </w:p>
        </w:tc>
        <w:tc>
          <w:tcPr>
            <w:tcW w:w="28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Exit of portfolio company</w:t>
            </w: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40" w:type="dxa"/>
            <w:vAlign w:val="bottom"/>
            <w:gridSpan w:val="2"/>
          </w:tcPr>
          <w:p>
            <w:pPr>
              <w:spacing w:after="0"/>
              <w:rPr>
                <w:sz w:val="20"/>
                <w:szCs w:val="20"/>
                <w:color w:val="auto"/>
              </w:rPr>
            </w:pPr>
            <w:r>
              <w:rPr>
                <w:rFonts w:ascii="Arial" w:cs="Arial" w:eastAsia="Arial" w:hAnsi="Arial"/>
                <w:sz w:val="18"/>
                <w:szCs w:val="18"/>
                <w:color w:val="auto"/>
              </w:rPr>
              <w:t>Vanguard Dealer Services, L.L.C.</w:t>
            </w:r>
          </w:p>
        </w:tc>
        <w:tc>
          <w:tcPr>
            <w:tcW w:w="3000" w:type="dxa"/>
            <w:vAlign w:val="bottom"/>
            <w:gridSpan w:val="3"/>
          </w:tcPr>
          <w:p>
            <w:pPr>
              <w:ind w:left="260"/>
              <w:spacing w:after="0"/>
              <w:rPr>
                <w:sz w:val="20"/>
                <w:szCs w:val="20"/>
                <w:color w:val="auto"/>
              </w:rPr>
            </w:pPr>
            <w:r>
              <w:rPr>
                <w:rFonts w:ascii="Arial" w:cs="Arial" w:eastAsia="Arial" w:hAnsi="Arial"/>
                <w:sz w:val="18"/>
                <w:szCs w:val="18"/>
                <w:color w:val="auto"/>
              </w:rPr>
              <w:t>Sale of portfolio 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Era Technology, Inc.</w:t>
            </w:r>
          </w:p>
        </w:tc>
        <w:tc>
          <w:tcPr>
            <w:tcW w:w="3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Exit of portfolio company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Malabar International</w:t>
            </w:r>
          </w:p>
        </w:tc>
        <w:tc>
          <w:tcPr>
            <w:tcW w:w="3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Escrow distribution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gridSpan w:val="2"/>
          </w:tcPr>
          <w:p>
            <w:pPr>
              <w:spacing w:after="0"/>
              <w:rPr>
                <w:sz w:val="20"/>
                <w:szCs w:val="20"/>
                <w:color w:val="auto"/>
              </w:rPr>
            </w:pPr>
            <w:r>
              <w:rPr>
                <w:rFonts w:ascii="Arial" w:cs="Arial" w:eastAsia="Arial" w:hAnsi="Arial"/>
                <w:sz w:val="18"/>
                <w:szCs w:val="18"/>
                <w:color w:val="auto"/>
              </w:rPr>
              <w:t>inthinc Technology Solutions, Inc.</w:t>
            </w:r>
          </w:p>
        </w:tc>
        <w:tc>
          <w:tcPr>
            <w:tcW w:w="3000" w:type="dxa"/>
            <w:vAlign w:val="bottom"/>
            <w:gridSpan w:val="3"/>
          </w:tcPr>
          <w:p>
            <w:pPr>
              <w:ind w:left="260"/>
              <w:spacing w:after="0"/>
              <w:rPr>
                <w:sz w:val="20"/>
                <w:szCs w:val="20"/>
                <w:color w:val="auto"/>
              </w:rPr>
            </w:pPr>
            <w:r>
              <w:rPr>
                <w:rFonts w:ascii="Arial" w:cs="Arial" w:eastAsia="Arial" w:hAnsi="Arial"/>
                <w:sz w:val="18"/>
                <w:szCs w:val="18"/>
                <w:color w:val="auto"/>
              </w:rPr>
              <w:t>Exit of portfolio 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5"/>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Trantech Radiator Products, Inc.</w:t>
            </w:r>
          </w:p>
        </w:tc>
        <w:tc>
          <w:tcPr>
            <w:tcW w:w="3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Exit of portfolio company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5"/>
        </w:trPr>
        <w:tc>
          <w:tcPr>
            <w:tcW w:w="3740" w:type="dxa"/>
            <w:vAlign w:val="bottom"/>
            <w:gridSpan w:val="2"/>
          </w:tcPr>
          <w:p>
            <w:pPr>
              <w:spacing w:after="0"/>
              <w:rPr>
                <w:sz w:val="20"/>
                <w:szCs w:val="20"/>
                <w:color w:val="auto"/>
              </w:rPr>
            </w:pPr>
            <w:r>
              <w:rPr>
                <w:rFonts w:ascii="Arial" w:cs="Arial" w:eastAsia="Arial" w:hAnsi="Arial"/>
                <w:sz w:val="18"/>
                <w:szCs w:val="18"/>
                <w:color w:val="auto"/>
                <w:w w:val="98"/>
              </w:rPr>
              <w:t>Consolidated Infrastructure Group Holdings, LP</w:t>
            </w:r>
          </w:p>
        </w:tc>
        <w:tc>
          <w:tcPr>
            <w:tcW w:w="3000" w:type="dxa"/>
            <w:vAlign w:val="bottom"/>
            <w:gridSpan w:val="3"/>
          </w:tcPr>
          <w:p>
            <w:pPr>
              <w:ind w:left="260"/>
              <w:spacing w:after="0"/>
              <w:rPr>
                <w:sz w:val="20"/>
                <w:szCs w:val="20"/>
                <w:color w:val="auto"/>
              </w:rPr>
            </w:pPr>
            <w:r>
              <w:rPr>
                <w:rFonts w:ascii="Arial" w:cs="Arial" w:eastAsia="Arial" w:hAnsi="Arial"/>
                <w:sz w:val="18"/>
                <w:szCs w:val="18"/>
                <w:color w:val="auto"/>
              </w:rPr>
              <w:t>Exit of portfolio 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5"/>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K2 Industrial Services, Inc.</w:t>
            </w:r>
          </w:p>
        </w:tc>
        <w:tc>
          <w:tcPr>
            <w:tcW w:w="3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Exit of portfolio company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Net realized gain (loss) on investments</w:t>
            </w:r>
          </w:p>
        </w:tc>
        <w:tc>
          <w:tcPr>
            <w:tcW w:w="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tax (provision) benefit from realized gains on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2"/>
        </w:trPr>
        <w:tc>
          <w:tcPr>
            <w:tcW w:w="6740" w:type="dxa"/>
            <w:vAlign w:val="bottom"/>
            <w:gridSpan w:val="5"/>
          </w:tcPr>
          <w:p>
            <w:pPr>
              <w:spacing w:after="0"/>
              <w:rPr>
                <w:sz w:val="20"/>
                <w:szCs w:val="20"/>
                <w:color w:val="auto"/>
              </w:rPr>
            </w:pPr>
            <w:r>
              <w:rPr>
                <w:rFonts w:ascii="Arial" w:cs="Arial" w:eastAsia="Arial" w:hAnsi="Arial"/>
                <w:sz w:val="18"/>
                <w:szCs w:val="18"/>
                <w:color w:val="auto"/>
              </w:rPr>
              <w:t>Net realized gain (loss), net of income tax provision, on investments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560" w:right="140" w:hanging="431"/>
        <w:spacing w:after="0" w:line="256"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89" w:lineRule="exact"/>
        <w:rPr>
          <w:sz w:val="20"/>
          <w:szCs w:val="20"/>
          <w:color w:val="auto"/>
        </w:rPr>
      </w:pPr>
    </w:p>
    <w:p>
      <w:pPr>
        <w:ind w:left="120" w:right="360" w:firstLine="439"/>
        <w:spacing w:after="0" w:line="276" w:lineRule="auto"/>
        <w:rPr>
          <w:sz w:val="20"/>
          <w:szCs w:val="20"/>
          <w:color w:val="auto"/>
        </w:rPr>
      </w:pPr>
      <w:r>
        <w:rPr>
          <w:rFonts w:ascii="Arial" w:cs="Arial" w:eastAsia="Arial" w:hAnsi="Arial"/>
          <w:sz w:val="18"/>
          <w:szCs w:val="18"/>
          <w:color w:val="auto"/>
        </w:rPr>
        <w:t>During the three and nine months ended September 30, 2020 and 2019, we recorded a net change in unrealized appreciation (depreciation) on investments attributable to the following (dollars in millions):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680" w:type="dxa"/>
            <w:vAlign w:val="bottom"/>
            <w:gridSpan w:val="7"/>
          </w:tcPr>
          <w:p>
            <w:pPr>
              <w:jc w:val="center"/>
              <w:ind w:right="141"/>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520" w:type="dxa"/>
            <w:vAlign w:val="bottom"/>
            <w:gridSpan w:val="5"/>
          </w:tcPr>
          <w:p>
            <w:pPr>
              <w:jc w:val="right"/>
              <w:ind w:right="121"/>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2"/>
              </w:rPr>
              <w:t>Unrealized Appreciation (Depreciation)</w:t>
            </w:r>
          </w:p>
        </w:tc>
        <w:tc>
          <w:tcPr>
            <w:tcW w:w="43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center"/>
              <w:ind w:right="241"/>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4"/>
                <w:szCs w:val="14"/>
                <w:color w:val="auto"/>
              </w:rPr>
            </w:pPr>
          </w:p>
        </w:tc>
        <w:tc>
          <w:tcPr>
            <w:tcW w:w="1520" w:type="dxa"/>
            <w:vAlign w:val="bottom"/>
            <w:gridSpan w:val="5"/>
          </w:tcPr>
          <w:p>
            <w:pPr>
              <w:jc w:val="right"/>
              <w:ind w:right="30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8"/>
        </w:trPr>
        <w:tc>
          <w:tcPr>
            <w:tcW w:w="2420" w:type="dxa"/>
            <w:vAlign w:val="bottom"/>
            <w:tcBorders>
              <w:bottom w:val="single" w:sz="8" w:color="auto"/>
            </w:tcBorders>
            <w:vMerge w:val="continue"/>
          </w:tcPr>
          <w:p>
            <w:pPr>
              <w:spacing w:after="0"/>
              <w:rPr>
                <w:sz w:val="12"/>
                <w:szCs w:val="12"/>
                <w:color w:val="auto"/>
              </w:rPr>
            </w:pPr>
          </w:p>
        </w:tc>
        <w:tc>
          <w:tcPr>
            <w:tcW w:w="432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ind w:right="41"/>
              <w:spacing w:after="0" w:line="129"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Exit, sale or restructuring of investments</w:t>
            </w:r>
          </w:p>
        </w:tc>
        <w:tc>
          <w:tcPr>
            <w:tcW w:w="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7"/>
              </w:rPr>
              <w:t>$ (30.0)</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740" w:type="dxa"/>
            <w:vAlign w:val="bottom"/>
            <w:gridSpan w:val="2"/>
          </w:tcPr>
          <w:p>
            <w:pPr>
              <w:spacing w:after="0"/>
              <w:rPr>
                <w:sz w:val="20"/>
                <w:szCs w:val="20"/>
                <w:color w:val="auto"/>
              </w:rPr>
            </w:pPr>
            <w:r>
              <w:rPr>
                <w:rFonts w:ascii="Arial" w:cs="Arial" w:eastAsia="Arial" w:hAnsi="Arial"/>
                <w:sz w:val="18"/>
                <w:szCs w:val="18"/>
                <w:color w:val="auto"/>
              </w:rPr>
              <w:t>Fair value adjustments to debt investments</w:t>
            </w:r>
          </w:p>
        </w:tc>
        <w:tc>
          <w:tcPr>
            <w:tcW w:w="10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2.5</w:t>
            </w:r>
          </w:p>
        </w:tc>
        <w:tc>
          <w:tcPr>
            <w:tcW w:w="1020" w:type="dxa"/>
            <w:vAlign w:val="bottom"/>
            <w:gridSpan w:val="3"/>
          </w:tcPr>
          <w:p>
            <w:pPr>
              <w:jc w:val="right"/>
              <w:ind w:right="221"/>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7"/>
              </w:rPr>
              <w:t>(11.2)</w:t>
            </w:r>
          </w:p>
        </w:tc>
        <w:tc>
          <w:tcPr>
            <w:tcW w:w="0" w:type="dxa"/>
            <w:vAlign w:val="bottom"/>
          </w:tcPr>
          <w:p>
            <w:pPr>
              <w:spacing w:after="0"/>
              <w:rPr>
                <w:sz w:val="1"/>
                <w:szCs w:val="1"/>
                <w:color w:val="auto"/>
              </w:rPr>
            </w:pPr>
          </w:p>
        </w:tc>
      </w:tr>
      <w:tr>
        <w:trPr>
          <w:trHeight w:val="215"/>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adjustments to equity investments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0.2</w:t>
            </w:r>
          </w:p>
        </w:tc>
        <w:tc>
          <w:tcPr>
            <w:tcW w:w="102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2"/>
        </w:trPr>
        <w:tc>
          <w:tcPr>
            <w:tcW w:w="6740" w:type="dxa"/>
            <w:vAlign w:val="bottom"/>
            <w:gridSpan w:val="2"/>
          </w:tcPr>
          <w:p>
            <w:pPr>
              <w:spacing w:after="0"/>
              <w:rPr>
                <w:sz w:val="20"/>
                <w:szCs w:val="20"/>
                <w:color w:val="auto"/>
              </w:rPr>
            </w:pPr>
            <w:r>
              <w:rPr>
                <w:rFonts w:ascii="Arial" w:cs="Arial" w:eastAsia="Arial" w:hAnsi="Arial"/>
                <w:sz w:val="18"/>
                <w:szCs w:val="18"/>
                <w:color w:val="auto"/>
              </w:rPr>
              <w:t>Net change in unrealized appreciation (depreciation)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(63.4</w:t>
            </w:r>
          </w:p>
        </w:tc>
        <w:tc>
          <w:tcPr>
            <w:tcW w:w="360" w:type="dxa"/>
            <w:vAlign w:val="bottom"/>
          </w:tcPr>
          <w:p>
            <w:pPr>
              <w:jc w:val="right"/>
              <w:ind w:right="22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Increase in Net Assets Resulting From Operations</w:t>
      </w:r>
    </w:p>
    <w:p>
      <w:pPr>
        <w:spacing w:after="0" w:line="116" w:lineRule="exact"/>
        <w:rPr>
          <w:sz w:val="20"/>
          <w:szCs w:val="20"/>
          <w:color w:val="auto"/>
        </w:rPr>
      </w:pPr>
    </w:p>
    <w:p>
      <w:pPr>
        <w:ind w:left="120" w:right="20" w:firstLine="439"/>
        <w:spacing w:after="0" w:line="276" w:lineRule="auto"/>
        <w:rPr>
          <w:sz w:val="20"/>
          <w:szCs w:val="20"/>
          <w:color w:val="auto"/>
        </w:rPr>
      </w:pPr>
      <w:r>
        <w:rPr>
          <w:rFonts w:ascii="Arial" w:cs="Arial" w:eastAsia="Arial" w:hAnsi="Arial"/>
          <w:sz w:val="18"/>
          <w:szCs w:val="18"/>
          <w:color w:val="auto"/>
        </w:rPr>
        <w:t>Net increase (decrease) in net assets resulting from operations during the three months ended September 30, 2020 and 2019 was $20.7 million and $13.9 million, respectively, as a result of the events described above.</w:t>
      </w:r>
    </w:p>
    <w:p>
      <w:pPr>
        <w:spacing w:after="0" w:line="170" w:lineRule="exact"/>
        <w:rPr>
          <w:sz w:val="20"/>
          <w:szCs w:val="20"/>
          <w:color w:val="auto"/>
        </w:rPr>
      </w:pPr>
    </w:p>
    <w:p>
      <w:pPr>
        <w:ind w:left="120" w:right="940" w:firstLine="439"/>
        <w:spacing w:after="0" w:line="276" w:lineRule="auto"/>
        <w:rPr>
          <w:sz w:val="20"/>
          <w:szCs w:val="20"/>
          <w:color w:val="auto"/>
        </w:rPr>
      </w:pPr>
      <w:r>
        <w:rPr>
          <w:rFonts w:ascii="Arial" w:cs="Arial" w:eastAsia="Arial" w:hAnsi="Arial"/>
          <w:sz w:val="18"/>
          <w:szCs w:val="18"/>
          <w:color w:val="auto"/>
        </w:rPr>
        <w:t>Net increase in net assets resulting from operations during the nine months ended September 30, 2020 and 2019 was $1.7 million and $28.5 million, respectively, as a result of the events described above.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Liquidity and Capital Resources</w:t>
      </w:r>
    </w:p>
    <w:p>
      <w:pPr>
        <w:spacing w:after="0" w:line="116" w:lineRule="exact"/>
        <w:rPr>
          <w:sz w:val="20"/>
          <w:szCs w:val="20"/>
          <w:color w:val="auto"/>
        </w:rPr>
      </w:pPr>
    </w:p>
    <w:p>
      <w:pPr>
        <w:ind w:left="120" w:right="40" w:firstLine="439"/>
        <w:spacing w:after="0" w:line="288" w:lineRule="auto"/>
        <w:rPr>
          <w:sz w:val="20"/>
          <w:szCs w:val="20"/>
          <w:color w:val="auto"/>
        </w:rPr>
      </w:pPr>
      <w:r>
        <w:rPr>
          <w:rFonts w:ascii="Arial" w:cs="Arial" w:eastAsia="Arial" w:hAnsi="Arial"/>
          <w:sz w:val="16"/>
          <w:szCs w:val="16"/>
          <w:color w:val="auto"/>
        </w:rPr>
        <w:t>As of September 30, 2020, we had $24.7 million in cash and cash equivalents and our net assets totaled $389.6 million. We believe that our current cash and cash equivalents on hand, our Credit Facility, our continued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“at-the-market”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During the nine months ended September 30, 2020, we repaid $16.5 million of SBA debentures which would have matured during the period September 1, 2024 through September 1, 2028. Our remaining outstanding SBA debentures continue to mature in 2025 and subsequent years through 2030, which will require repayment on or before the respective maturity dates.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Cash Flows</w:t>
      </w:r>
    </w:p>
    <w:p>
      <w:pPr>
        <w:spacing w:after="0" w:line="116" w:lineRule="exact"/>
        <w:rPr>
          <w:sz w:val="20"/>
          <w:szCs w:val="20"/>
          <w:color w:val="auto"/>
        </w:rPr>
      </w:pPr>
    </w:p>
    <w:p>
      <w:pPr>
        <w:ind w:left="120" w:right="100" w:firstLine="439"/>
        <w:spacing w:after="0" w:line="296" w:lineRule="auto"/>
        <w:rPr>
          <w:sz w:val="20"/>
          <w:szCs w:val="20"/>
          <w:color w:val="auto"/>
        </w:rPr>
      </w:pPr>
      <w:r>
        <w:rPr>
          <w:rFonts w:ascii="Arial" w:cs="Arial" w:eastAsia="Arial" w:hAnsi="Arial"/>
          <w:sz w:val="16"/>
          <w:szCs w:val="16"/>
          <w:color w:val="auto"/>
        </w:rPr>
        <w:t>For the nine months ended September 30, 2020, we experienced a net increase in cash and cash equivalents in the amount of $9.7 million. During that period, $47.1 million of cash was provided by operating activities, which included the funding of $86.1 million of investments, which were offset by proceeds received from sales and repayments of investments of $110.1 million. During the same period, we paid $24.2 million in cash dividends to stockholders, repaid net SBA debentures of $10.5 million, repaid net borrowings of $2.0 million under our Credit Facility, paid deferred financing costs related to our debt financings of $0.5 million, and repurchased of common stock under the Stock Repurchase Program of $0.3 million.</w:t>
      </w:r>
    </w:p>
    <w:p>
      <w:pPr>
        <w:spacing w:after="0" w:line="26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Capital Resources</w:t>
      </w:r>
    </w:p>
    <w:p>
      <w:pPr>
        <w:spacing w:after="0" w:line="116" w:lineRule="exact"/>
        <w:rPr>
          <w:sz w:val="20"/>
          <w:szCs w:val="20"/>
          <w:color w:val="auto"/>
        </w:rPr>
      </w:pPr>
    </w:p>
    <w:p>
      <w:pPr>
        <w:ind w:left="120" w:right="360" w:firstLine="439"/>
        <w:spacing w:after="0" w:line="276" w:lineRule="auto"/>
        <w:rPr>
          <w:sz w:val="20"/>
          <w:szCs w:val="20"/>
          <w:color w:val="auto"/>
        </w:rPr>
      </w:pPr>
      <w:r>
        <w:rPr>
          <w:rFonts w:ascii="Arial" w:cs="Arial" w:eastAsia="Arial" w:hAnsi="Arial"/>
          <w:sz w:val="18"/>
          <w:szCs w:val="18"/>
          <w:color w:val="auto"/>
        </w:rPr>
        <w:t>We anticipate that we will continue to fund our investment activities on a long-term basis through a combination of additional debt and equity capital.</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SBA debentures</w:t>
      </w:r>
    </w:p>
    <w:p>
      <w:pPr>
        <w:spacing w:after="0" w:line="116" w:lineRule="exact"/>
        <w:rPr>
          <w:sz w:val="20"/>
          <w:szCs w:val="20"/>
          <w:color w:val="auto"/>
        </w:rPr>
      </w:pPr>
    </w:p>
    <w:p>
      <w:pPr>
        <w:ind w:left="120" w:right="140" w:firstLine="439"/>
        <w:spacing w:after="0" w:line="283" w:lineRule="auto"/>
        <w:rPr>
          <w:sz w:val="20"/>
          <w:szCs w:val="20"/>
          <w:color w:val="auto"/>
        </w:rPr>
      </w:pPr>
      <w:r>
        <w:rPr>
          <w:rFonts w:ascii="Arial" w:cs="Arial" w:eastAsia="Arial" w:hAnsi="Arial"/>
          <w:sz w:val="16"/>
          <w:szCs w:val="16"/>
          <w:color w:val="auto"/>
        </w:rPr>
        <w:t>The Funds are licensed SBICs, and have the ability to issue debentures guaranteed by the SBA at favorable interest rates. Under the Small Business Investment Act and the SBA rules applicable to SBICs,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three or more SBICs under common control, the maximum amount of outstanding SBA debentures cannot exceed $350.0 million.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September 30, 2020, Fund II and Fund III had</w:t>
      </w:r>
    </w:p>
    <w:p>
      <w:pPr>
        <w:spacing w:after="0" w:line="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$133.5 million and $13.5 million of outstanding SBA debentures, respectively. Subject to SBA regulatory requirements and approval, Fund III may access up to $161.5 million of additional SBA debentures under the SBIC debenture program. For more information on the SBA debentures, please refer to Note 6 to our consolidated financial statements.</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Credit Facility</w:t>
      </w:r>
    </w:p>
    <w:p>
      <w:pPr>
        <w:spacing w:after="0" w:line="116" w:lineRule="exact"/>
        <w:rPr>
          <w:sz w:val="20"/>
          <w:szCs w:val="20"/>
          <w:color w:val="auto"/>
        </w:rPr>
      </w:pPr>
    </w:p>
    <w:p>
      <w:pPr>
        <w:ind w:left="120" w:firstLine="439"/>
        <w:spacing w:after="0" w:line="254" w:lineRule="auto"/>
        <w:rPr>
          <w:sz w:val="20"/>
          <w:szCs w:val="20"/>
          <w:color w:val="auto"/>
        </w:rPr>
      </w:pPr>
      <w:r>
        <w:rPr>
          <w:rFonts w:ascii="Arial" w:cs="Arial" w:eastAsia="Arial" w:hAnsi="Arial"/>
          <w:sz w:val="18"/>
          <w:szCs w:val="18"/>
          <w:color w:val="auto"/>
        </w:rPr>
        <w:t>In June 2014, we entered into the Credit Facility to provide additional funding for our investment and operational activities. On April 24, 2019, we entered into the Amended Credit Agreement, which amends, restates, and replaces the Credit Facility. On June 26, 2020, the Company amended the Amended Credit Agreement, however the material terms were unchanged. Among other revisions, the amendment to the Amended Credit Agreement modifies certain covenants therein, including to amend the minimum consolidated interest coverage ratio to be 2.25 to 1.00 for the four quarter period ending on June 30, 2020, 2.00 to 1.00 for the four quarter periods ending on each of September 30, 2020 and December 31, 2020, and 1.75 to 1.00 for each four quarter period ending at the end of each quarter thereafter. The Credit Facility is secured by substantially all of our assets, excluding the assets of the Funds.</w:t>
      </w:r>
    </w:p>
    <w:p>
      <w:pPr>
        <w:spacing w:after="0" w:line="191" w:lineRule="exact"/>
        <w:rPr>
          <w:sz w:val="20"/>
          <w:szCs w:val="20"/>
          <w:color w:val="auto"/>
        </w:rPr>
      </w:pPr>
    </w:p>
    <w:p>
      <w:pPr>
        <w:ind w:left="120" w:right="40" w:firstLine="439"/>
        <w:spacing w:after="0" w:line="283" w:lineRule="auto"/>
        <w:rPr>
          <w:sz w:val="20"/>
          <w:szCs w:val="20"/>
          <w:color w:val="auto"/>
        </w:rPr>
      </w:pPr>
      <w:r>
        <w:rPr>
          <w:rFonts w:ascii="Arial" w:cs="Arial" w:eastAsia="Arial" w:hAnsi="Arial"/>
          <w:sz w:val="16"/>
          <w:szCs w:val="16"/>
          <w:color w:val="auto"/>
        </w:rPr>
        <w:t>Under the Amended Credit Agreement, (i) revolving commitments by lenders were increased from $90.0 million to $100.0 million, with an accordion feature that allows for an increase in total commitments up to $250.0 million,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w:t>
      </w:r>
    </w:p>
    <w:p>
      <w:pPr>
        <w:spacing w:after="0" w:line="3" w:lineRule="exact"/>
        <w:rPr>
          <w:sz w:val="20"/>
          <w:szCs w:val="20"/>
          <w:color w:val="auto"/>
        </w:rPr>
      </w:pPr>
    </w:p>
    <w:p>
      <w:pPr>
        <w:ind w:left="120" w:right="100" w:firstLine="9"/>
        <w:spacing w:after="0" w:line="291" w:lineRule="auto"/>
        <w:tabs>
          <w:tab w:leader="none" w:pos="40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three month LIBOR plus 1.0%, and (D) zero. We pay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(on a regulatory basis). The Credit Facility is secured by a first priority security interest in all of our assets, excluding the assets of our SBIC subsidiaries.</w:t>
      </w:r>
    </w:p>
    <w:p>
      <w:pPr>
        <w:spacing w:after="0" w:line="163" w:lineRule="exact"/>
        <w:rPr>
          <w:sz w:val="20"/>
          <w:szCs w:val="20"/>
          <w:color w:val="auto"/>
        </w:rPr>
      </w:pPr>
    </w:p>
    <w:p>
      <w:pPr>
        <w:ind w:left="120" w:right="160" w:firstLine="439"/>
        <w:spacing w:after="0" w:line="301" w:lineRule="auto"/>
        <w:rPr>
          <w:sz w:val="20"/>
          <w:szCs w:val="20"/>
          <w:color w:val="auto"/>
        </w:rPr>
      </w:pPr>
      <w:r>
        <w:rPr>
          <w:rFonts w:ascii="Arial" w:cs="Arial" w:eastAsia="Arial" w:hAnsi="Arial"/>
          <w:sz w:val="16"/>
          <w:szCs w:val="16"/>
          <w:color w:val="auto"/>
        </w:rPr>
        <w:t>Amounts available to borrow under the Credit Facility are subject to a minimum borrowing/collateral base that applies an advance rate to certain portfolio investments held by us, excluding investments held by the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54" w:lineRule="exact"/>
        <w:rPr>
          <w:sz w:val="20"/>
          <w:szCs w:val="20"/>
          <w:color w:val="auto"/>
        </w:rPr>
      </w:pPr>
    </w:p>
    <w:p>
      <w:pPr>
        <w:ind w:left="120" w:right="360" w:firstLine="439"/>
        <w:spacing w:after="0" w:line="311" w:lineRule="auto"/>
        <w:rPr>
          <w:sz w:val="20"/>
          <w:szCs w:val="20"/>
          <w:color w:val="auto"/>
        </w:rPr>
      </w:pPr>
      <w:r>
        <w:rPr>
          <w:rFonts w:ascii="Arial" w:cs="Arial" w:eastAsia="Arial" w:hAnsi="Arial"/>
          <w:sz w:val="16"/>
          <w:szCs w:val="16"/>
          <w:color w:val="auto"/>
        </w:rPr>
        <w:t>We have made customary representations and warranties and are required to comply with various covenants, reporting requirements and other customary requirements for similar credit facilities. These covenants are subject to important limitations and exceptions that are described in the documents governing the Credit Facility. As of September 30, 2020, we were in compliance with all covenants of the Credit Facility.</w:t>
      </w:r>
    </w:p>
    <w:p>
      <w:pPr>
        <w:sectPr>
          <w:pgSz w:w="11900" w:h="16838" w:orient="portrait"/>
          <w:cols w:equalWidth="0" w:num="1">
            <w:col w:w="11120"/>
          </w:cols>
          <w:pgMar w:left="320" w:top="459" w:right="459" w:bottom="1440" w:gutter="0" w:footer="0" w:header="0"/>
        </w:sectPr>
      </w:pP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120"/>
          </w:cols>
          <w:pgMar w:left="320" w:top="459" w:right="45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Public Notes</w:t>
      </w:r>
    </w:p>
    <w:p>
      <w:pPr>
        <w:spacing w:after="0" w:line="116" w:lineRule="exact"/>
        <w:rPr>
          <w:sz w:val="20"/>
          <w:szCs w:val="20"/>
          <w:color w:val="auto"/>
        </w:rPr>
      </w:pPr>
    </w:p>
    <w:p>
      <w:pPr>
        <w:ind w:left="120" w:right="60" w:firstLine="439"/>
        <w:spacing w:after="0" w:line="278" w:lineRule="auto"/>
        <w:rPr>
          <w:sz w:val="20"/>
          <w:szCs w:val="20"/>
          <w:color w:val="auto"/>
        </w:rPr>
      </w:pPr>
      <w:r>
        <w:rPr>
          <w:rFonts w:ascii="Arial" w:cs="Arial" w:eastAsia="Arial" w:hAnsi="Arial"/>
          <w:sz w:val="17"/>
          <w:szCs w:val="17"/>
          <w:color w:val="auto"/>
        </w:rPr>
        <w:t>On February 2, 2018, we closed the public offering of approximately $43.5 million in aggregate principal amount of our 5.875% notes due 2023, or the “2023 Notes.” On February 22, 2018, the underwriters exercised their option to purchase an additional $6.5 million in aggregate principal of the 2023 Notes. The total net proceeds to us from the 2023 Notes, including the exercise of the underwriters’ option, after deducting underwriting discounts of approximately $1.5 million and offering expenses of $0.4 million, were approximately $48.1 million.</w:t>
      </w:r>
    </w:p>
    <w:p>
      <w:pPr>
        <w:spacing w:after="0" w:line="172" w:lineRule="exact"/>
        <w:rPr>
          <w:sz w:val="20"/>
          <w:szCs w:val="20"/>
          <w:color w:val="auto"/>
        </w:rPr>
      </w:pPr>
    </w:p>
    <w:p>
      <w:pPr>
        <w:ind w:left="120" w:firstLine="439"/>
        <w:spacing w:after="0" w:line="258" w:lineRule="auto"/>
        <w:rPr>
          <w:sz w:val="20"/>
          <w:szCs w:val="20"/>
          <w:color w:val="auto"/>
        </w:rPr>
      </w:pPr>
      <w:r>
        <w:rPr>
          <w:rFonts w:ascii="Arial" w:cs="Arial" w:eastAsia="Arial" w:hAnsi="Arial"/>
          <w:sz w:val="18"/>
          <w:szCs w:val="18"/>
          <w:color w:val="auto"/>
        </w:rPr>
        <w:t>The 2023 Notes will mature on February 1, 2023 and bear interest at a rate of 5.875%. The 2023 Notes may be redeemed in whole or in part at any time or from time to time at our option on or after February 1, 2020. Interest on the 2023 Notes is payable quarterly on February 1, May 1, August 1 and November 1 of each year. The 2023 Notes are listed on the NASDAQ Global Select Market under the trading symbol “FDUSL.” As of September 30, 2020, the outstanding principal balance of the 2023 Notes was $50.0 million.</w:t>
      </w:r>
    </w:p>
    <w:p>
      <w:pPr>
        <w:spacing w:after="0" w:line="187" w:lineRule="exact"/>
        <w:rPr>
          <w:sz w:val="20"/>
          <w:szCs w:val="20"/>
          <w:color w:val="auto"/>
        </w:rPr>
      </w:pPr>
    </w:p>
    <w:p>
      <w:pPr>
        <w:ind w:left="120" w:right="60" w:firstLine="439"/>
        <w:spacing w:after="0" w:line="278" w:lineRule="auto"/>
        <w:rPr>
          <w:sz w:val="20"/>
          <w:szCs w:val="20"/>
          <w:color w:val="auto"/>
        </w:rPr>
      </w:pPr>
      <w:r>
        <w:rPr>
          <w:rFonts w:ascii="Arial" w:cs="Arial" w:eastAsia="Arial" w:hAnsi="Arial"/>
          <w:sz w:val="17"/>
          <w:szCs w:val="17"/>
          <w:color w:val="auto"/>
        </w:rPr>
        <w:t>On February 8, 2019, we closed the public offering of approximately $60.0 million in aggregate principal amount of our 6.000% notes due 2024, or the “2024 Notes”. On February 19, 2019, the underwriters exercised their option to purchase an additional $9.0 million in aggregate principal of the 2024 Notes. The total net proceeds to us from the 2024 Notes, including the exercise of the underwriters’ option, after deducting underwriting discounts of approximately $2.1 million and offering expenses of $0.4 million, were approximately $66.5 million.</w:t>
      </w:r>
    </w:p>
    <w:p>
      <w:pPr>
        <w:spacing w:after="0" w:line="172" w:lineRule="exact"/>
        <w:rPr>
          <w:sz w:val="20"/>
          <w:szCs w:val="20"/>
          <w:color w:val="auto"/>
        </w:rPr>
      </w:pPr>
    </w:p>
    <w:p>
      <w:pPr>
        <w:ind w:left="120" w:right="80" w:firstLine="439"/>
        <w:spacing w:after="0" w:line="278" w:lineRule="auto"/>
        <w:rPr>
          <w:sz w:val="20"/>
          <w:szCs w:val="20"/>
          <w:color w:val="auto"/>
        </w:rPr>
      </w:pPr>
      <w:r>
        <w:rPr>
          <w:rFonts w:ascii="Arial" w:cs="Arial" w:eastAsia="Arial" w:hAnsi="Arial"/>
          <w:sz w:val="17"/>
          <w:szCs w:val="17"/>
          <w:color w:val="auto"/>
        </w:rPr>
        <w:t>The 2024 Notes will mature on February 15, 2024 and bear interest at a rate of 6.000%. The 2024 Notes may be redeemed in whole or in part at any time or from time to time at our option on or after February 15, 2021. Interest on the 2024 Notes is payable quarterly on February 15, May 15, August 15 and November 15 of each year, beginning May 15, 2019. The 2024 Notes are listed on the NASDAQ Global Select Market under the trading symbol “FDUSZ.” As of September 30, 2020, the outstanding principal balance of the 2024 Notes was $69.0 million.</w:t>
      </w:r>
    </w:p>
    <w:p>
      <w:pPr>
        <w:spacing w:after="0" w:line="172" w:lineRule="exact"/>
        <w:rPr>
          <w:sz w:val="20"/>
          <w:szCs w:val="20"/>
          <w:color w:val="auto"/>
        </w:rPr>
      </w:pPr>
    </w:p>
    <w:p>
      <w:pPr>
        <w:ind w:left="120" w:right="120" w:firstLine="439"/>
        <w:spacing w:after="0" w:line="275" w:lineRule="auto"/>
        <w:rPr>
          <w:sz w:val="20"/>
          <w:szCs w:val="20"/>
          <w:color w:val="auto"/>
        </w:rPr>
      </w:pPr>
      <w:r>
        <w:rPr>
          <w:rFonts w:ascii="Arial" w:cs="Arial" w:eastAsia="Arial" w:hAnsi="Arial"/>
          <w:sz w:val="17"/>
          <w:szCs w:val="17"/>
          <w:color w:val="auto"/>
        </w:rPr>
        <w:t>On October 16, 2019, we closed the public offering of approximately $55.0 million in aggregate principal amount of our 5.375% notes due 2024, or the “November 2024 Notes” (and collectively with the 2023 Notes and the February 2024 Notes, the “Public Notes”). On October 23, 2019, the underwriters exercised their option to purchase an additional $8.3 million in aggregate principal of the November 2024 Notes. The total net proceeds to us from the November 2024 Notes, including the exercise of the underwriters’ option, after deducting underwriting discounts of approximately $1.9 million and offering expenses of $0.3 million, were approximately $61.1 million.</w:t>
      </w:r>
    </w:p>
    <w:p>
      <w:pPr>
        <w:spacing w:after="0" w:line="173" w:lineRule="exact"/>
        <w:rPr>
          <w:sz w:val="20"/>
          <w:szCs w:val="20"/>
          <w:color w:val="auto"/>
        </w:rPr>
      </w:pPr>
    </w:p>
    <w:p>
      <w:pPr>
        <w:ind w:left="120" w:right="140" w:firstLine="439"/>
        <w:spacing w:after="0" w:line="256" w:lineRule="auto"/>
        <w:rPr>
          <w:sz w:val="20"/>
          <w:szCs w:val="20"/>
          <w:color w:val="auto"/>
        </w:rPr>
      </w:pPr>
      <w:r>
        <w:rPr>
          <w:rFonts w:ascii="Arial" w:cs="Arial" w:eastAsia="Arial" w:hAnsi="Arial"/>
          <w:sz w:val="18"/>
          <w:szCs w:val="18"/>
          <w:color w:val="auto"/>
        </w:rPr>
        <w:t>The November 2024 Notes will mature on November 1, 2024 and bear interest at a rate of 5.375%. The November 2024 Notes may be redeemed in whole or in part at any time or from time to time at our option on or after November 1, 2021. Interest on the November 2024 Notes is payable quarterly on February 1, May 1, August 1 and November 1 of each year, beginning February 1, 2020. The November 2024 Notes are listed on the NASDAQ Global Select Market under the trading symbol “FDUSG.” As of September 30, 2020, the outstanding principal balance of the November 2024 Notes was approximately $63.3 million.</w:t>
      </w:r>
    </w:p>
    <w:p>
      <w:pPr>
        <w:spacing w:after="0" w:line="189" w:lineRule="exact"/>
        <w:rPr>
          <w:sz w:val="20"/>
          <w:szCs w:val="20"/>
          <w:color w:val="auto"/>
        </w:rPr>
      </w:pPr>
    </w:p>
    <w:p>
      <w:pPr>
        <w:ind w:left="120" w:right="220" w:firstLine="439"/>
        <w:spacing w:after="0" w:line="258" w:lineRule="auto"/>
        <w:rPr>
          <w:sz w:val="20"/>
          <w:szCs w:val="20"/>
          <w:color w:val="auto"/>
        </w:rPr>
      </w:pPr>
      <w:r>
        <w:rPr>
          <w:rFonts w:ascii="Arial" w:cs="Arial" w:eastAsia="Arial" w:hAnsi="Arial"/>
          <w:sz w:val="18"/>
          <w:szCs w:val="18"/>
          <w:color w:val="auto"/>
        </w:rPr>
        <w:t>The Public Notes are unsecured obligations and rank pari passu with our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w:t>
      </w:r>
    </w:p>
    <w:p>
      <w:pPr>
        <w:spacing w:after="0" w:line="187" w:lineRule="exact"/>
        <w:rPr>
          <w:sz w:val="20"/>
          <w:szCs w:val="20"/>
          <w:color w:val="auto"/>
        </w:rPr>
      </w:pPr>
    </w:p>
    <w:p>
      <w:pPr>
        <w:ind w:left="120" w:right="140" w:firstLine="439"/>
        <w:spacing w:after="0" w:line="311" w:lineRule="auto"/>
        <w:rPr>
          <w:sz w:val="20"/>
          <w:szCs w:val="20"/>
          <w:color w:val="auto"/>
        </w:rPr>
      </w:pPr>
      <w:r>
        <w:rPr>
          <w:rFonts w:ascii="Arial" w:cs="Arial" w:eastAsia="Arial" w:hAnsi="Arial"/>
          <w:sz w:val="16"/>
          <w:szCs w:val="16"/>
          <w:color w:val="auto"/>
        </w:rPr>
        <w:t>As of September 30, 2020, the weighted average stated interest rates for our SBA debentures, Public Notes, and the Credit Facility were 3.297%, 5.749%, and 3.188% respectively. As of September 30, 2020, we had $77.0 million of unutilized commitment under our Credit Facility, and we were subject to a 0.890% fee on such amount. As of September 30, 2020, the weighted average stated interest rate on total debt outstanding was 4.558%.</w:t>
      </w:r>
    </w:p>
    <w:p>
      <w:pPr>
        <w:spacing w:after="0" w:line="147" w:lineRule="exact"/>
        <w:rPr>
          <w:sz w:val="20"/>
          <w:szCs w:val="20"/>
          <w:color w:val="auto"/>
        </w:rPr>
      </w:pPr>
    </w:p>
    <w:p>
      <w:pPr>
        <w:ind w:left="120" w:right="20" w:firstLine="439"/>
        <w:spacing w:after="0" w:line="287" w:lineRule="auto"/>
        <w:rPr>
          <w:sz w:val="20"/>
          <w:szCs w:val="20"/>
          <w:color w:val="auto"/>
        </w:rPr>
      </w:pPr>
      <w:r>
        <w:rPr>
          <w:rFonts w:ascii="Arial" w:cs="Arial" w:eastAsia="Arial" w:hAnsi="Arial"/>
          <w:sz w:val="16"/>
          <w:szCs w:val="16"/>
          <w:color w:val="auto"/>
        </w:rPr>
        <w:t>As a BDC, we are generally required to meet an asset coverage ratio of at least 200.0% (or 150.0% on and after April 29, 2020)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We have received exemptive relief from the SEC to allow us to exclude any indebtedness guaranteed by the SBA and issued by the Funds from the 200.0% asset coverage requirements, which, in turn, will enable us to fund more investments with debt capital. Recent legislation, however, modifies the required minimum asset coverage ratio from 200.0% to 150.0%, if certain requirements are met. Under the legislation,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legislation allows the majority of the Independent Directors to approve an increase in our leverage capacity, and such approval would become effective after the one-year anniversary of such approval.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April 29, 2019, the Board, including a majority of the Independent Directors, approved a minimum asset coverage ratio of 150% under</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Sections 18(a)(1) and 18(a)(2) of the 1940 Act. As a result, we became subject to the 150% asset coverage ratio effective as of April 29, 2020. At</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present time, we do not intend to seek stockholder approval to reduce our asset coverage requirement. As of September 30, 2020, the aggregate amount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outstanding of the senior securities issued by the Company was $205.3 million, for which our asset coverage was 289.8%. The SBA-guaranteed</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debentures are not subject to the asset coverage requirements of the 1940 Act as a result of exemptive relief granted to us by the SEC effective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27, 2012. The asset coverage ratio for a class of senior securities representing indebtedness is calculated as our consolidated total assets, less all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liabilities and indebtedness not represented by senior securities, divided by total senior securities representing indebtedness.</w:t>
      </w:r>
    </w:p>
    <w:p>
      <w:pPr>
        <w:spacing w:after="0" w:line="210" w:lineRule="exact"/>
        <w:rPr>
          <w:sz w:val="20"/>
          <w:szCs w:val="20"/>
          <w:color w:val="auto"/>
        </w:rPr>
      </w:pPr>
    </w:p>
    <w:p>
      <w:pPr>
        <w:ind w:left="120" w:right="160" w:firstLine="439"/>
        <w:spacing w:after="0" w:line="289" w:lineRule="auto"/>
        <w:rPr>
          <w:sz w:val="20"/>
          <w:szCs w:val="20"/>
          <w:color w:val="auto"/>
        </w:rPr>
      </w:pPr>
      <w:r>
        <w:rPr>
          <w:rFonts w:ascii="Arial" w:cs="Arial" w:eastAsia="Arial" w:hAnsi="Arial"/>
          <w:sz w:val="16"/>
          <w:szCs w:val="16"/>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June 4, 2020, our stockholders voted to allow us to sell or otherwise issue common stock at a price below net asset value per share for a period of one year ending on the earlier of June 4, 2021 or the date of our 2021 Annual Meeting of Stockholders. We expect to present to our stockholders a similar proposal at our 2021 Annual Meeting of Stockholders. Our stockholders specified that the cumulative number of shares sold in each offering during the one-year period ending on the earlier of June 4, 2021 or the date of our 2021 Annual Meeting of Stockholders may not exceed 25.0% of our outstanding common stock immediately prior to each such sale.</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Repurchase Program</w:t>
      </w:r>
    </w:p>
    <w:p>
      <w:pPr>
        <w:spacing w:after="0" w:line="116" w:lineRule="exact"/>
        <w:rPr>
          <w:sz w:val="20"/>
          <w:szCs w:val="20"/>
          <w:color w:val="auto"/>
        </w:rPr>
      </w:pPr>
    </w:p>
    <w:p>
      <w:pPr>
        <w:ind w:left="120" w:right="60" w:firstLine="439"/>
        <w:spacing w:after="0" w:line="286" w:lineRule="auto"/>
        <w:rPr>
          <w:sz w:val="20"/>
          <w:szCs w:val="20"/>
          <w:color w:val="auto"/>
        </w:rPr>
      </w:pPr>
      <w:r>
        <w:rPr>
          <w:rFonts w:ascii="Arial" w:cs="Arial" w:eastAsia="Arial" w:hAnsi="Arial"/>
          <w:sz w:val="16"/>
          <w:szCs w:val="16"/>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26, 2020, the Board extended the Stock Repurchase Program through December 31, 2021,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During the three and nine months ended September 30, 2020, we repurchased zero and 25,719 shares of common stock on the open market for zero and $0.3 million, respectively. We did not make any repurchases of common stock during the three and nine months ended September 30, 2019. Refer to Note 8 to our consolidated financial statements for additional information concerning stock repurchases.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0" w:lineRule="exact"/>
        <w:rPr>
          <w:sz w:val="20"/>
          <w:szCs w:val="20"/>
          <w:color w:val="auto"/>
        </w:rPr>
      </w:pPr>
    </w:p>
    <w:p>
      <w:pPr>
        <w:ind w:left="120" w:right="40" w:firstLine="439"/>
        <w:spacing w:after="0" w:line="296"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affecting amounts reported in the financial statements. We have identified investment valuation and revenue recognition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16" w:lineRule="exact"/>
        <w:rPr>
          <w:sz w:val="20"/>
          <w:szCs w:val="20"/>
          <w:color w:val="auto"/>
        </w:rPr>
      </w:pPr>
    </w:p>
    <w:p>
      <w:pPr>
        <w:ind w:left="120" w:right="240" w:firstLine="439"/>
        <w:spacing w:after="0" w:line="276" w:lineRule="auto"/>
        <w:rPr>
          <w:sz w:val="20"/>
          <w:szCs w:val="20"/>
          <w:color w:val="auto"/>
        </w:rPr>
      </w:pPr>
      <w:r>
        <w:rPr>
          <w:rFonts w:ascii="Arial" w:cs="Arial" w:eastAsia="Arial" w:hAnsi="Arial"/>
          <w:sz w:val="18"/>
          <w:szCs w:val="18"/>
          <w:color w:val="auto"/>
        </w:rPr>
        <w:t>As a BDC, we report our assets and liabilities at fair value at all times consistent with GAAP and the 1940 Act. Accordingly, we are required to periodically determine the fair value of all of our portfolio investments.</w:t>
      </w:r>
    </w:p>
    <w:p>
      <w:pPr>
        <w:spacing w:after="0" w:line="170" w:lineRule="exact"/>
        <w:rPr>
          <w:sz w:val="20"/>
          <w:szCs w:val="20"/>
          <w:color w:val="auto"/>
        </w:rPr>
      </w:pPr>
    </w:p>
    <w:p>
      <w:pPr>
        <w:ind w:left="120" w:firstLine="439"/>
        <w:spacing w:after="0" w:line="293" w:lineRule="auto"/>
        <w:rPr>
          <w:sz w:val="20"/>
          <w:szCs w:val="20"/>
          <w:color w:val="auto"/>
        </w:rPr>
      </w:pPr>
      <w:r>
        <w:rPr>
          <w:rFonts w:ascii="Arial" w:cs="Arial" w:eastAsia="Arial" w:hAnsi="Arial"/>
          <w:sz w:val="16"/>
          <w:szCs w:val="16"/>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the Board using a documented valuation policy and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 could be material.</w:t>
      </w:r>
    </w:p>
    <w:p>
      <w:pPr>
        <w:spacing w:after="0" w:line="161" w:lineRule="exact"/>
        <w:rPr>
          <w:sz w:val="20"/>
          <w:szCs w:val="20"/>
          <w:color w:val="auto"/>
        </w:rPr>
      </w:pPr>
    </w:p>
    <w:p>
      <w:pPr>
        <w:ind w:left="120" w:right="520" w:firstLine="439"/>
        <w:spacing w:after="0" w:line="276" w:lineRule="auto"/>
        <w:rPr>
          <w:sz w:val="20"/>
          <w:szCs w:val="20"/>
          <w:color w:val="auto"/>
        </w:rPr>
      </w:pPr>
      <w:r>
        <w:rPr>
          <w:rFonts w:ascii="Arial" w:cs="Arial" w:eastAsia="Arial" w:hAnsi="Arial"/>
          <w:sz w:val="18"/>
          <w:szCs w:val="18"/>
          <w:color w:val="auto"/>
        </w:rPr>
        <w:t>With respect to investments for which market quotations are not readily available, the Board undertakes a multi-step valuation process each quarter, as described below:</w:t>
      </w:r>
    </w:p>
    <w:p>
      <w:pPr>
        <w:spacing w:after="0" w:line="76" w:lineRule="exact"/>
        <w:rPr>
          <w:sz w:val="20"/>
          <w:szCs w:val="20"/>
          <w:color w:val="auto"/>
        </w:rPr>
      </w:pPr>
    </w:p>
    <w:p>
      <w:pPr>
        <w:ind w:left="1100" w:right="340" w:hanging="432"/>
        <w:spacing w:after="0" w:line="276"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evaluated and rated by the investment professionals of the Investment Advisor responsible for the portfolio investment;</w:t>
      </w:r>
    </w:p>
    <w:p>
      <w:pPr>
        <w:spacing w:after="0" w:line="76" w:lineRule="exact"/>
        <w:rPr>
          <w:rFonts w:ascii="Arial" w:cs="Arial" w:eastAsia="Arial" w:hAnsi="Arial"/>
          <w:sz w:val="18"/>
          <w:szCs w:val="18"/>
          <w:color w:val="auto"/>
        </w:rPr>
      </w:pPr>
    </w:p>
    <w:p>
      <w:pPr>
        <w:ind w:left="1100" w:hanging="432"/>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preliminary valuation conclusions are then documented and discussed with the investment committee of the Investment Advisor;</w:t>
      </w:r>
    </w:p>
    <w:p>
      <w:pPr>
        <w:sectPr>
          <w:pgSz w:w="11900" w:h="16838" w:orient="portrait"/>
          <w:cols w:equalWidth="0" w:num="1">
            <w:col w:w="11120"/>
          </w:cols>
          <w:pgMar w:left="320" w:top="458" w:right="459" w:bottom="1440" w:gutter="0" w:footer="0" w:header="0"/>
        </w:sectPr>
      </w:pP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120"/>
          </w:cols>
          <w:pgMar w:left="320" w:top="458" w:right="45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right="40" w:hanging="432"/>
        <w:spacing w:after="0" w:line="269" w:lineRule="auto"/>
        <w:tabs>
          <w:tab w:leader="none" w:pos="11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The Board consulted with the independent valuation firm(s) in arriving at our determination of fair value for 17 and 13 of our portfolio company investments representing 25.8% and 30.9% of the total portfolio investments at fair value (exclusive of new portfolio company investments made during the three months ended September 30, 2020 and December 31, 2019, respectively) as of September 30, 2020 and December 31, 2019, respectively;</w:t>
      </w:r>
    </w:p>
    <w:p>
      <w:pPr>
        <w:spacing w:after="0" w:line="85" w:lineRule="exact"/>
        <w:rPr>
          <w:rFonts w:ascii="Arial" w:cs="Arial" w:eastAsia="Arial" w:hAnsi="Arial"/>
          <w:sz w:val="17"/>
          <w:szCs w:val="17"/>
          <w:color w:val="auto"/>
        </w:rPr>
      </w:pPr>
    </w:p>
    <w:p>
      <w:pPr>
        <w:ind w:left="1100" w:right="260" w:hanging="432"/>
        <w:spacing w:after="0" w:line="276" w:lineRule="auto"/>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76" w:lineRule="exact"/>
        <w:rPr>
          <w:rFonts w:ascii="Arial" w:cs="Arial" w:eastAsia="Arial" w:hAnsi="Arial"/>
          <w:sz w:val="18"/>
          <w:szCs w:val="18"/>
          <w:color w:val="auto"/>
        </w:rPr>
      </w:pPr>
    </w:p>
    <w:p>
      <w:pPr>
        <w:ind w:left="1100" w:right="60" w:hanging="432"/>
        <w:spacing w:after="0" w:line="276" w:lineRule="auto"/>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Board discusses the valuations and determines the fair value of each investment in our portfolio in good faith, based on the input of the Investment Advisor, the independent valuation firm(s) and the audit committee.</w:t>
      </w:r>
    </w:p>
    <w:p>
      <w:pPr>
        <w:spacing w:after="0" w:line="170" w:lineRule="exact"/>
        <w:rPr>
          <w:sz w:val="20"/>
          <w:szCs w:val="20"/>
          <w:color w:val="auto"/>
        </w:rPr>
      </w:pPr>
    </w:p>
    <w:p>
      <w:pPr>
        <w:ind w:left="120" w:right="220" w:firstLine="439"/>
        <w:spacing w:after="0" w:line="263" w:lineRule="auto"/>
        <w:rPr>
          <w:sz w:val="20"/>
          <w:szCs w:val="20"/>
          <w:color w:val="auto"/>
        </w:rPr>
      </w:pPr>
      <w:r>
        <w:rPr>
          <w:rFonts w:ascii="Arial" w:cs="Arial" w:eastAsia="Arial" w:hAnsi="Arial"/>
          <w:sz w:val="18"/>
          <w:szCs w:val="18"/>
          <w:color w:val="auto"/>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2" w:lineRule="exact"/>
        <w:rPr>
          <w:sz w:val="20"/>
          <w:szCs w:val="20"/>
          <w:color w:val="auto"/>
        </w:rPr>
      </w:pPr>
    </w:p>
    <w:p>
      <w:pPr>
        <w:ind w:left="120" w:right="180" w:firstLine="439"/>
        <w:spacing w:after="0" w:line="293" w:lineRule="auto"/>
        <w:rPr>
          <w:sz w:val="20"/>
          <w:szCs w:val="20"/>
          <w:color w:val="auto"/>
        </w:rPr>
      </w:pPr>
      <w:r>
        <w:rPr>
          <w:rFonts w:ascii="Arial" w:cs="Arial" w:eastAsia="Arial" w:hAnsi="Arial"/>
          <w:sz w:val="16"/>
          <w:szCs w:val="16"/>
          <w:color w:val="auto"/>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pacing w:after="0" w:line="161" w:lineRule="exact"/>
        <w:rPr>
          <w:sz w:val="20"/>
          <w:szCs w:val="20"/>
          <w:color w:val="auto"/>
        </w:rPr>
      </w:pPr>
    </w:p>
    <w:p>
      <w:pPr>
        <w:ind w:left="120" w:right="100" w:firstLine="439"/>
        <w:spacing w:after="0" w:line="263" w:lineRule="auto"/>
        <w:rPr>
          <w:sz w:val="20"/>
          <w:szCs w:val="20"/>
          <w:color w:val="auto"/>
        </w:rPr>
      </w:pPr>
      <w:r>
        <w:rPr>
          <w:rFonts w:ascii="Arial" w:cs="Arial" w:eastAsia="Arial" w:hAnsi="Arial"/>
          <w:sz w:val="18"/>
          <w:szCs w:val="18"/>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82" w:lineRule="exact"/>
        <w:rPr>
          <w:sz w:val="20"/>
          <w:szCs w:val="20"/>
          <w:color w:val="auto"/>
        </w:rPr>
      </w:pPr>
    </w:p>
    <w:p>
      <w:pPr>
        <w:ind w:left="120" w:right="20" w:firstLine="439"/>
        <w:spacing w:after="0" w:line="285" w:lineRule="auto"/>
        <w:rPr>
          <w:sz w:val="20"/>
          <w:szCs w:val="20"/>
          <w:color w:val="auto"/>
        </w:rPr>
      </w:pPr>
      <w:r>
        <w:rPr>
          <w:rFonts w:ascii="Arial" w:cs="Arial" w:eastAsia="Arial" w:hAnsi="Arial"/>
          <w:sz w:val="16"/>
          <w:szCs w:val="16"/>
          <w:color w:val="auto"/>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spacing w:after="0" w:line="174" w:lineRule="exact"/>
        <w:rPr>
          <w:sz w:val="20"/>
          <w:szCs w:val="20"/>
          <w:color w:val="auto"/>
        </w:rPr>
      </w:pPr>
    </w:p>
    <w:p>
      <w:pPr>
        <w:ind w:left="120" w:firstLine="439"/>
        <w:spacing w:after="0" w:line="293" w:lineRule="auto"/>
        <w:rPr>
          <w:sz w:val="20"/>
          <w:szCs w:val="20"/>
          <w:color w:val="auto"/>
        </w:rPr>
      </w:pPr>
      <w:r>
        <w:rPr>
          <w:rFonts w:ascii="Arial" w:cs="Arial" w:eastAsia="Arial" w:hAnsi="Arial"/>
          <w:sz w:val="16"/>
          <w:szCs w:val="16"/>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61" w:lineRule="exact"/>
        <w:rPr>
          <w:sz w:val="20"/>
          <w:szCs w:val="20"/>
          <w:color w:val="auto"/>
        </w:rPr>
      </w:pPr>
    </w:p>
    <w:p>
      <w:pPr>
        <w:ind w:left="120" w:right="20" w:firstLine="439"/>
        <w:spacing w:after="0" w:line="273" w:lineRule="auto"/>
        <w:rPr>
          <w:sz w:val="20"/>
          <w:szCs w:val="20"/>
          <w:color w:val="auto"/>
        </w:rPr>
      </w:pPr>
      <w:r>
        <w:rPr>
          <w:rFonts w:ascii="Arial" w:cs="Arial" w:eastAsia="Arial" w:hAnsi="Arial"/>
          <w:sz w:val="17"/>
          <w:szCs w:val="17"/>
          <w:color w:val="auto"/>
        </w:rPr>
        <w:t>We may also utilize an income approach when estimating the fair value of our equity securities,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ectPr>
          <w:pgSz w:w="11900" w:h="16838" w:orient="portrait"/>
          <w:cols w:equalWidth="0" w:num="1">
            <w:col w:w="11120"/>
          </w:cols>
          <w:pgMar w:left="320" w:top="459" w:right="459" w:bottom="1440" w:gutter="0" w:footer="0" w:header="0"/>
        </w:sectPr>
      </w:pP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120"/>
          </w:cols>
          <w:pgMar w:left="320" w:top="459" w:right="45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500" w:firstLine="439"/>
        <w:spacing w:after="0" w:line="341" w:lineRule="auto"/>
        <w:rPr>
          <w:sz w:val="20"/>
          <w:szCs w:val="20"/>
          <w:color w:val="auto"/>
        </w:rPr>
      </w:pPr>
      <w:r>
        <w:rPr>
          <w:rFonts w:ascii="Arial" w:cs="Arial" w:eastAsia="Arial" w:hAnsi="Arial"/>
          <w:sz w:val="16"/>
          <w:szCs w:val="16"/>
          <w:color w:val="auto"/>
        </w:rPr>
        <w:t>The fair value of our royalty rights are calculated based on projected future cash flows and the specific provisions contained in the pertinent royalty agreement. The determination of the fair value of such royalty rights is not a significant component of our valuation process.</w:t>
      </w:r>
    </w:p>
    <w:p>
      <w:pPr>
        <w:spacing w:after="0" w:line="124" w:lineRule="exact"/>
        <w:rPr>
          <w:sz w:val="20"/>
          <w:szCs w:val="20"/>
          <w:color w:val="auto"/>
        </w:rPr>
      </w:pPr>
    </w:p>
    <w:p>
      <w:pPr>
        <w:ind w:left="120" w:right="140" w:firstLine="439"/>
        <w:spacing w:after="0" w:line="341" w:lineRule="auto"/>
        <w:rPr>
          <w:sz w:val="20"/>
          <w:szCs w:val="20"/>
          <w:color w:val="auto"/>
        </w:rPr>
      </w:pPr>
      <w:r>
        <w:rPr>
          <w:rFonts w:ascii="Arial" w:cs="Arial" w:eastAsia="Arial" w:hAnsi="Arial"/>
          <w:sz w:val="16"/>
          <w:szCs w:val="16"/>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6" w:lineRule="exact"/>
        <w:rPr>
          <w:sz w:val="20"/>
          <w:szCs w:val="20"/>
          <w:color w:val="auto"/>
        </w:rPr>
      </w:pPr>
    </w:p>
    <w:p>
      <w:pPr>
        <w:ind w:left="120" w:right="20" w:firstLine="439"/>
        <w:spacing w:after="0" w:line="255" w:lineRule="auto"/>
        <w:rPr>
          <w:sz w:val="20"/>
          <w:szCs w:val="20"/>
          <w:color w:val="auto"/>
        </w:rPr>
      </w:pPr>
      <w:r>
        <w:rPr>
          <w:rFonts w:ascii="Arial" w:cs="Arial" w:eastAsia="Arial" w:hAnsi="Arial"/>
          <w:sz w:val="18"/>
          <w:szCs w:val="18"/>
          <w:i w:val="1"/>
          <w:iCs w:val="1"/>
          <w:color w:val="auto"/>
        </w:rPr>
        <w:t xml:space="preserve">Investments and related investment income. </w:t>
      </w:r>
      <w:r>
        <w:rPr>
          <w:rFonts w:ascii="Arial" w:cs="Arial" w:eastAsia="Arial" w:hAnsi="Arial"/>
          <w:sz w:val="18"/>
          <w:szCs w:val="18"/>
          <w:color w:val="auto"/>
        </w:rPr>
        <w:t>Realized gains or losses on investments are recorded upon the sale or disposition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the Board through the application of our valuation policy, as well as reclassifications of any prior period unrealized appreciation or depreciation on exited investments to realized gains or losses on investments.</w:t>
      </w:r>
    </w:p>
    <w:p>
      <w:pPr>
        <w:spacing w:after="0" w:line="189" w:lineRule="exact"/>
        <w:rPr>
          <w:sz w:val="20"/>
          <w:szCs w:val="20"/>
          <w:color w:val="auto"/>
        </w:rPr>
      </w:pPr>
    </w:p>
    <w:p>
      <w:pPr>
        <w:ind w:left="120" w:right="80" w:firstLine="439"/>
        <w:spacing w:after="0" w:line="273" w:lineRule="auto"/>
        <w:rPr>
          <w:sz w:val="20"/>
          <w:szCs w:val="20"/>
          <w:color w:val="auto"/>
        </w:rPr>
      </w:pPr>
      <w:r>
        <w:rPr>
          <w:rFonts w:ascii="Arial" w:cs="Arial" w:eastAsia="Arial" w:hAnsi="Arial"/>
          <w:sz w:val="17"/>
          <w:szCs w:val="17"/>
          <w:i w:val="1"/>
          <w:iCs w:val="1"/>
          <w:color w:val="auto"/>
        </w:rPr>
        <w:t>Interest and dividend income</w:t>
      </w:r>
      <w:r>
        <w:rPr>
          <w:rFonts w:ascii="Arial" w:cs="Arial" w:eastAsia="Arial" w:hAnsi="Arial"/>
          <w:sz w:val="17"/>
          <w:szCs w:val="17"/>
          <w:color w:val="auto"/>
        </w:rPr>
        <w:t>. Interest and dividend income are recorded on the accrual basis to the extent that we expect to collect such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74" w:lineRule="exact"/>
        <w:rPr>
          <w:sz w:val="20"/>
          <w:szCs w:val="20"/>
          <w:color w:val="auto"/>
        </w:rPr>
      </w:pPr>
    </w:p>
    <w:p>
      <w:pPr>
        <w:ind w:left="120" w:right="40" w:firstLine="439"/>
        <w:spacing w:after="0" w:line="270" w:lineRule="auto"/>
        <w:rPr>
          <w:sz w:val="20"/>
          <w:szCs w:val="20"/>
          <w:color w:val="auto"/>
        </w:rPr>
      </w:pPr>
      <w:r>
        <w:rPr>
          <w:rFonts w:ascii="Arial" w:cs="Arial" w:eastAsia="Arial" w:hAnsi="Arial"/>
          <w:sz w:val="17"/>
          <w:szCs w:val="17"/>
          <w:i w:val="1"/>
          <w:iCs w:val="1"/>
          <w:color w:val="auto"/>
        </w:rPr>
        <w:t xml:space="preserve">PIK income. </w:t>
      </w:r>
      <w:r>
        <w:rPr>
          <w:rFonts w:ascii="Arial" w:cs="Arial" w:eastAsia="Arial" w:hAnsi="Arial"/>
          <w:sz w:val="17"/>
          <w:szCs w:val="17"/>
          <w:color w:val="auto"/>
        </w:rPr>
        <w:t>Certain of our investments contain a PIK income provision. The PIK income, computed at the contractual rate specified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and to avoid paying corporate-level U.S. federal income tax, even though we have not yet collected the cash.</w:t>
      </w:r>
    </w:p>
    <w:p>
      <w:pPr>
        <w:spacing w:after="0" w:line="180" w:lineRule="exact"/>
        <w:rPr>
          <w:sz w:val="20"/>
          <w:szCs w:val="20"/>
          <w:color w:val="auto"/>
        </w:rPr>
      </w:pPr>
    </w:p>
    <w:p>
      <w:pPr>
        <w:ind w:left="120" w:right="80" w:firstLine="439"/>
        <w:spacing w:after="0" w:line="273" w:lineRule="auto"/>
        <w:rPr>
          <w:sz w:val="20"/>
          <w:szCs w:val="20"/>
          <w:color w:val="auto"/>
        </w:rPr>
      </w:pPr>
      <w:r>
        <w:rPr>
          <w:rFonts w:ascii="Arial" w:cs="Arial" w:eastAsia="Arial" w:hAnsi="Arial"/>
          <w:sz w:val="17"/>
          <w:szCs w:val="17"/>
          <w:i w:val="1"/>
          <w:iCs w:val="1"/>
          <w:color w:val="auto"/>
        </w:rPr>
        <w:t xml:space="preserve">Non-accrual. </w:t>
      </w:r>
      <w:r>
        <w:rPr>
          <w:rFonts w:ascii="Arial" w:cs="Arial" w:eastAsia="Arial" w:hAnsi="Arial"/>
          <w:sz w:val="17"/>
          <w:szCs w:val="17"/>
          <w:color w:val="auto"/>
        </w:rPr>
        <w:t>Debt investments or preferred equity investments (for which we are accruing PIK dividends) are placed on non-accrual status when</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spacing w:after="0" w:line="174" w:lineRule="exact"/>
        <w:rPr>
          <w:sz w:val="20"/>
          <w:szCs w:val="20"/>
          <w:color w:val="auto"/>
        </w:rPr>
      </w:pPr>
    </w:p>
    <w:p>
      <w:pPr>
        <w:ind w:left="120" w:firstLine="439"/>
        <w:spacing w:after="0" w:line="256"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our debt investments, we will sometimes receive warrants or other equity-related securities (Warrants). We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spacing w:after="0" w:line="189" w:lineRule="exact"/>
        <w:rPr>
          <w:sz w:val="20"/>
          <w:szCs w:val="20"/>
          <w:color w:val="auto"/>
        </w:rPr>
      </w:pPr>
    </w:p>
    <w:p>
      <w:pPr>
        <w:ind w:left="120" w:right="20" w:firstLine="439"/>
        <w:spacing w:after="0" w:line="258"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All transaction fees earned in connection with our investments are recognized as fee income and are generally non-recurring.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fees typically 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87" w:lineRule="exact"/>
        <w:rPr>
          <w:sz w:val="20"/>
          <w:szCs w:val="20"/>
          <w:color w:val="auto"/>
        </w:rPr>
      </w:pPr>
    </w:p>
    <w:p>
      <w:pPr>
        <w:jc w:val="both"/>
        <w:ind w:left="120" w:firstLine="439"/>
        <w:spacing w:after="0" w:line="258" w:lineRule="auto"/>
        <w:rPr>
          <w:sz w:val="20"/>
          <w:szCs w:val="20"/>
          <w:color w:val="auto"/>
        </w:rPr>
      </w:pPr>
      <w:r>
        <w:rPr>
          <w:rFonts w:ascii="Arial" w:cs="Arial" w:eastAsia="Arial" w:hAnsi="Arial"/>
          <w:sz w:val="18"/>
          <w:szCs w:val="18"/>
          <w:color w:val="auto"/>
        </w:rPr>
        <w:t>We also typically receive debt investment origination or closing fees in connection with investments. Such debt investment origination and closing fees are capitalized as unearned income and offset against investment cost basis on our consolidated statements of assets and liabilities and accreted into interest income over the term of the investment. Upon the prepayment of a debt investment, any unaccreted debt investment origination and closing fees are accelerated into interest income.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0" w:lineRule="exact"/>
        <w:rPr>
          <w:sz w:val="20"/>
          <w:szCs w:val="20"/>
          <w:color w:val="auto"/>
        </w:rPr>
      </w:pPr>
    </w:p>
    <w:p>
      <w:pPr>
        <w:ind w:left="120" w:right="100" w:firstLine="439"/>
        <w:spacing w:after="0" w:line="275"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 Changes to the Disclosure Requirements for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which is intended to improve fair value disclosure requirements by removing disclosures that are not cost-beneficial, clarifying</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specific requirements, and adding relevant disclosure requirements. The guidance is effective for annual and interim reporting periods beginning after December 15, 2019. We adopted the ASU effective January 1, 2020. No significant changes to the fair value disclosures were necessary in the notes to the consolidated financial statements in order to comply with ASU 2018-13.</w:t>
      </w:r>
    </w:p>
    <w:p>
      <w:pPr>
        <w:spacing w:after="0" w:line="173" w:lineRule="exact"/>
        <w:rPr>
          <w:sz w:val="20"/>
          <w:szCs w:val="20"/>
          <w:color w:val="auto"/>
        </w:rPr>
      </w:pPr>
    </w:p>
    <w:p>
      <w:pPr>
        <w:ind w:left="120" w:firstLine="439"/>
        <w:spacing w:after="0" w:line="270" w:lineRule="auto"/>
        <w:rPr>
          <w:sz w:val="20"/>
          <w:szCs w:val="20"/>
          <w:color w:val="auto"/>
        </w:rPr>
      </w:pPr>
      <w:r>
        <w:rPr>
          <w:rFonts w:ascii="Arial" w:cs="Arial" w:eastAsia="Arial" w:hAnsi="Arial"/>
          <w:sz w:val="17"/>
          <w:szCs w:val="17"/>
          <w:color w:val="auto"/>
        </w:rPr>
        <w:t>In March 2020, the Financial Accounting Standards Board (“FASB”) issued Accounting Standards Update (“ASU”) No. 2020-04, “</w:t>
      </w:r>
      <w:r>
        <w:rPr>
          <w:rFonts w:ascii="Arial" w:cs="Arial" w:eastAsia="Arial" w:hAnsi="Arial"/>
          <w:sz w:val="17"/>
          <w:szCs w:val="17"/>
          <w:i w:val="1"/>
          <w:iCs w:val="1"/>
          <w:color w:val="auto"/>
        </w:rPr>
        <w:t>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Reform (Topic 848),</w:t>
      </w:r>
      <w:r>
        <w:rPr>
          <w:rFonts w:ascii="Arial" w:cs="Arial" w:eastAsia="Arial" w:hAnsi="Arial"/>
          <w:sz w:val="17"/>
          <w:szCs w:val="17"/>
          <w:color w:val="auto"/>
        </w:rPr>
        <w:t>” which provides optional expedients and exceptions for applying GAAP to contracts, hedging relationships, and other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affected by reference rate reform if certain criteria are met. The amendments apply only to contracts, hedging relationships, and other transactions that reference LIBOR or another reference rate expected to be discontinued because of reference rate reform. ASU 2020-04 is effective for all entities as of March 12, 2020 through December 31, 2022. The expedients and exceptions provided by the amendments do not apply to contract modifications and hedging relationships entered into or evaluated after December 31, 2022, except for hedging transactions as of December 31, 2022, that an entity has elected certain optional expedients for and that are retained through the end of the hedging relationship. The Company is evaluating the potential impact that the adoption of ASU 2020-04 will have on the Company’s consolidated financial statements.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 Rule 12b-2 Update</w:t>
      </w:r>
    </w:p>
    <w:p>
      <w:pPr>
        <w:spacing w:after="0" w:line="120" w:lineRule="exact"/>
        <w:rPr>
          <w:sz w:val="20"/>
          <w:szCs w:val="20"/>
          <w:color w:val="auto"/>
        </w:rPr>
      </w:pPr>
    </w:p>
    <w:p>
      <w:pPr>
        <w:ind w:left="120" w:right="460" w:firstLine="439"/>
        <w:spacing w:after="0" w:line="287" w:lineRule="auto"/>
        <w:rPr>
          <w:sz w:val="20"/>
          <w:szCs w:val="20"/>
          <w:color w:val="auto"/>
        </w:rPr>
      </w:pPr>
      <w:r>
        <w:rPr>
          <w:rFonts w:ascii="Arial" w:cs="Arial" w:eastAsia="Arial" w:hAnsi="Arial"/>
          <w:sz w:val="16"/>
          <w:szCs w:val="16"/>
          <w:color w:val="auto"/>
        </w:rPr>
        <w:t>In March 2020, the SEC adopted a final rule under SEC Release No. 34-88365 (the “Final Rule”), amending the accelerated filer and large accelerated filer definitions in Exchange Act Rule 12b-2. The amendments include a provision under which a BDC will be excluded from the “accelerated filer” and “large accelerated filer” definitions if the BDC has (1) a public float of $75 million or more, but less than $700 million, and</w:t>
      </w:r>
    </w:p>
    <w:p>
      <w:pPr>
        <w:spacing w:after="0" w:line="1" w:lineRule="exact"/>
        <w:rPr>
          <w:sz w:val="20"/>
          <w:szCs w:val="20"/>
          <w:color w:val="auto"/>
        </w:rPr>
      </w:pPr>
    </w:p>
    <w:p>
      <w:pPr>
        <w:ind w:left="120" w:right="60" w:firstLine="9"/>
        <w:spacing w:after="0" w:line="252" w:lineRule="auto"/>
        <w:tabs>
          <w:tab w:leader="none" w:pos="374"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has annual investment income of less than $100 million. In addition, BDCs are subject to the same transition provisions for accelerated filer and large accelerated filer status as other issuers, but instead substituting investment income for revenue. The amendments will reduce the number of issuers required to comply with the auditor attestation on the internal control over financial reporting requirement provided under Section 404(b) of the Sarbanes-Oxley Act of 2002. The Final Rule applies to annual report filings due on or after April 27, 2020. The Company is currently assessing this Final Rule, but believes it will no longer be an accelerated filer.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0" w:lineRule="exact"/>
        <w:rPr>
          <w:sz w:val="20"/>
          <w:szCs w:val="20"/>
          <w:color w:val="auto"/>
        </w:rPr>
      </w:pPr>
    </w:p>
    <w:p>
      <w:pPr>
        <w:ind w:left="120" w:right="40" w:firstLine="439"/>
        <w:spacing w:after="0" w:line="258" w:lineRule="auto"/>
        <w:rPr>
          <w:sz w:val="20"/>
          <w:szCs w:val="20"/>
          <w:color w:val="auto"/>
        </w:rPr>
      </w:pPr>
      <w:r>
        <w:rPr>
          <w:rFonts w:ascii="Arial" w:cs="Arial" w:eastAsia="Arial" w:hAnsi="Arial"/>
          <w:sz w:val="18"/>
          <w:szCs w:val="18"/>
          <w:color w:val="auto"/>
        </w:rPr>
        <w:t>We may be a party to financial instruments with off-balance sheet risk in the normal course of business to meet the financial needs of our portfolio companies. We had off-balance sheet arrangements consisting of outstanding commitments to fund various undrawn revolving loans, other debt investments and capital commitments totaling $4.0 and 4.8 million as of September 30, 2020 and December 31, 2019, respectively. Such outstanding commitments are summarized in the following table (dollars in millions):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7"/>
          </w:tcPr>
          <w:p>
            <w:pPr>
              <w:ind w:left="34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4"/>
                <w:szCs w:val="14"/>
                <w:color w:val="auto"/>
              </w:rPr>
            </w:pPr>
          </w:p>
        </w:tc>
        <w:tc>
          <w:tcPr>
            <w:tcW w:w="226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19"/>
        </w:trPr>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w w:val="92"/>
              </w:rPr>
              <w:t>Portfolio Company - Investment</w:t>
            </w:r>
          </w:p>
        </w:tc>
        <w:tc>
          <w:tcPr>
            <w:tcW w:w="292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Total</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Unfunded</w:t>
            </w:r>
          </w:p>
        </w:tc>
        <w:tc>
          <w:tcPr>
            <w:tcW w:w="5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Total</w:t>
            </w: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Unfunded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980" w:type="dxa"/>
            <w:vAlign w:val="bottom"/>
            <w:tcBorders>
              <w:bottom w:val="single" w:sz="8" w:color="auto"/>
            </w:tcBorders>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Commitment</w:t>
            </w:r>
          </w:p>
        </w:tc>
        <w:tc>
          <w:tcPr>
            <w:tcW w:w="200" w:type="dxa"/>
            <w:vAlign w:val="bottom"/>
          </w:tcPr>
          <w:p>
            <w:pPr>
              <w:spacing w:after="0"/>
              <w:rPr>
                <w:sz w:val="15"/>
                <w:szCs w:val="15"/>
                <w:color w:val="auto"/>
              </w:rPr>
            </w:pPr>
          </w:p>
        </w:tc>
        <w:tc>
          <w:tcPr>
            <w:tcW w:w="140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Commitment</w:t>
            </w:r>
          </w:p>
        </w:tc>
        <w:tc>
          <w:tcPr>
            <w:tcW w:w="13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Commitment</w:t>
            </w:r>
          </w:p>
        </w:tc>
        <w:tc>
          <w:tcPr>
            <w:tcW w:w="10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135"/>
        </w:trPr>
        <w:tc>
          <w:tcPr>
            <w:tcW w:w="490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Combined Systems, Inc. - Revolving Loan</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ind w:left="480"/>
              <w:spacing w:after="0" w:line="135" w:lineRule="exact"/>
              <w:rPr>
                <w:sz w:val="20"/>
                <w:szCs w:val="20"/>
                <w:color w:val="auto"/>
              </w:rPr>
            </w:pPr>
            <w:r>
              <w:rPr>
                <w:rFonts w:ascii="Arial" w:cs="Arial" w:eastAsia="Arial" w:hAnsi="Arial"/>
                <w:sz w:val="14"/>
                <w:szCs w:val="14"/>
                <w:color w:val="auto"/>
                <w:w w:val="81"/>
              </w:rPr>
              <w:t>4.0</w:t>
            </w:r>
          </w:p>
        </w:tc>
        <w:tc>
          <w:tcPr>
            <w:tcW w:w="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ind w:left="540"/>
              <w:spacing w:after="0" w:line="135" w:lineRule="exact"/>
              <w:rPr>
                <w:sz w:val="20"/>
                <w:szCs w:val="20"/>
                <w:color w:val="auto"/>
              </w:rPr>
            </w:pPr>
            <w:r>
              <w:rPr>
                <w:rFonts w:ascii="Arial" w:cs="Arial" w:eastAsia="Arial" w:hAnsi="Arial"/>
                <w:sz w:val="14"/>
                <w:szCs w:val="14"/>
                <w:color w:val="auto"/>
                <w:w w:val="81"/>
              </w:rPr>
              <w:t>0.2</w:t>
            </w:r>
          </w:p>
        </w:tc>
        <w:tc>
          <w:tcPr>
            <w:tcW w:w="5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ind w:left="440"/>
              <w:spacing w:after="0" w:line="13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ind w:left="520"/>
              <w:spacing w:after="0" w:line="13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00" w:type="dxa"/>
            <w:vAlign w:val="bottom"/>
            <w:gridSpan w:val="2"/>
          </w:tcPr>
          <w:p>
            <w:pPr>
              <w:spacing w:after="0" w:line="148" w:lineRule="exact"/>
              <w:rPr>
                <w:sz w:val="20"/>
                <w:szCs w:val="20"/>
                <w:color w:val="auto"/>
              </w:rPr>
            </w:pPr>
            <w:r>
              <w:rPr>
                <w:rFonts w:ascii="Arial" w:cs="Arial" w:eastAsia="Arial" w:hAnsi="Arial"/>
                <w:sz w:val="14"/>
                <w:szCs w:val="14"/>
                <w:color w:val="auto"/>
              </w:rPr>
              <w:t>FDS Avionics Corp. (dba Flight Display Systems) - Revolving Loan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480"/>
              <w:spacing w:after="0" w:line="148" w:lineRule="exact"/>
              <w:rPr>
                <w:sz w:val="20"/>
                <w:szCs w:val="20"/>
                <w:color w:val="auto"/>
              </w:rPr>
            </w:pPr>
            <w:r>
              <w:rPr>
                <w:rFonts w:ascii="Arial" w:cs="Arial" w:eastAsia="Arial" w:hAnsi="Arial"/>
                <w:sz w:val="14"/>
                <w:szCs w:val="14"/>
                <w:color w:val="auto"/>
                <w:w w:val="92"/>
              </w:rPr>
              <w:t>0.2</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ind w:left="500"/>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20" w:type="dxa"/>
            <w:vAlign w:val="bottom"/>
            <w:gridSpan w:val="2"/>
          </w:tcPr>
          <w:p>
            <w:pPr>
              <w:ind w:left="480"/>
              <w:spacing w:after="0" w:line="148" w:lineRule="exact"/>
              <w:rPr>
                <w:sz w:val="20"/>
                <w:szCs w:val="20"/>
                <w:color w:val="auto"/>
              </w:rPr>
            </w:pPr>
            <w:r>
              <w:rPr>
                <w:rFonts w:ascii="Arial" w:cs="Arial" w:eastAsia="Arial" w:hAnsi="Arial"/>
                <w:sz w:val="14"/>
                <w:szCs w:val="14"/>
                <w:color w:val="auto"/>
              </w:rPr>
              <w:t>0.2</w:t>
            </w:r>
          </w:p>
        </w:tc>
        <w:tc>
          <w:tcPr>
            <w:tcW w:w="80" w:type="dxa"/>
            <w:vAlign w:val="bottom"/>
          </w:tcPr>
          <w:p>
            <w:pPr>
              <w:spacing w:after="0"/>
              <w:rPr>
                <w:sz w:val="12"/>
                <w:szCs w:val="12"/>
                <w:color w:val="auto"/>
              </w:rPr>
            </w:pPr>
          </w:p>
        </w:tc>
        <w:tc>
          <w:tcPr>
            <w:tcW w:w="960" w:type="dxa"/>
            <w:vAlign w:val="bottom"/>
            <w:gridSpan w:val="2"/>
          </w:tcPr>
          <w:p>
            <w:pPr>
              <w:ind w:left="52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9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French Transit, LLC - Revolving Loan</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440"/>
              <w:spacing w:after="0" w:line="14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500"/>
              <w:spacing w:after="0" w:line="14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80"/>
              <w:spacing w:after="0" w:line="148"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8"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4900" w:type="dxa"/>
            <w:vAlign w:val="bottom"/>
            <w:gridSpan w:val="2"/>
          </w:tcPr>
          <w:p>
            <w:pPr>
              <w:spacing w:after="0" w:line="148" w:lineRule="exact"/>
              <w:rPr>
                <w:sz w:val="20"/>
                <w:szCs w:val="20"/>
                <w:color w:val="auto"/>
              </w:rPr>
            </w:pPr>
            <w:r>
              <w:rPr>
                <w:rFonts w:ascii="Arial" w:cs="Arial" w:eastAsia="Arial" w:hAnsi="Arial"/>
                <w:sz w:val="14"/>
                <w:szCs w:val="14"/>
                <w:color w:val="auto"/>
              </w:rPr>
              <w:t>Rhino Assembly Company, LLC - Delayed Draw Commitment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480"/>
              <w:spacing w:after="0" w:line="148" w:lineRule="exact"/>
              <w:rPr>
                <w:sz w:val="20"/>
                <w:szCs w:val="20"/>
                <w:color w:val="auto"/>
              </w:rPr>
            </w:pPr>
            <w:r>
              <w:rPr>
                <w:rFonts w:ascii="Arial" w:cs="Arial" w:eastAsia="Arial" w:hAnsi="Arial"/>
                <w:sz w:val="14"/>
                <w:szCs w:val="14"/>
                <w:color w:val="auto"/>
                <w:w w:val="92"/>
              </w:rPr>
              <w:t>0.9</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ind w:left="540"/>
              <w:spacing w:after="0" w:line="148" w:lineRule="exact"/>
              <w:rPr>
                <w:sz w:val="20"/>
                <w:szCs w:val="20"/>
                <w:color w:val="auto"/>
              </w:rPr>
            </w:pPr>
            <w:r>
              <w:rPr>
                <w:rFonts w:ascii="Arial" w:cs="Arial" w:eastAsia="Arial" w:hAnsi="Arial"/>
                <w:sz w:val="14"/>
                <w:szCs w:val="14"/>
                <w:color w:val="auto"/>
              </w:rPr>
              <w:t>0.9</w:t>
            </w:r>
          </w:p>
        </w:tc>
        <w:tc>
          <w:tcPr>
            <w:tcW w:w="160" w:type="dxa"/>
            <w:vAlign w:val="bottom"/>
          </w:tcPr>
          <w:p>
            <w:pPr>
              <w:spacing w:after="0"/>
              <w:rPr>
                <w:sz w:val="12"/>
                <w:szCs w:val="12"/>
                <w:color w:val="auto"/>
              </w:rPr>
            </w:pPr>
          </w:p>
        </w:tc>
        <w:tc>
          <w:tcPr>
            <w:tcW w:w="1220" w:type="dxa"/>
            <w:vAlign w:val="bottom"/>
            <w:gridSpan w:val="2"/>
          </w:tcPr>
          <w:p>
            <w:pPr>
              <w:ind w:left="480"/>
              <w:spacing w:after="0" w:line="148" w:lineRule="exact"/>
              <w:rPr>
                <w:sz w:val="20"/>
                <w:szCs w:val="20"/>
                <w:color w:val="auto"/>
              </w:rPr>
            </w:pPr>
            <w:r>
              <w:rPr>
                <w:rFonts w:ascii="Arial" w:cs="Arial" w:eastAsia="Arial" w:hAnsi="Arial"/>
                <w:sz w:val="14"/>
                <w:szCs w:val="14"/>
                <w:color w:val="auto"/>
              </w:rPr>
              <w:t>0.9</w:t>
            </w:r>
          </w:p>
        </w:tc>
        <w:tc>
          <w:tcPr>
            <w:tcW w:w="80" w:type="dxa"/>
            <w:vAlign w:val="bottom"/>
          </w:tcPr>
          <w:p>
            <w:pPr>
              <w:spacing w:after="0"/>
              <w:rPr>
                <w:sz w:val="12"/>
                <w:szCs w:val="12"/>
                <w:color w:val="auto"/>
              </w:rPr>
            </w:pPr>
          </w:p>
        </w:tc>
        <w:tc>
          <w:tcPr>
            <w:tcW w:w="960" w:type="dxa"/>
            <w:vAlign w:val="bottom"/>
            <w:gridSpan w:val="2"/>
          </w:tcPr>
          <w:p>
            <w:pPr>
              <w:ind w:left="560"/>
              <w:spacing w:after="0" w:line="148"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8"/>
        </w:trPr>
        <w:tc>
          <w:tcPr>
            <w:tcW w:w="49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Safety Products Group, LLC - Common Equity (Units)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480"/>
              <w:spacing w:after="0" w:line="148" w:lineRule="exact"/>
              <w:rPr>
                <w:sz w:val="20"/>
                <w:szCs w:val="20"/>
                <w:color w:val="auto"/>
              </w:rPr>
            </w:pPr>
            <w:r>
              <w:rPr>
                <w:rFonts w:ascii="Arial" w:cs="Arial" w:eastAsia="Arial" w:hAnsi="Arial"/>
                <w:sz w:val="14"/>
                <w:szCs w:val="14"/>
                <w:color w:val="auto"/>
              </w:rPr>
              <w:t xml:space="preserve">2.9 </w:t>
            </w:r>
            <w:r>
              <w:rPr>
                <w:rFonts w:ascii="Arial" w:cs="Arial" w:eastAsia="Arial" w:hAnsi="Arial"/>
                <w:sz w:val="12"/>
                <w:szCs w:val="12"/>
                <w:color w:val="auto"/>
              </w:rPr>
              <w:t>(1)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540"/>
              <w:spacing w:after="0" w:line="148" w:lineRule="exact"/>
              <w:rPr>
                <w:sz w:val="20"/>
                <w:szCs w:val="20"/>
                <w:color w:val="auto"/>
              </w:rPr>
            </w:pPr>
            <w:r>
              <w:rPr>
                <w:rFonts w:ascii="Arial" w:cs="Arial" w:eastAsia="Arial" w:hAnsi="Arial"/>
                <w:sz w:val="14"/>
                <w:szCs w:val="14"/>
                <w:color w:val="auto"/>
              </w:rPr>
              <w:t xml:space="preserve">2.9 </w:t>
            </w: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80"/>
              <w:spacing w:after="0" w:line="148" w:lineRule="exact"/>
              <w:rPr>
                <w:sz w:val="20"/>
                <w:szCs w:val="20"/>
                <w:color w:val="auto"/>
              </w:rPr>
            </w:pPr>
            <w:r>
              <w:rPr>
                <w:rFonts w:ascii="Arial" w:cs="Arial" w:eastAsia="Arial" w:hAnsi="Arial"/>
                <w:sz w:val="14"/>
                <w:szCs w:val="14"/>
                <w:color w:val="auto"/>
              </w:rPr>
              <w:t xml:space="preserve">2.9 </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8" w:lineRule="exact"/>
              <w:rPr>
                <w:sz w:val="20"/>
                <w:szCs w:val="20"/>
                <w:color w:val="auto"/>
              </w:rPr>
            </w:pPr>
            <w:r>
              <w:rPr>
                <w:rFonts w:ascii="Arial" w:cs="Arial" w:eastAsia="Arial" w:hAnsi="Arial"/>
                <w:sz w:val="14"/>
                <w:szCs w:val="14"/>
                <w:color w:val="auto"/>
                <w:w w:val="99"/>
              </w:rPr>
              <w:t xml:space="preserve">2.9 </w:t>
            </w:r>
            <w:r>
              <w:rPr>
                <w:rFonts w:ascii="Arial" w:cs="Arial" w:eastAsia="Arial" w:hAnsi="Arial"/>
                <w:sz w:val="12"/>
                <w:szCs w:val="12"/>
                <w:color w:val="auto"/>
                <w:w w:val="99"/>
              </w:rPr>
              <w:t>(1)</w:t>
            </w:r>
          </w:p>
        </w:tc>
        <w:tc>
          <w:tcPr>
            <w:tcW w:w="0" w:type="dxa"/>
            <w:vAlign w:val="bottom"/>
          </w:tcPr>
          <w:p>
            <w:pPr>
              <w:spacing w:after="0"/>
              <w:rPr>
                <w:sz w:val="1"/>
                <w:szCs w:val="1"/>
                <w:color w:val="auto"/>
              </w:rPr>
            </w:pPr>
          </w:p>
        </w:tc>
      </w:tr>
      <w:tr>
        <w:trPr>
          <w:trHeight w:val="155"/>
        </w:trPr>
        <w:tc>
          <w:tcPr>
            <w:tcW w:w="490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ind w:left="480"/>
              <w:spacing w:after="0" w:line="155" w:lineRule="exact"/>
              <w:rPr>
                <w:sz w:val="20"/>
                <w:szCs w:val="20"/>
                <w:color w:val="auto"/>
              </w:rPr>
            </w:pPr>
            <w:r>
              <w:rPr>
                <w:rFonts w:ascii="Arial" w:cs="Arial" w:eastAsia="Arial" w:hAnsi="Arial"/>
                <w:sz w:val="14"/>
                <w:szCs w:val="14"/>
                <w:color w:val="auto"/>
                <w:w w:val="81"/>
              </w:rPr>
              <w:t>8.0</w:t>
            </w:r>
          </w:p>
        </w:tc>
        <w:tc>
          <w:tcPr>
            <w:tcW w:w="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ind w:left="540"/>
              <w:spacing w:after="0" w:line="155" w:lineRule="exact"/>
              <w:rPr>
                <w:sz w:val="20"/>
                <w:szCs w:val="20"/>
                <w:color w:val="auto"/>
              </w:rPr>
            </w:pPr>
            <w:r>
              <w:rPr>
                <w:rFonts w:ascii="Arial" w:cs="Arial" w:eastAsia="Arial" w:hAnsi="Arial"/>
                <w:sz w:val="14"/>
                <w:szCs w:val="14"/>
                <w:color w:val="auto"/>
                <w:w w:val="81"/>
              </w:rPr>
              <w:t>4.0</w:t>
            </w:r>
          </w:p>
        </w:tc>
        <w:tc>
          <w:tcPr>
            <w:tcW w:w="5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ind w:left="480"/>
              <w:spacing w:after="0" w:line="155" w:lineRule="exact"/>
              <w:rPr>
                <w:sz w:val="20"/>
                <w:szCs w:val="20"/>
                <w:color w:val="auto"/>
              </w:rPr>
            </w:pPr>
            <w:r>
              <w:rPr>
                <w:rFonts w:ascii="Arial" w:cs="Arial" w:eastAsia="Arial" w:hAnsi="Arial"/>
                <w:sz w:val="14"/>
                <w:szCs w:val="14"/>
                <w:color w:val="auto"/>
                <w:w w:val="81"/>
              </w:rPr>
              <w:t>5.0</w:t>
            </w:r>
          </w:p>
        </w:tc>
        <w:tc>
          <w:tcPr>
            <w:tcW w:w="5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ind w:left="560"/>
              <w:spacing w:after="0" w:line="155" w:lineRule="exact"/>
              <w:rPr>
                <w:sz w:val="20"/>
                <w:szCs w:val="20"/>
                <w:color w:val="auto"/>
              </w:rPr>
            </w:pPr>
            <w:r>
              <w:rPr>
                <w:rFonts w:ascii="Arial" w:cs="Arial" w:eastAsia="Arial" w:hAnsi="Arial"/>
                <w:sz w:val="14"/>
                <w:szCs w:val="14"/>
                <w:color w:val="auto"/>
                <w:w w:val="81"/>
              </w:rPr>
              <w:t>4.8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560" w:right="320" w:hanging="431"/>
        <w:spacing w:after="0" w:line="276"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The commitment represents our maximum potential liability related to certain guaranteed obligations stemming from the prior sale of the portfolio company’s underlying operations.</w:t>
      </w:r>
    </w:p>
    <w:p>
      <w:pPr>
        <w:spacing w:after="0" w:line="17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Additional detail for each of the commitments above is provided in our consolidated schedules of investments.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0" w:lineRule="exact"/>
        <w:rPr>
          <w:sz w:val="20"/>
          <w:szCs w:val="20"/>
          <w:color w:val="auto"/>
        </w:rPr>
      </w:pPr>
    </w:p>
    <w:p>
      <w:pPr>
        <w:ind w:left="1540" w:right="20" w:hanging="320"/>
        <w:spacing w:after="0" w:line="258" w:lineRule="auto"/>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entered into the Investment Advisory Agreement with Fidus Investment Advisors as our investment advisor. Pursuant to the agreement, the Investment Advisor manages our day-to-day operating and investing activities. We pay the Investment Advisor a fee for its services under the Investment Advisory Agreement consisting of two components — a base management fee and an incentive fee. See Note 5 to our consolidated financial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8"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540" w:right="20" w:hanging="320"/>
        <w:spacing w:after="0" w:line="255" w:lineRule="auto"/>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Edward H. Ross, our Chairman and Chief Executive Officer, and Thomas C. Lauer, our President, are managers of Fidus Investment Advisors. In May 2015, Fidus Investment Advisors entered into a combination with Fidus Partners, LLC (the “Combination”), by which members of Fidus Investment Advisors and Fidus Partners, LLC (“Partners”) contributed all of their respective membership interest in Fidus Investment Advisors and Partners to a newly formed limited liability company, Fidus Group Holdings, LLC (“Holdings”). As a result, Fidus Investment Advisors is a wholly-owned subsidiary of Holdings, which is a limited liability company organized under the laws of Delaware.</w:t>
      </w:r>
    </w:p>
    <w:p>
      <w:pPr>
        <w:spacing w:after="0" w:line="94" w:lineRule="exact"/>
        <w:rPr>
          <w:rFonts w:ascii="Arial" w:cs="Arial" w:eastAsia="Arial" w:hAnsi="Arial"/>
          <w:sz w:val="18"/>
          <w:szCs w:val="18"/>
          <w:color w:val="auto"/>
        </w:rPr>
      </w:pPr>
    </w:p>
    <w:p>
      <w:pPr>
        <w:ind w:left="1540" w:right="820" w:hanging="320"/>
        <w:spacing w:after="0" w:line="341" w:lineRule="auto"/>
        <w:tabs>
          <w:tab w:leader="none" w:pos="1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entered into the Administration Agreement with Fidus Investment Advisors to provide us with the office facilities and administrative services necessary to conduct day-to-day operations. See Note 5 to our consolidated financial statements.</w:t>
      </w:r>
    </w:p>
    <w:p>
      <w:pPr>
        <w:spacing w:after="0" w:line="29" w:lineRule="exact"/>
        <w:rPr>
          <w:rFonts w:ascii="Arial" w:cs="Arial" w:eastAsia="Arial" w:hAnsi="Arial"/>
          <w:sz w:val="16"/>
          <w:szCs w:val="16"/>
          <w:color w:val="auto"/>
        </w:rPr>
      </w:pPr>
    </w:p>
    <w:p>
      <w:pPr>
        <w:ind w:left="1540" w:right="1040" w:hanging="320"/>
        <w:spacing w:after="0" w:line="276" w:lineRule="auto"/>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entered into a license agreement with Fidus Partners, LLC, pursuant to which Fidus Partners, LLC has granted us a non-exclusive, royalty-free license to use the name “Fidus.”</w:t>
      </w:r>
    </w:p>
    <w:p>
      <w:pPr>
        <w:spacing w:after="0" w:line="76" w:lineRule="exact"/>
        <w:rPr>
          <w:rFonts w:ascii="Arial" w:cs="Arial" w:eastAsia="Arial" w:hAnsi="Arial"/>
          <w:sz w:val="18"/>
          <w:szCs w:val="18"/>
          <w:color w:val="auto"/>
        </w:rPr>
      </w:pPr>
    </w:p>
    <w:p>
      <w:pPr>
        <w:ind w:left="1540" w:right="40" w:hanging="320"/>
        <w:spacing w:after="0" w:line="255" w:lineRule="auto"/>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February 25, 2020, the Company entered into a Limited Partnership Agreement (the “Agreement”) with Fidus Equity Fund I, L.P. (“FEF I”). Pursuant to the Agreement, we will serve as the General Partner of FEF I. Owned by third-party investors, FEF I was formed to purchase 50% of select equity investments from us. On February 25, 2020, we sold 50% of our equity investments in 20 portfolio companies to FEF I and received net proceeds of $35.9 million, resulting in a realized gain, net of estimated taxes, of approximately $20.4 million. We will not receive any fees from FEF I for any services provided in our capacity as the General Partner of FEF I.</w:t>
      </w:r>
    </w:p>
    <w:p>
      <w:pPr>
        <w:spacing w:after="0" w:line="94" w:lineRule="exact"/>
        <w:rPr>
          <w:rFonts w:ascii="Arial" w:cs="Arial" w:eastAsia="Arial" w:hAnsi="Arial"/>
          <w:sz w:val="18"/>
          <w:szCs w:val="18"/>
          <w:color w:val="auto"/>
        </w:rPr>
      </w:pPr>
    </w:p>
    <w:p>
      <w:pPr>
        <w:ind w:left="1540" w:right="200" w:hanging="320"/>
        <w:spacing w:after="0" w:line="263" w:lineRule="auto"/>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Investment Advisor, in consultation with the Board, agreed to voluntarily waive $0.4 of the income incentive fee for the nine months ended September 30, 2020. There was no income incentive fee waiver for the three months ended September 30, 2020 and the three and nine months ended September 30, 2019.</w:t>
      </w:r>
    </w:p>
    <w:p>
      <w:pPr>
        <w:spacing w:after="0" w:line="182" w:lineRule="exact"/>
        <w:rPr>
          <w:sz w:val="20"/>
          <w:szCs w:val="20"/>
          <w:color w:val="auto"/>
        </w:rPr>
      </w:pPr>
    </w:p>
    <w:p>
      <w:pPr>
        <w:ind w:left="120" w:right="60" w:firstLine="439"/>
        <w:spacing w:after="0" w:line="258" w:lineRule="auto"/>
        <w:rPr>
          <w:sz w:val="20"/>
          <w:szCs w:val="20"/>
          <w:color w:val="auto"/>
        </w:rPr>
      </w:pPr>
      <w:r>
        <w:rPr>
          <w:rFonts w:ascii="Arial" w:cs="Arial" w:eastAsia="Arial" w:hAnsi="Arial"/>
          <w:sz w:val="18"/>
          <w:szCs w:val="18"/>
          <w:color w:val="auto"/>
        </w:rPr>
        <w:t>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separate exemptive relief from the SEC, any SBA debentures issued by Fund II and Fund III are not considered senior securities for purposes of the asset coverage requirements.</w:t>
      </w:r>
    </w:p>
    <w:p>
      <w:pPr>
        <w:spacing w:after="0" w:line="187" w:lineRule="exact"/>
        <w:rPr>
          <w:sz w:val="20"/>
          <w:szCs w:val="20"/>
          <w:color w:val="auto"/>
        </w:rPr>
      </w:pPr>
    </w:p>
    <w:p>
      <w:pPr>
        <w:ind w:left="120" w:firstLine="439"/>
        <w:spacing w:after="0" w:line="288" w:lineRule="auto"/>
        <w:rPr>
          <w:sz w:val="20"/>
          <w:szCs w:val="20"/>
          <w:color w:val="auto"/>
        </w:rPr>
      </w:pPr>
      <w:r>
        <w:rPr>
          <w:rFonts w:ascii="Arial" w:cs="Arial" w:eastAsia="Arial" w:hAnsi="Arial"/>
          <w:sz w:val="16"/>
          <w:szCs w:val="16"/>
          <w:color w:val="auto"/>
        </w:rPr>
        <w:t>While we may co-invest with investment entities managed by the Investment Advisor or its affiliates, to the extent permitted by the 1940 Act and the rules and regulations thereunder, the 1940 Act imposes significant limits on co-investment. The SEC staff has granted us relief sought in an exemptive application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or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w:t>
      </w:r>
    </w:p>
    <w:p>
      <w:pPr>
        <w:spacing w:after="0" w:line="168" w:lineRule="exact"/>
        <w:rPr>
          <w:sz w:val="20"/>
          <w:szCs w:val="20"/>
          <w:color w:val="auto"/>
        </w:rPr>
      </w:pPr>
    </w:p>
    <w:p>
      <w:pPr>
        <w:ind w:left="120" w:right="100" w:firstLine="439"/>
        <w:spacing w:after="0" w:line="296" w:lineRule="auto"/>
        <w:rPr>
          <w:sz w:val="20"/>
          <w:szCs w:val="20"/>
          <w:color w:val="auto"/>
        </w:rPr>
      </w:pPr>
      <w:r>
        <w:rPr>
          <w:rFonts w:ascii="Arial" w:cs="Arial" w:eastAsia="Arial" w:hAnsi="Arial"/>
          <w:sz w:val="16"/>
          <w:szCs w:val="16"/>
          <w:color w:val="auto"/>
        </w:rPr>
        <w:t>In addition, we and the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Investment Advisers Act of 1940, as amended, and in accordance with Rule 17j-1(c) under the 1940 Act. We have also adopted a code of business conduct that is applicable to all officers, directors and employees of Fidus and the Investment Advisor. Our officers and directors also remain subject to the duties imposed by both the 1940 Act and the Maryland General Corporation Law.</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0" w:lineRule="exact"/>
        <w:rPr>
          <w:sz w:val="20"/>
          <w:szCs w:val="20"/>
          <w:color w:val="auto"/>
        </w:rPr>
      </w:pPr>
    </w:p>
    <w:p>
      <w:pPr>
        <w:jc w:val="both"/>
        <w:ind w:left="120" w:right="340" w:firstLine="439"/>
        <w:spacing w:after="0" w:line="263" w:lineRule="auto"/>
        <w:rPr>
          <w:sz w:val="20"/>
          <w:szCs w:val="20"/>
          <w:color w:val="auto"/>
        </w:rPr>
      </w:pPr>
      <w:r>
        <w:rPr>
          <w:rFonts w:ascii="Arial" w:cs="Arial" w:eastAsia="Arial" w:hAnsi="Arial"/>
          <w:sz w:val="18"/>
          <w:szCs w:val="18"/>
          <w:color w:val="auto"/>
        </w:rPr>
        <w:t>On October 1, 2020, we exited our debt and equity investments in Pugh Lubricants, LLC. We received payment in full of $26.6 million on our subordinated debt investment, which includes a prepayment fee. We received a distribution on our common equity investment for a realized gain of approximately $0.5 million.</w:t>
      </w:r>
    </w:p>
    <w:p>
      <w:pPr>
        <w:spacing w:after="0" w:line="182" w:lineRule="exact"/>
        <w:rPr>
          <w:sz w:val="20"/>
          <w:szCs w:val="20"/>
          <w:color w:val="auto"/>
        </w:rPr>
      </w:pPr>
    </w:p>
    <w:p>
      <w:pPr>
        <w:ind w:left="120" w:right="60" w:firstLine="439"/>
        <w:spacing w:after="0" w:line="263" w:lineRule="auto"/>
        <w:rPr>
          <w:sz w:val="20"/>
          <w:szCs w:val="20"/>
          <w:color w:val="auto"/>
        </w:rPr>
      </w:pPr>
      <w:r>
        <w:rPr>
          <w:rFonts w:ascii="Arial" w:cs="Arial" w:eastAsia="Arial" w:hAnsi="Arial"/>
          <w:sz w:val="18"/>
          <w:szCs w:val="18"/>
          <w:color w:val="auto"/>
        </w:rPr>
        <w:t>On October 26, 2020, our Board declared a regular quarterly dividend of $0.30 per share payable on December 18, 2020 to stockholders of record as of December 4, 2020. In addition, our Board of Directors declared a supplemental dividend of $0.04 per share payable December 18, 2020 to stockholders of record as of December 4, 2020.</w:t>
      </w:r>
    </w:p>
    <w:p>
      <w:pPr>
        <w:spacing w:after="0" w:line="182" w:lineRule="exact"/>
        <w:rPr>
          <w:sz w:val="20"/>
          <w:szCs w:val="20"/>
          <w:color w:val="auto"/>
        </w:rPr>
      </w:pPr>
    </w:p>
    <w:p>
      <w:pPr>
        <w:ind w:left="120" w:right="340" w:firstLine="439"/>
        <w:spacing w:after="0" w:line="276" w:lineRule="auto"/>
        <w:rPr>
          <w:sz w:val="20"/>
          <w:szCs w:val="20"/>
          <w:color w:val="auto"/>
        </w:rPr>
      </w:pPr>
      <w:r>
        <w:rPr>
          <w:rFonts w:ascii="Arial" w:cs="Arial" w:eastAsia="Arial" w:hAnsi="Arial"/>
          <w:sz w:val="18"/>
          <w:szCs w:val="18"/>
          <w:color w:val="auto"/>
        </w:rPr>
        <w:t>On October 28, 2020, we invested $6.0 million in second lien debt, which was a partial funding of a $12.0 million note commitment, and $1.5 million common equity in a leading regional distributor of pool equipment and supplies.</w:t>
      </w:r>
    </w:p>
    <w:p>
      <w:pPr>
        <w:spacing w:after="0" w:line="170" w:lineRule="exact"/>
        <w:rPr>
          <w:sz w:val="20"/>
          <w:szCs w:val="20"/>
          <w:color w:val="auto"/>
        </w:rPr>
      </w:pPr>
    </w:p>
    <w:p>
      <w:pPr>
        <w:ind w:left="120" w:right="40" w:firstLine="439"/>
        <w:spacing w:after="0" w:line="255" w:lineRule="auto"/>
        <w:rPr>
          <w:sz w:val="20"/>
          <w:szCs w:val="20"/>
          <w:color w:val="auto"/>
        </w:rPr>
      </w:pPr>
      <w:r>
        <w:rPr>
          <w:rFonts w:ascii="Arial" w:cs="Arial" w:eastAsia="Arial" w:hAnsi="Arial"/>
          <w:sz w:val="18"/>
          <w:szCs w:val="18"/>
          <w:color w:val="auto"/>
        </w:rPr>
        <w:t>Subsequent to September 30, 2020, the global outbreak of the COVID-19 pandemic, and the related effect on the U.S. and global economies, has continued to have adverse consequences for the business operations of some of the Company’s portfolio companies. The ultimate economic fallout from the pandemic, and the long-term impact on economies, markets, industries and individual issuers, remain uncertain. The operational and financial performance of the issuers of securities in which the Company invests depends on future developments, including the duration and spread of the outbreak, and such uncertainty may in turn adversely affect the value and liquidity of the Company’s investments and negatively impact the Company’s performance.</w:t>
      </w:r>
    </w:p>
    <w:p>
      <w:pPr>
        <w:sectPr>
          <w:pgSz w:w="11900" w:h="16838" w:orient="portrait"/>
          <w:cols w:equalWidth="0" w:num="1">
            <w:col w:w="11120"/>
          </w:cols>
          <w:pgMar w:left="320" w:top="459" w:right="459" w:bottom="1440" w:gutter="0" w:footer="0" w:header="0"/>
        </w:sectPr>
      </w:pP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120"/>
          </w:cols>
          <w:pgMar w:left="320" w:top="459" w:right="45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0" w:lineRule="exact"/>
        <w:rPr>
          <w:sz w:val="20"/>
          <w:szCs w:val="20"/>
          <w:color w:val="auto"/>
        </w:rPr>
      </w:pPr>
    </w:p>
    <w:p>
      <w:pPr>
        <w:ind w:left="120" w:right="160" w:firstLine="439"/>
        <w:spacing w:after="0" w:line="296" w:lineRule="auto"/>
        <w:rPr>
          <w:sz w:val="20"/>
          <w:szCs w:val="20"/>
          <w:color w:val="auto"/>
        </w:rPr>
      </w:pPr>
      <w:r>
        <w:rPr>
          <w:rFonts w:ascii="Arial" w:cs="Arial" w:eastAsia="Arial" w:hAnsi="Arial"/>
          <w:sz w:val="16"/>
          <w:szCs w:val="16"/>
          <w:color w:val="auto"/>
        </w:rPr>
        <w:t>We are subject to financial market risks, including changes in interest rates. Changes in interest rates affect both our cost of funding and the valuation of our investment portfolio. Our risk management systems and procedures are designed to identify and analyze our risk, to set appropriate policies and limits and to continually monitor these risks and limits by means of reliable administrative and information systems and other policies and programs. In addition, U.S. and global capital markets and credit markets have experienced a higher level of stress due to the global COVID-19 pandemic, which has resulted in an increase in the level of volatility across such markets and a general decline in value of the securities held by us.</w:t>
      </w:r>
    </w:p>
    <w:p>
      <w:pPr>
        <w:spacing w:after="0" w:line="158" w:lineRule="exact"/>
        <w:rPr>
          <w:sz w:val="20"/>
          <w:szCs w:val="20"/>
          <w:color w:val="auto"/>
        </w:rPr>
      </w:pPr>
    </w:p>
    <w:p>
      <w:pPr>
        <w:ind w:left="120" w:firstLine="439"/>
        <w:spacing w:after="0" w:line="285" w:lineRule="auto"/>
        <w:rPr>
          <w:sz w:val="20"/>
          <w:szCs w:val="20"/>
          <w:color w:val="auto"/>
        </w:rPr>
      </w:pPr>
      <w:r>
        <w:rPr>
          <w:rFonts w:ascii="Arial" w:cs="Arial" w:eastAsia="Arial" w:hAnsi="Arial"/>
          <w:sz w:val="16"/>
          <w:szCs w:val="16"/>
          <w:color w:val="auto"/>
        </w:rPr>
        <w:t>In the future, our investment income may also be affected by changes in various interest rates, including LIBOR and prime rates, to the extent of any debt investments that include floating interest rates. In connection with the COVID-19 pandemic, the U.S. Federal Reserve and other central banks have reduced certain interest rates and LIBOR has decreased. A prolonged reduction in interest rates will reduce our gross investment income and could result in a decrease in our net investment income if such decreases in LIBOR are not offset by a corresponding increase in the spread over LIBOR that we earn on any portfolio investments, a decrease in in our operating expenses, including with respect to our income incentive fee, or a decrease in the interest rate of our floating interest rate liabilities tied to LIBOR. As of September 30, 2020 and December 31, 2019, 19 and 17 portfolio company’s debt investments, respectively, bore interest at a variable rate, which represented $203.0 million and $181.3 million of our portfolio on a fair value basis, respectively, and the remainder of our debt portfolio was comprised entirely of fixed rate investments. Our pooled SBA debentures and our Public Notes bear interest at fixed rates. Our Credit Facility bears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 (C) three month LIBOR plus 1.0%, and (D) zero.</w:t>
      </w:r>
    </w:p>
    <w:p>
      <w:pPr>
        <w:spacing w:after="0" w:line="174" w:lineRule="exact"/>
        <w:rPr>
          <w:sz w:val="20"/>
          <w:szCs w:val="20"/>
          <w:color w:val="auto"/>
        </w:rPr>
      </w:pPr>
    </w:p>
    <w:p>
      <w:pPr>
        <w:ind w:left="120" w:right="80" w:firstLine="439"/>
        <w:spacing w:after="0" w:line="256" w:lineRule="auto"/>
        <w:rPr>
          <w:sz w:val="20"/>
          <w:szCs w:val="20"/>
          <w:color w:val="auto"/>
        </w:rPr>
      </w:pPr>
      <w:r>
        <w:rPr>
          <w:rFonts w:ascii="Arial" w:cs="Arial" w:eastAsia="Arial" w:hAnsi="Arial"/>
          <w:sz w:val="18"/>
          <w:szCs w:val="18"/>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89" w:lineRule="exact"/>
        <w:rPr>
          <w:sz w:val="20"/>
          <w:szCs w:val="20"/>
          <w:color w:val="auto"/>
        </w:rPr>
      </w:pPr>
    </w:p>
    <w:p>
      <w:pPr>
        <w:ind w:left="120" w:right="120" w:firstLine="439"/>
        <w:spacing w:after="0" w:line="341" w:lineRule="auto"/>
        <w:rPr>
          <w:sz w:val="20"/>
          <w:szCs w:val="20"/>
          <w:color w:val="auto"/>
        </w:rPr>
      </w:pPr>
      <w:r>
        <w:rPr>
          <w:rFonts w:ascii="Arial" w:cs="Arial" w:eastAsia="Arial" w:hAnsi="Arial"/>
          <w:sz w:val="16"/>
          <w:szCs w:val="16"/>
          <w:color w:val="auto"/>
        </w:rPr>
        <w:t>The following table shows the approximate annualized increase or decrease in the components of net investment income due to hypothetical base rate changes in interest rates, assuming no changes in our investments and borrowings as of September 30, 2020 (dollars in millions):</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5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Interest Income</w:t>
            </w:r>
          </w:p>
        </w:tc>
        <w:tc>
          <w:tcPr>
            <w:tcW w:w="13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0"/>
              </w:rPr>
              <w:t>Interest Expense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740"/>
              <w:spacing w:after="0" w:line="144" w:lineRule="exact"/>
              <w:rPr>
                <w:sz w:val="20"/>
                <w:szCs w:val="20"/>
                <w:color w:val="auto"/>
              </w:rPr>
            </w:pPr>
            <w:r>
              <w:rPr>
                <w:rFonts w:ascii="Arial" w:cs="Arial" w:eastAsia="Arial" w:hAnsi="Arial"/>
                <w:sz w:val="14"/>
                <w:szCs w:val="14"/>
                <w:b w:val="1"/>
                <w:bCs w:val="1"/>
                <w:color w:val="auto"/>
                <w:w w:val="91"/>
              </w:rPr>
              <w:t>Increase</w:t>
            </w:r>
          </w:p>
        </w:tc>
        <w:tc>
          <w:tcPr>
            <w:tcW w:w="13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Increase</w:t>
            </w:r>
          </w:p>
        </w:tc>
        <w:tc>
          <w:tcPr>
            <w:tcW w:w="28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Investment</w:t>
            </w:r>
          </w:p>
        </w:tc>
        <w:tc>
          <w:tcPr>
            <w:tcW w:w="0" w:type="dxa"/>
            <w:vAlign w:val="bottom"/>
          </w:tcPr>
          <w:p>
            <w:pPr>
              <w:spacing w:after="0"/>
              <w:rPr>
                <w:sz w:val="1"/>
                <w:szCs w:val="1"/>
                <w:color w:val="auto"/>
              </w:rPr>
            </w:pPr>
          </w:p>
        </w:tc>
      </w:tr>
      <w:tr>
        <w:trPr>
          <w:trHeight w:val="148"/>
        </w:trPr>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w w:val="88"/>
              </w:rPr>
              <w:t>Basis Point Increase (Decrease)</w:t>
            </w:r>
          </w:p>
        </w:tc>
        <w:tc>
          <w:tcPr>
            <w:tcW w:w="2560" w:type="dxa"/>
            <w:vAlign w:val="bottom"/>
          </w:tcPr>
          <w:p>
            <w:pPr>
              <w:spacing w:after="0"/>
              <w:rPr>
                <w:sz w:val="12"/>
                <w:szCs w:val="12"/>
                <w:color w:val="auto"/>
              </w:rPr>
            </w:pPr>
          </w:p>
        </w:tc>
        <w:tc>
          <w:tcPr>
            <w:tcW w:w="1560" w:type="dxa"/>
            <w:vAlign w:val="bottom"/>
            <w:gridSpan w:val="3"/>
          </w:tcPr>
          <w:p>
            <w:pPr>
              <w:jc w:val="center"/>
              <w:ind w:right="620"/>
              <w:spacing w:after="0" w:line="148" w:lineRule="exact"/>
              <w:rPr>
                <w:sz w:val="20"/>
                <w:szCs w:val="20"/>
                <w:color w:val="auto"/>
              </w:rPr>
            </w:pPr>
            <w:r>
              <w:rPr>
                <w:rFonts w:ascii="Arial" w:cs="Arial" w:eastAsia="Arial" w:hAnsi="Arial"/>
                <w:sz w:val="14"/>
                <w:szCs w:val="14"/>
                <w:b w:val="1"/>
                <w:bCs w:val="1"/>
                <w:color w:val="auto"/>
                <w:w w:val="90"/>
              </w:rPr>
              <w:t xml:space="preserve">(Decrease) </w:t>
            </w:r>
            <w:r>
              <w:rPr>
                <w:rFonts w:ascii="Arial" w:cs="Arial" w:eastAsia="Arial" w:hAnsi="Arial"/>
                <w:sz w:val="12"/>
                <w:szCs w:val="12"/>
                <w:b w:val="1"/>
                <w:bCs w:val="1"/>
                <w:color w:val="auto"/>
                <w:w w:val="90"/>
              </w:rPr>
              <w:t>(1)</w:t>
            </w:r>
          </w:p>
        </w:tc>
        <w:tc>
          <w:tcPr>
            <w:tcW w:w="140" w:type="dxa"/>
            <w:vAlign w:val="bottom"/>
          </w:tcPr>
          <w:p>
            <w:pPr>
              <w:spacing w:after="0"/>
              <w:rPr>
                <w:sz w:val="12"/>
                <w:szCs w:val="12"/>
                <w:color w:val="auto"/>
              </w:rPr>
            </w:pPr>
          </w:p>
        </w:tc>
        <w:tc>
          <w:tcPr>
            <w:tcW w:w="120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1"/>
              </w:rPr>
              <w:t>Increase</w:t>
            </w:r>
          </w:p>
        </w:tc>
        <w:tc>
          <w:tcPr>
            <w:tcW w:w="3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900" w:type="dxa"/>
            <w:vAlign w:val="bottom"/>
            <w:tcBorders>
              <w:bottom w:val="single" w:sz="8" w:color="auto"/>
            </w:tcBorders>
            <w:vMerge w:val="continue"/>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74"/>
              <w:spacing w:after="0"/>
              <w:rPr>
                <w:sz w:val="20"/>
                <w:szCs w:val="20"/>
                <w:color w:val="auto"/>
              </w:rPr>
            </w:pPr>
            <w:r>
              <w:rPr>
                <w:rFonts w:ascii="Arial" w:cs="Arial" w:eastAsia="Arial" w:hAnsi="Arial"/>
                <w:sz w:val="12"/>
                <w:szCs w:val="12"/>
                <w:b w:val="1"/>
                <w:bCs w:val="1"/>
                <w:color w:val="auto"/>
                <w:w w:val="95"/>
              </w:rPr>
              <w:t>(2)</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9"/>
              </w:rPr>
              <w:t>(Decrease)</w:t>
            </w:r>
          </w:p>
        </w:tc>
        <w:tc>
          <w:tcPr>
            <w:tcW w:w="300" w:type="dxa"/>
            <w:vAlign w:val="bottom"/>
          </w:tcPr>
          <w:p>
            <w:pPr>
              <w:spacing w:after="0"/>
              <w:rPr>
                <w:sz w:val="12"/>
                <w:szCs w:val="12"/>
                <w:color w:val="auto"/>
              </w:rPr>
            </w:pPr>
          </w:p>
        </w:tc>
        <w:tc>
          <w:tcPr>
            <w:tcW w:w="1100" w:type="dxa"/>
            <w:vAlign w:val="bottom"/>
            <w:gridSpan w:val="3"/>
          </w:tcPr>
          <w:p>
            <w:pPr>
              <w:jc w:val="right"/>
              <w:ind w:right="400"/>
              <w:spacing w:after="0" w:line="148" w:lineRule="exact"/>
              <w:rPr>
                <w:sz w:val="20"/>
                <w:szCs w:val="20"/>
                <w:color w:val="auto"/>
              </w:rPr>
            </w:pPr>
            <w:r>
              <w:rPr>
                <w:rFonts w:ascii="Arial" w:cs="Arial" w:eastAsia="Arial" w:hAnsi="Arial"/>
                <w:sz w:val="14"/>
                <w:szCs w:val="14"/>
                <w:b w:val="1"/>
                <w:bCs w:val="1"/>
                <w:color w:val="auto"/>
                <w:w w:val="94"/>
              </w:rPr>
              <w:t>(Decrease)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7"/>
              </w:rPr>
              <w:t xml:space="preserve">Income </w:t>
            </w:r>
            <w:r>
              <w:rPr>
                <w:rFonts w:ascii="Arial" w:cs="Arial" w:eastAsia="Arial" w:hAnsi="Arial"/>
                <w:sz w:val="12"/>
                <w:szCs w:val="12"/>
                <w:b w:val="1"/>
                <w:bCs w:val="1"/>
                <w:color w:val="auto"/>
                <w:w w:val="97"/>
              </w:rPr>
              <w:t>(3)</w:t>
            </w:r>
          </w:p>
        </w:tc>
        <w:tc>
          <w:tcPr>
            <w:tcW w:w="0" w:type="dxa"/>
            <w:vAlign w:val="bottom"/>
          </w:tcPr>
          <w:p>
            <w:pPr>
              <w:spacing w:after="0"/>
              <w:rPr>
                <w:sz w:val="1"/>
                <w:szCs w:val="1"/>
                <w:color w:val="auto"/>
              </w:rPr>
            </w:pPr>
          </w:p>
        </w:tc>
      </w:tr>
      <w:tr>
        <w:trPr>
          <w:trHeight w:val="20"/>
        </w:trPr>
        <w:tc>
          <w:tcPr>
            <w:tcW w:w="1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(200)</w:t>
            </w:r>
          </w:p>
        </w:tc>
        <w:tc>
          <w:tcPr>
            <w:tcW w:w="25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900" w:type="dxa"/>
            <w:vAlign w:val="bottom"/>
            <w:vMerge w:val="continue"/>
            <w:shd w:val="clear" w:color="auto" w:fill="CCEEFF"/>
          </w:tcPr>
          <w:p>
            <w:pPr>
              <w:spacing w:after="0"/>
              <w:rPr>
                <w:sz w:val="17"/>
                <w:szCs w:val="17"/>
                <w:color w:val="auto"/>
              </w:rPr>
            </w:pPr>
          </w:p>
        </w:tc>
        <w:tc>
          <w:tcPr>
            <w:tcW w:w="25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(0.1)</w:t>
            </w:r>
          </w:p>
        </w:tc>
        <w:tc>
          <w:tcPr>
            <w:tcW w:w="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1900" w:type="dxa"/>
            <w:vAlign w:val="bottom"/>
          </w:tcPr>
          <w:p>
            <w:pPr>
              <w:spacing w:after="0"/>
              <w:rPr>
                <w:sz w:val="20"/>
                <w:szCs w:val="20"/>
                <w:color w:val="auto"/>
              </w:rPr>
            </w:pPr>
            <w:r>
              <w:rPr>
                <w:rFonts w:ascii="Arial" w:cs="Arial" w:eastAsia="Arial" w:hAnsi="Arial"/>
                <w:sz w:val="18"/>
                <w:szCs w:val="18"/>
                <w:color w:val="auto"/>
              </w:rPr>
              <w:t>(150)</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1900" w:type="dxa"/>
            <w:vAlign w:val="bottom"/>
          </w:tcPr>
          <w:p>
            <w:pPr>
              <w:spacing w:after="0"/>
              <w:rPr>
                <w:sz w:val="20"/>
                <w:szCs w:val="20"/>
                <w:color w:val="auto"/>
              </w:rPr>
            </w:pPr>
            <w:r>
              <w:rPr>
                <w:rFonts w:ascii="Arial" w:cs="Arial" w:eastAsia="Arial" w:hAnsi="Arial"/>
                <w:sz w:val="18"/>
                <w:szCs w:val="18"/>
                <w:color w:val="auto"/>
              </w:rPr>
              <w:t>(50)</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50</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1900" w:type="dxa"/>
            <w:vAlign w:val="bottom"/>
          </w:tcPr>
          <w:p>
            <w:pPr>
              <w:spacing w:after="0"/>
              <w:rPr>
                <w:sz w:val="20"/>
                <w:szCs w:val="20"/>
                <w:color w:val="auto"/>
              </w:rPr>
            </w:pPr>
            <w:r>
              <w:rPr>
                <w:rFonts w:ascii="Arial" w:cs="Arial" w:eastAsia="Arial" w:hAnsi="Arial"/>
                <w:sz w:val="18"/>
                <w:szCs w:val="18"/>
                <w:color w:val="auto"/>
              </w:rPr>
              <w:t>100</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150</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5"/>
        </w:trPr>
        <w:tc>
          <w:tcPr>
            <w:tcW w:w="1900" w:type="dxa"/>
            <w:vAlign w:val="bottom"/>
          </w:tcPr>
          <w:p>
            <w:pPr>
              <w:spacing w:after="0"/>
              <w:rPr>
                <w:sz w:val="20"/>
                <w:szCs w:val="20"/>
                <w:color w:val="auto"/>
              </w:rPr>
            </w:pPr>
            <w:r>
              <w:rPr>
                <w:rFonts w:ascii="Arial" w:cs="Arial" w:eastAsia="Arial" w:hAnsi="Arial"/>
                <w:sz w:val="18"/>
                <w:szCs w:val="18"/>
                <w:color w:val="auto"/>
              </w:rPr>
              <w:t>200</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5"/>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250</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300</w:t>
            </w: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60" w:hanging="431"/>
        <w:spacing w:after="0"/>
        <w:tabs>
          <w:tab w:leader="none" w:pos="5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Certain of our variable rate debt investments have a LIBOR interest rate floor, which lessens the impact of decreases in interest rates.</w:t>
      </w:r>
    </w:p>
    <w:p>
      <w:pPr>
        <w:spacing w:after="0" w:line="34" w:lineRule="exact"/>
        <w:rPr>
          <w:rFonts w:ascii="Arial" w:cs="Arial" w:eastAsia="Arial" w:hAnsi="Arial"/>
          <w:sz w:val="17"/>
          <w:szCs w:val="17"/>
          <w:color w:val="auto"/>
        </w:rPr>
      </w:pPr>
    </w:p>
    <w:p>
      <w:pPr>
        <w:ind w:left="560" w:hanging="431"/>
        <w:spacing w:after="0"/>
        <w:tabs>
          <w:tab w:leader="none" w:pos="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Interest income calculated assuming three-month LIBOR rate as of September 30, 2020.</w:t>
      </w:r>
    </w:p>
    <w:p>
      <w:pPr>
        <w:spacing w:after="0" w:line="8" w:lineRule="exact"/>
        <w:rPr>
          <w:rFonts w:ascii="Arial" w:cs="Arial" w:eastAsia="Arial" w:hAnsi="Arial"/>
          <w:sz w:val="18"/>
          <w:szCs w:val="18"/>
          <w:color w:val="auto"/>
        </w:rPr>
      </w:pPr>
    </w:p>
    <w:p>
      <w:pPr>
        <w:ind w:left="560" w:hanging="431"/>
        <w:spacing w:after="0"/>
        <w:tabs>
          <w:tab w:leader="none" w:pos="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the impact of income incentive fee at 20.0% on net increase (decrease) in net interest.</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6" w:lineRule="exact"/>
        <w:rPr>
          <w:sz w:val="20"/>
          <w:szCs w:val="20"/>
          <w:color w:val="auto"/>
        </w:rPr>
      </w:pPr>
    </w:p>
    <w:p>
      <w:pPr>
        <w:ind w:left="120" w:firstLine="439"/>
        <w:spacing w:after="0" w:line="268"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Exchange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6" w:lineRule="exact"/>
        <w:rPr>
          <w:sz w:val="20"/>
          <w:szCs w:val="20"/>
          <w:color w:val="auto"/>
        </w:rPr>
      </w:pPr>
    </w:p>
    <w:p>
      <w:pPr>
        <w:ind w:left="120" w:right="620" w:firstLine="439"/>
        <w:spacing w:after="0" w:line="276" w:lineRule="auto"/>
        <w:rPr>
          <w:sz w:val="20"/>
          <w:szCs w:val="20"/>
          <w:color w:val="auto"/>
        </w:rPr>
      </w:pPr>
      <w:r>
        <w:rPr>
          <w:rFonts w:ascii="Arial" w:cs="Arial" w:eastAsia="Arial" w:hAnsi="Arial"/>
          <w:sz w:val="18"/>
          <w:szCs w:val="18"/>
          <w:color w:val="auto"/>
        </w:rPr>
        <w:t>There were no changes in our internal control over financial reporting during the third quarter of 2020 that have materially affected, or are reasonably likely to materially affect, our internal control over financial reporting.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8"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 OTHER INFORMATION</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not, and the Investment Advisor is not, currently subject to any material legal proceedings.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0" w:lineRule="exact"/>
        <w:rPr>
          <w:sz w:val="20"/>
          <w:szCs w:val="20"/>
          <w:color w:val="auto"/>
        </w:rPr>
      </w:pPr>
    </w:p>
    <w:p>
      <w:pPr>
        <w:ind w:left="120" w:right="60" w:firstLine="439"/>
        <w:spacing w:after="0" w:line="301" w:lineRule="auto"/>
        <w:rPr>
          <w:sz w:val="20"/>
          <w:szCs w:val="20"/>
          <w:color w:val="auto"/>
        </w:rPr>
      </w:pPr>
      <w:r>
        <w:rPr>
          <w:rFonts w:ascii="Arial" w:cs="Arial" w:eastAsia="Arial" w:hAnsi="Arial"/>
          <w:sz w:val="16"/>
          <w:szCs w:val="16"/>
          <w:color w:val="auto"/>
        </w:rPr>
        <w:t>In addition to other information set forth in this report, including the risk factor below, you should carefully consider the “Risk Factors” discussed in our Form 10-K for the year ended December 31, 2019 and filed with the SEC on February 27, 2020, which are incorporated herein by reference. These Risk Factors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Legislation that took effect in 2018 would allow us to incur additional leverage.</w:t>
      </w:r>
    </w:p>
    <w:p>
      <w:pPr>
        <w:spacing w:after="0" w:line="116" w:lineRule="exact"/>
        <w:rPr>
          <w:sz w:val="20"/>
          <w:szCs w:val="20"/>
          <w:color w:val="auto"/>
        </w:rPr>
      </w:pPr>
    </w:p>
    <w:p>
      <w:pPr>
        <w:ind w:left="120" w:firstLine="439"/>
        <w:spacing w:after="0" w:line="269" w:lineRule="auto"/>
        <w:rPr>
          <w:sz w:val="20"/>
          <w:szCs w:val="20"/>
          <w:color w:val="auto"/>
        </w:rPr>
      </w:pPr>
      <w:r>
        <w:rPr>
          <w:rFonts w:ascii="Arial" w:cs="Arial" w:eastAsia="Arial" w:hAnsi="Arial"/>
          <w:sz w:val="17"/>
          <w:szCs w:val="17"/>
          <w:color w:val="auto"/>
        </w:rPr>
        <w:t>The 1940 Act generally prohibits the Company from incurring indebtedness unless immediately after such borrowing we have an asset coverage for total borrowings of at least 200.0% (i.e., the amount of debt may not exceed 50.0% of the value of our assets). However, in March 2018, the Small Business Credit Availability Act (“the “SBCA”) modified the 1940 Act by allowing a BDC to increase the maximum amount of leverage it may incur from an asset coverage ratio of 200.0% to an asset coverage ratio of 150.0%, if certain requirements are met. Under the SBCA,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SBCA allows the “required majority” of the Independent Directors, as defined in Section 57(o) of the 1940 Act, to approve an increase in our leverage capacity, and such approval would become effective after the one-year anniversary of such proposal. In either case, we would be required to make certain disclosures on our website and in SEC filings regarding, among other things, the receipt of approval to increase our leverage, our leverage capacity and usage, and risks related to leverage.</w:t>
      </w:r>
    </w:p>
    <w:p>
      <w:pPr>
        <w:spacing w:after="0" w:line="179" w:lineRule="exact"/>
        <w:rPr>
          <w:sz w:val="20"/>
          <w:szCs w:val="20"/>
          <w:color w:val="auto"/>
        </w:rPr>
      </w:pPr>
    </w:p>
    <w:p>
      <w:pPr>
        <w:jc w:val="both"/>
        <w:ind w:left="120" w:right="520" w:firstLine="439"/>
        <w:spacing w:after="0" w:line="285" w:lineRule="auto"/>
        <w:rPr>
          <w:sz w:val="20"/>
          <w:szCs w:val="20"/>
          <w:color w:val="auto"/>
        </w:rPr>
      </w:pPr>
      <w:r>
        <w:rPr>
          <w:rFonts w:ascii="Arial" w:cs="Arial" w:eastAsia="Arial" w:hAnsi="Arial"/>
          <w:sz w:val="17"/>
          <w:szCs w:val="17"/>
          <w:color w:val="auto"/>
        </w:rPr>
        <w:t>On April 29, 2019, the Board, including a majority of the Independent Directors, approved a minimum asset coverage ratio of 150% under Sections 18(a)(1) and 18(a)(2) of the 1940 Act. As a result, we became subject to the 150% asset coverage ratio effective as of April 29, 2020. At present time, we do not intend to seek stockholder approval to reduce our asset coverage requirement.</w:t>
      </w:r>
    </w:p>
    <w:p>
      <w:pPr>
        <w:spacing w:after="0" w:line="166" w:lineRule="exact"/>
        <w:rPr>
          <w:sz w:val="20"/>
          <w:szCs w:val="20"/>
          <w:color w:val="auto"/>
        </w:rPr>
      </w:pPr>
    </w:p>
    <w:p>
      <w:pPr>
        <w:ind w:left="120" w:right="40" w:firstLine="439"/>
        <w:spacing w:after="0" w:line="289" w:lineRule="auto"/>
        <w:rPr>
          <w:sz w:val="20"/>
          <w:szCs w:val="20"/>
          <w:color w:val="auto"/>
        </w:rPr>
      </w:pPr>
      <w:r>
        <w:rPr>
          <w:rFonts w:ascii="Arial" w:cs="Arial" w:eastAsia="Arial" w:hAnsi="Arial"/>
          <w:sz w:val="16"/>
          <w:szCs w:val="16"/>
          <w:color w:val="auto"/>
        </w:rPr>
        <w:t>Leverage magnifies the potential for loss on investments in our indebtedness and on invested equity capital. As we use leverage to partially finance our investments, our stockholders will experience increased risks of investing in our securities. If the value of our assets increases, then leveraging would cause the NAV attributable to our common stock to increase more sharply than it would have had we not leveraged. Conversely, if the value of our assets decreases, leveraging would cause NAV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Increased leverage may also cause a downgrade of our credit rating. Leverage is generally considered a speculative investment technique.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Changes relating to the LIBOR calculation process may adversely affect the value of our portfolio of LIBOR-indexed, floating-rate debt securities.</w:t>
      </w:r>
    </w:p>
    <w:p>
      <w:pPr>
        <w:spacing w:after="0" w:line="151" w:lineRule="exact"/>
        <w:rPr>
          <w:sz w:val="20"/>
          <w:szCs w:val="20"/>
          <w:color w:val="auto"/>
        </w:rPr>
      </w:pPr>
    </w:p>
    <w:p>
      <w:pPr>
        <w:jc w:val="both"/>
        <w:ind w:left="120" w:right="100" w:firstLine="439"/>
        <w:spacing w:after="0" w:line="278" w:lineRule="auto"/>
        <w:rPr>
          <w:sz w:val="20"/>
          <w:szCs w:val="20"/>
          <w:color w:val="auto"/>
        </w:rPr>
      </w:pPr>
      <w:r>
        <w:rPr>
          <w:rFonts w:ascii="Arial" w:cs="Arial" w:eastAsia="Arial" w:hAnsi="Arial"/>
          <w:sz w:val="17"/>
          <w:szCs w:val="17"/>
          <w:color w:val="auto"/>
        </w:rPr>
        <w:t>The London Inter-bank Offered Rate (“LIBOR”), is the basic rate of interest used in lending transactions between banks on the London interbank market and is widely used as a reference for setting the interest rate on loans globally. We typically use LIBOR as a reference rate in floating-rate loans we extend to portfolio companies such that the interest due to us pursuant to a term loan extended to a portfolio company is calculated using LIBOR. The terms of our debt investments generally include minimum interest rate floors which are calculated based on LIBOR.</w:t>
      </w:r>
    </w:p>
    <w:p>
      <w:pPr>
        <w:spacing w:after="0" w:line="172" w:lineRule="exact"/>
        <w:rPr>
          <w:sz w:val="20"/>
          <w:szCs w:val="20"/>
          <w:color w:val="auto"/>
        </w:rPr>
      </w:pPr>
    </w:p>
    <w:p>
      <w:pPr>
        <w:ind w:left="120" w:right="60" w:firstLine="439"/>
        <w:spacing w:after="0" w:line="273" w:lineRule="auto"/>
        <w:rPr>
          <w:sz w:val="20"/>
          <w:szCs w:val="20"/>
          <w:color w:val="auto"/>
        </w:rPr>
      </w:pPr>
      <w:r>
        <w:rPr>
          <w:rFonts w:ascii="Arial" w:cs="Arial" w:eastAsia="Arial" w:hAnsi="Arial"/>
          <w:sz w:val="17"/>
          <w:szCs w:val="17"/>
          <w:color w:val="auto"/>
        </w:rPr>
        <w:t>In the recent past, concerns have been publicized that some of the member banks surveyed by the British Bankers’ Association (“BBA”) in connection with the calculation of LIBOR across a range of maturities and currencies may have been under-reporting or otherwise manipulating the inter-bank lending rate applicable to them in order to profit on their derivative positions or to avoid an appearance of capital insufficiency or adverse reputational or other consequences that may have resulted from reporting inter-bank lending rates higher than those they actually submitted. A number of BBA member banks entered into settlements with their regulators and law enforcement agencies with respect to alleged manipulation of LIBOR, and investigations by regulators and governmental authorities in various jurisdictions are ongoing.</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8"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439"/>
        <w:spacing w:after="0" w:line="255" w:lineRule="auto"/>
        <w:rPr>
          <w:sz w:val="20"/>
          <w:szCs w:val="20"/>
          <w:color w:val="auto"/>
        </w:rPr>
      </w:pPr>
      <w:r>
        <w:rPr>
          <w:rFonts w:ascii="Arial" w:cs="Arial" w:eastAsia="Arial" w:hAnsi="Arial"/>
          <w:sz w:val="18"/>
          <w:szCs w:val="18"/>
          <w:color w:val="auto"/>
        </w:rPr>
        <w:t>Actions by the ICE Benchmark Administration, regulators or law enforcement agencies as a result of these or future events, may result in changes to the manner in which LIBOR is determined. Potential changes, or uncertainty related to such potential changes may adversely affect the market for LIBOR-based securities, including our portfolio of LIBOR-indexed, floating-rate debt securities. In addition, any further changes or reforms to the determination or supervision of LIBOR may result in a sudden or prolonged increase or decrease in reported LIBOR, which could have an adverse impact on the market for LIBOR-based securities or the value of our portfolio of LIBOR-indexed, floating-rate debt securities, loans, and other financial obligations or extensions of credit held by or due to us.</w:t>
      </w:r>
    </w:p>
    <w:p>
      <w:pPr>
        <w:spacing w:after="0" w:line="189" w:lineRule="exact"/>
        <w:rPr>
          <w:sz w:val="20"/>
          <w:szCs w:val="20"/>
          <w:color w:val="auto"/>
        </w:rPr>
      </w:pPr>
    </w:p>
    <w:p>
      <w:pPr>
        <w:ind w:left="120" w:right="100" w:firstLine="439"/>
        <w:spacing w:after="0" w:line="271" w:lineRule="auto"/>
        <w:rPr>
          <w:sz w:val="20"/>
          <w:szCs w:val="20"/>
          <w:color w:val="auto"/>
        </w:rPr>
      </w:pPr>
      <w:r>
        <w:rPr>
          <w:rFonts w:ascii="Arial" w:cs="Arial" w:eastAsia="Arial" w:hAnsi="Arial"/>
          <w:sz w:val="17"/>
          <w:szCs w:val="17"/>
          <w:color w:val="auto"/>
        </w:rPr>
        <w:t>On July 27, 2017, the U.K. Financial Conduct Authority (the “FCA”), which regulates LIBOR, announced that it intends to stop persuading or compelling banks to submit LIBOR rates after 2021. In addition, on March 25, 2020, the FCA stated that although the central assumption that firms cannot rely on LIBOR being published after the end of 2021 has not changed, the outbreak of COVID-19 has impacted the timing of many firms’ transition planning, and the FCA will continue to assess the impact of the COVID-19 pandemic on transition timelines and update the marketplace as soon as possible. It is unclear if after 2021 LIBOR will cease to exist or if new methods of calculating LIBOR will be established such that it continues to exist after 2021. We have exposure to LIBOR, including in financial instruments that mature after 2021. Our exposure arises from the value of our portfolio of LIBOR-indexed, floating-rate debt securities.</w:t>
      </w:r>
    </w:p>
    <w:p>
      <w:pPr>
        <w:spacing w:after="0" w:line="179" w:lineRule="exact"/>
        <w:rPr>
          <w:sz w:val="20"/>
          <w:szCs w:val="20"/>
          <w:color w:val="auto"/>
        </w:rPr>
      </w:pPr>
    </w:p>
    <w:p>
      <w:pPr>
        <w:ind w:left="120" w:right="40" w:firstLine="439"/>
        <w:spacing w:after="0" w:line="296" w:lineRule="auto"/>
        <w:rPr>
          <w:sz w:val="20"/>
          <w:szCs w:val="20"/>
          <w:color w:val="auto"/>
        </w:rPr>
      </w:pPr>
      <w:r>
        <w:rPr>
          <w:rFonts w:ascii="Arial" w:cs="Arial" w:eastAsia="Arial" w:hAnsi="Arial"/>
          <w:sz w:val="16"/>
          <w:szCs w:val="16"/>
          <w:color w:val="auto"/>
        </w:rPr>
        <w:t>In the United States, the Federal Reserve Board and the Federal Reserve Bank of New York, in conjunction with the Alternative Reference Rates Committee, a steering committee comprised of large U.S. financial institutions, is considering replacing U.S. dollar LIBOR with a new index calculated by short-term repurchase agreements, backed by Treasury securities called the Secured Overnight Financing Rate (“SOFR”). The Federal Reserve Bank of New York began publishing SOFR in April 2018. Whether or not SOFR attains market traction as a LIBOR replacement remains a question and the future of LIBOR at this time is uncertain, including whether the COVID-19 pandemic will have further effect on LIBOR transition plans.</w:t>
      </w:r>
    </w:p>
    <w:p>
      <w:pPr>
        <w:spacing w:after="0" w:line="158" w:lineRule="exact"/>
        <w:rPr>
          <w:sz w:val="20"/>
          <w:szCs w:val="20"/>
          <w:color w:val="auto"/>
        </w:rPr>
      </w:pPr>
    </w:p>
    <w:p>
      <w:pPr>
        <w:ind w:left="120" w:right="20" w:firstLine="439"/>
        <w:spacing w:after="0" w:line="256" w:lineRule="auto"/>
        <w:rPr>
          <w:sz w:val="20"/>
          <w:szCs w:val="20"/>
          <w:color w:val="auto"/>
        </w:rPr>
      </w:pPr>
      <w:r>
        <w:rPr>
          <w:rFonts w:ascii="Arial" w:cs="Arial" w:eastAsia="Arial" w:hAnsi="Arial"/>
          <w:sz w:val="18"/>
          <w:szCs w:val="18"/>
          <w:color w:val="auto"/>
        </w:rPr>
        <w:t>The elimination of LIBOR or any other changes or reforms to the determination or supervision of LIBOR could have an adverse impact on the market for or value of any LIBOR-indexed, floating-rate debt securities, loans, and other financial obligations or extensions of credit held by or due to us or on our overall financial condition or results of operations. If LIBOR ceases to exist, we may need to renegotiate the credit agreements extending beyond 2021 with our portfolio companies that utilize LIBOR as a factor in determining the interest rate to replace LIBOR with the new standard that is established.</w:t>
      </w:r>
    </w:p>
    <w:p>
      <w:pPr>
        <w:spacing w:after="0" w:line="297" w:lineRule="exact"/>
        <w:rPr>
          <w:sz w:val="20"/>
          <w:szCs w:val="20"/>
          <w:color w:val="auto"/>
        </w:rPr>
      </w:pPr>
    </w:p>
    <w:p>
      <w:pPr>
        <w:ind w:left="120" w:right="260" w:firstLine="439"/>
        <w:spacing w:after="0" w:line="276" w:lineRule="auto"/>
        <w:rPr>
          <w:sz w:val="20"/>
          <w:szCs w:val="20"/>
          <w:color w:val="auto"/>
        </w:rPr>
      </w:pPr>
      <w:r>
        <w:rPr>
          <w:rFonts w:ascii="Arial" w:cs="Arial" w:eastAsia="Arial" w:hAnsi="Arial"/>
          <w:sz w:val="18"/>
          <w:szCs w:val="18"/>
          <w:b w:val="1"/>
          <w:bCs w:val="1"/>
          <w:i w:val="1"/>
          <w:iCs w:val="1"/>
          <w:color w:val="auto"/>
        </w:rPr>
        <w:t>Events outside of our control, including public health crises such as the ongoing COVID-19 pandemic, may negatively affect our results of operations and financial performance.</w:t>
      </w:r>
    </w:p>
    <w:p>
      <w:pPr>
        <w:spacing w:after="0" w:line="63" w:lineRule="exact"/>
        <w:rPr>
          <w:sz w:val="20"/>
          <w:szCs w:val="20"/>
          <w:color w:val="auto"/>
        </w:rPr>
      </w:pPr>
    </w:p>
    <w:p>
      <w:pPr>
        <w:ind w:left="120" w:right="60" w:firstLine="439"/>
        <w:spacing w:after="0" w:line="256" w:lineRule="auto"/>
        <w:rPr>
          <w:sz w:val="20"/>
          <w:szCs w:val="20"/>
          <w:color w:val="auto"/>
        </w:rPr>
      </w:pPr>
      <w:r>
        <w:rPr>
          <w:rFonts w:ascii="Arial" w:cs="Arial" w:eastAsia="Arial" w:hAnsi="Arial"/>
          <w:sz w:val="18"/>
          <w:szCs w:val="18"/>
          <w:color w:val="auto"/>
        </w:rPr>
        <w:t>Periods of market volatility have occurred and could continue to occur in response to pandemics or other events outside of our control. These types of events have adversely affected and could continue to adversely affect operating results for us and for our portfolio companies. For example, in December 2019, a novel strain of coronavirus (known as COVID-19) surfaced in China and has since spread and continues to spread to other countries, including the United States This outbreak has led and for an unknown period of time will continue to lead to disruptions in local, regional, national and global markets and economies affected thereby.</w:t>
      </w:r>
    </w:p>
    <w:p>
      <w:pPr>
        <w:spacing w:after="0" w:line="189" w:lineRule="exact"/>
        <w:rPr>
          <w:sz w:val="20"/>
          <w:szCs w:val="20"/>
          <w:color w:val="auto"/>
        </w:rPr>
      </w:pPr>
    </w:p>
    <w:p>
      <w:pPr>
        <w:ind w:left="120" w:right="40" w:firstLine="439"/>
        <w:spacing w:after="0" w:line="269" w:lineRule="auto"/>
        <w:rPr>
          <w:sz w:val="20"/>
          <w:szCs w:val="20"/>
          <w:color w:val="auto"/>
        </w:rPr>
      </w:pPr>
      <w:r>
        <w:rPr>
          <w:rFonts w:ascii="Arial" w:cs="Arial" w:eastAsia="Arial" w:hAnsi="Arial"/>
          <w:sz w:val="17"/>
          <w:szCs w:val="17"/>
          <w:color w:val="auto"/>
        </w:rPr>
        <w:t>With respect to the U.S. credit markets (in particular for middle market loans), this outbreak has resulted in, and until fully resolved is likely to continue to result in, the following among other things: (i) government imposition of various forms of shelter-in-place orders and the closing of “non-essential” businesses, resulting in significant disruption to the businesses of many middle-market loan borrowers including supply chains, demand and practical aspects of their operations, as well as in lay-offs of employees, and, while these effects are hoped to be temporary, some effects could be persistent or even permanent; (ii) increased draws by borrowers on revolving lines of credit; (iii) increased requests by borrowers for amendments and waivers of their credit agreements to avoid default, increased defaults by such borrowers and/or increased difficulty in obtaining refinancing at the maturity dates of their loans; (iv) volatility and disruption of these markets including greater volatility in pricing and spreads and difficulty in valuing loans during periods of increased volatility, and liquidity issues; and (v) rapidly evolving proposals and/or actions by state and federal governments to address problems being experienced by the markets and by businesses and the economy in general which will not necessarily adequately address the problems facing the loan market and middle market businesses.</w:t>
      </w:r>
    </w:p>
    <w:p>
      <w:pPr>
        <w:spacing w:after="0" w:line="179" w:lineRule="exact"/>
        <w:rPr>
          <w:sz w:val="20"/>
          <w:szCs w:val="20"/>
          <w:color w:val="auto"/>
        </w:rPr>
      </w:pPr>
    </w:p>
    <w:p>
      <w:pPr>
        <w:ind w:left="120" w:right="120" w:firstLine="439"/>
        <w:spacing w:after="0" w:line="278" w:lineRule="auto"/>
        <w:rPr>
          <w:sz w:val="20"/>
          <w:szCs w:val="20"/>
          <w:color w:val="auto"/>
        </w:rPr>
      </w:pPr>
      <w:r>
        <w:rPr>
          <w:rFonts w:ascii="Arial" w:cs="Arial" w:eastAsia="Arial" w:hAnsi="Arial"/>
          <w:sz w:val="17"/>
          <w:szCs w:val="17"/>
          <w:color w:val="auto"/>
        </w:rPr>
        <w:t>This outbreak is having, and any future outbreaks could have, an adverse impact on the markets and the economy in general, which could have a material adverse impact on, among other things, the ability of lenders to originate loans, the volume and type of loans originated, and the volume and type of amendments and waivers granted to borrowers and remedial actions taken in the event of a borrower default, each of which could negatively impact the amount and quality of loans available for investment by us and returns to us, among other things.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439"/>
        <w:spacing w:after="0" w:line="287" w:lineRule="auto"/>
        <w:rPr>
          <w:sz w:val="20"/>
          <w:szCs w:val="20"/>
          <w:color w:val="auto"/>
        </w:rPr>
      </w:pPr>
      <w:r>
        <w:rPr>
          <w:rFonts w:ascii="Arial" w:cs="Arial" w:eastAsia="Arial" w:hAnsi="Arial"/>
          <w:sz w:val="16"/>
          <w:szCs w:val="16"/>
          <w:color w:val="auto"/>
        </w:rPr>
        <w:t>The Company and the Investment Advisor have taken and continue to take steps reasonably designed to ensure that they maintain normal business operations, and that the Company, its portfolio and assets are protected. However, in the event of a pandemic or an outbreak, such as COVID-19, there can be no assurance that the Company, the Investment Advisor and service providers, or the Company’s portfolio companies, will be able to maintain normal business operations for an extended period of time or will not lose the services of key personnel on a temporary or long-term basis due to illness or other reasons. A pandemic or disease could also impair the information technology and other operational systems upon which the Investment Advisor relies and could otherwise disrupt the ability of the Company’s service providers to perform essential tasks. As of the date of this 10-Q, it is impossible to determine the scope of this outbreak, or any future outbreaks, how long any such outbreak, market disruption or uncertainties may last, the effect any governmental actions will have or the full potential impact on us and our portfolio companies. Any potential impact to our results of operations will depend to a large extent on future developments and new information that could emerge regarding the duration and severity of COVID-19 and the actions taken by authorities and other entities to contain COVID-19 or treat its impact, all of which are beyond our control. These potential impacts, while uncertain, could adversely affect our and our portfolio companies’ operating results.</w:t>
      </w:r>
    </w:p>
    <w:p>
      <w:pPr>
        <w:spacing w:after="0" w:line="166" w:lineRule="exact"/>
        <w:rPr>
          <w:sz w:val="20"/>
          <w:szCs w:val="20"/>
          <w:color w:val="auto"/>
        </w:rPr>
      </w:pPr>
    </w:p>
    <w:p>
      <w:pPr>
        <w:ind w:left="120" w:right="200" w:firstLine="439"/>
        <w:spacing w:after="0" w:line="275" w:lineRule="auto"/>
        <w:rPr>
          <w:sz w:val="20"/>
          <w:szCs w:val="20"/>
          <w:color w:val="auto"/>
        </w:rPr>
      </w:pPr>
      <w:r>
        <w:rPr>
          <w:rFonts w:ascii="Arial" w:cs="Arial" w:eastAsia="Arial" w:hAnsi="Arial"/>
          <w:sz w:val="17"/>
          <w:szCs w:val="17"/>
          <w:color w:val="auto"/>
        </w:rPr>
        <w:t>If the economy is unable to substantially reopen, and high levels of unemployment continue for an extended period of time, loan delinquencies, loan non-accruals, problem assets, and bankruptcies may increase. In addition, collateral for our loans may decline in value, which could cause loan losses to increase and the net worth and liquidity of loan guarantors could decline, impairing their ability to honor commitments to us. An increase in loan delinquencies and non-accruals or a decrease in loan collateral and guarantor net worth could result in increased costs and reduced income which would have a material adverse effect on our business, financial condition or results of operations.</w:t>
      </w:r>
    </w:p>
    <w:p>
      <w:pPr>
        <w:spacing w:after="0" w:line="173" w:lineRule="exact"/>
        <w:rPr>
          <w:sz w:val="20"/>
          <w:szCs w:val="20"/>
          <w:color w:val="auto"/>
        </w:rPr>
      </w:pPr>
    </w:p>
    <w:p>
      <w:pPr>
        <w:ind w:left="120" w:right="260" w:firstLine="439"/>
        <w:spacing w:after="0" w:line="306" w:lineRule="auto"/>
        <w:rPr>
          <w:sz w:val="20"/>
          <w:szCs w:val="20"/>
          <w:color w:val="auto"/>
        </w:rPr>
      </w:pPr>
      <w:r>
        <w:rPr>
          <w:rFonts w:ascii="Arial" w:cs="Arial" w:eastAsia="Arial" w:hAnsi="Arial"/>
          <w:sz w:val="17"/>
          <w:szCs w:val="17"/>
          <w:color w:val="auto"/>
        </w:rPr>
        <w:t>We will also be negatively affected if our operations and effectiveness or the operations and effectiveness of a portfolio company (or any of the key personnel or service providers of the foregoing) is compromised or if necessary or beneficial systems and processes are disrupted.</w:t>
      </w:r>
    </w:p>
    <w:p>
      <w:pPr>
        <w:spacing w:after="0" w:line="148" w:lineRule="exact"/>
        <w:rPr>
          <w:sz w:val="20"/>
          <w:szCs w:val="20"/>
          <w:color w:val="auto"/>
        </w:rPr>
      </w:pPr>
    </w:p>
    <w:p>
      <w:pPr>
        <w:ind w:left="120" w:right="20" w:firstLine="439"/>
        <w:spacing w:after="0" w:line="285" w:lineRule="auto"/>
        <w:rPr>
          <w:sz w:val="20"/>
          <w:szCs w:val="20"/>
          <w:color w:val="auto"/>
        </w:rPr>
      </w:pPr>
      <w:r>
        <w:rPr>
          <w:rFonts w:ascii="Arial" w:cs="Arial" w:eastAsia="Arial" w:hAnsi="Arial"/>
          <w:sz w:val="17"/>
          <w:szCs w:val="17"/>
          <w:color w:val="auto"/>
        </w:rPr>
        <w:t>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These potential impacts, while uncertain, could adversely affect our and our portfolio companies’ operating results.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currently operating in a period of capital markets disruption and economic uncertainty.</w:t>
      </w:r>
    </w:p>
    <w:p>
      <w:pPr>
        <w:spacing w:after="0" w:line="116" w:lineRule="exact"/>
        <w:rPr>
          <w:sz w:val="20"/>
          <w:szCs w:val="20"/>
          <w:color w:val="auto"/>
        </w:rPr>
      </w:pPr>
    </w:p>
    <w:p>
      <w:pPr>
        <w:ind w:left="120" w:right="80" w:firstLine="439"/>
        <w:spacing w:after="0" w:line="270" w:lineRule="auto"/>
        <w:rPr>
          <w:sz w:val="20"/>
          <w:szCs w:val="20"/>
          <w:color w:val="auto"/>
        </w:rPr>
      </w:pPr>
      <w:r>
        <w:rPr>
          <w:rFonts w:ascii="Arial" w:cs="Arial" w:eastAsia="Arial" w:hAnsi="Arial"/>
          <w:sz w:val="17"/>
          <w:szCs w:val="17"/>
          <w:color w:val="auto"/>
        </w:rPr>
        <w:t>The U.S. capital markets have experienced extreme volatility and disruption following the global outbreak of COVID-19 that began in December 2019. The global impact of the outbreak is rapidly evolving, and many countries have reacted by instituting quarantines, prohibitions on travel and the closure of offices, businesses, schools, retail stores and other public venues. Businesses are also implementing similar precautionary measures. Such measures, as well as the general uncertainty surrounding the dangers and impact of COVID-19, have created significant disruption in supply chains and economic activity. The impact of COVID- 19 has led to significant volatility and declines in the global public equity markets and it is uncertain how long this volatility will continue. As COVID-19 continues to spread, the potential impacts, including a global, regional or other economic recession, are increasingly uncertain and difficult to assess. Some economists and major investment banks have expressed concern that the continued spread of the virus globally could lead to a world-wide economic downturn.</w:t>
      </w:r>
    </w:p>
    <w:p>
      <w:pPr>
        <w:spacing w:after="0" w:line="180" w:lineRule="exact"/>
        <w:rPr>
          <w:sz w:val="20"/>
          <w:szCs w:val="20"/>
          <w:color w:val="auto"/>
        </w:rPr>
      </w:pPr>
    </w:p>
    <w:p>
      <w:pPr>
        <w:ind w:left="120" w:right="140" w:firstLine="439"/>
        <w:spacing w:after="0" w:line="273" w:lineRule="auto"/>
        <w:rPr>
          <w:sz w:val="20"/>
          <w:szCs w:val="20"/>
          <w:color w:val="auto"/>
        </w:rPr>
      </w:pPr>
      <w:r>
        <w:rPr>
          <w:rFonts w:ascii="Arial" w:cs="Arial" w:eastAsia="Arial" w:hAnsi="Arial"/>
          <w:sz w:val="17"/>
          <w:szCs w:val="17"/>
          <w:color w:val="auto"/>
        </w:rPr>
        <w:t>Disruptions in the capital markets caused by the COVID-19 pandemic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spacing w:after="0" w:line="174" w:lineRule="exact"/>
        <w:rPr>
          <w:sz w:val="20"/>
          <w:szCs w:val="20"/>
          <w:color w:val="auto"/>
        </w:rPr>
      </w:pPr>
    </w:p>
    <w:p>
      <w:pPr>
        <w:ind w:left="120" w:right="40" w:firstLine="439"/>
        <w:spacing w:after="0" w:line="275" w:lineRule="auto"/>
        <w:rPr>
          <w:sz w:val="20"/>
          <w:szCs w:val="20"/>
          <w:color w:val="auto"/>
        </w:rPr>
      </w:pPr>
      <w:r>
        <w:rPr>
          <w:rFonts w:ascii="Arial" w:cs="Arial" w:eastAsia="Arial" w:hAnsi="Arial"/>
          <w:sz w:val="17"/>
          <w:szCs w:val="17"/>
          <w:color w:val="auto"/>
        </w:rPr>
        <w:t>Additionally, the recent disruption in economic activity caused by the COVID-19 pandemic has had, and may continue to have, a negative effect on the potential for liquidity events involving our investments. The illiquidity of our investments may make it difficult for us to sell such investments to access capital if required, and as a result, we could realize significantly less than the value at which we have recorded our investments if we were required to sell them for liquidity purposes. An inability to raise or access capital, and any required sale of all or a portion of our investments as a result, could have a material adverse effect on our business, financial condition or results of operations.</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8"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choose to pay dividends in our own stock, in which case you may be required to pay tax in excess of the cash you receive.</w:t>
      </w:r>
    </w:p>
    <w:p>
      <w:pPr>
        <w:spacing w:after="0" w:line="128" w:lineRule="exact"/>
        <w:rPr>
          <w:sz w:val="20"/>
          <w:szCs w:val="20"/>
          <w:color w:val="auto"/>
        </w:rPr>
      </w:pPr>
    </w:p>
    <w:p>
      <w:pPr>
        <w:ind w:left="120" w:right="80" w:firstLine="439"/>
        <w:spacing w:after="0" w:line="287" w:lineRule="auto"/>
        <w:rPr>
          <w:sz w:val="20"/>
          <w:szCs w:val="20"/>
          <w:color w:val="auto"/>
        </w:rPr>
      </w:pPr>
      <w:r>
        <w:rPr>
          <w:rFonts w:ascii="Arial" w:cs="Arial" w:eastAsia="Arial" w:hAnsi="Arial"/>
          <w:sz w:val="16"/>
          <w:szCs w:val="16"/>
          <w:color w:val="auto"/>
        </w:rPr>
        <w:t>Under certain applicable provisions of the Code and the Treasury regulations and a revenue procedure issued by the IRS, a RIC may treat a distribution of its own stock as fulfilling its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their distributions in cash, we must allocate the cash available for distribution among the shareholders electing to receive cash (with the balance of the distribution paid in shares of our common stock). If we decide to make any distributions consistent with this revenue procedure that are payable in part in our stock, taxable stockholders receiving such dividends will be required to include the full amount of the dividend (whether received in cash, our stock, or a combination thereof)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w:t>
      </w:r>
    </w:p>
    <w:p>
      <w:pPr>
        <w:spacing w:after="0" w:line="166" w:lineRule="exact"/>
        <w:rPr>
          <w:sz w:val="20"/>
          <w:szCs w:val="20"/>
          <w:color w:val="auto"/>
        </w:rPr>
      </w:pPr>
    </w:p>
    <w:p>
      <w:pPr>
        <w:jc w:val="both"/>
        <w:ind w:left="120" w:right="120" w:firstLine="439"/>
        <w:spacing w:after="0" w:line="263" w:lineRule="auto"/>
        <w:rPr>
          <w:sz w:val="20"/>
          <w:szCs w:val="20"/>
          <w:color w:val="auto"/>
        </w:rPr>
      </w:pPr>
      <w:r>
        <w:rPr>
          <w:rFonts w:ascii="Arial" w:cs="Arial" w:eastAsia="Arial" w:hAnsi="Arial"/>
          <w:sz w:val="18"/>
          <w:szCs w:val="18"/>
          <w:color w:val="auto"/>
        </w:rPr>
        <w:t>Furthermore, with respect to non-U.S. stockholders, we may be required to withhold U.S. tax with respect to such dividends, including in respect of all or a portion of such dividend that is payable in stock. If a significant number of our stockholders determine to sell shares of our stock in order to pay taxes owed on dividends, it may put downward pressure on the trading price of our stock.</w:t>
      </w:r>
    </w:p>
    <w:p>
      <w:pPr>
        <w:spacing w:after="0" w:line="289" w:lineRule="exact"/>
        <w:rPr>
          <w:sz w:val="20"/>
          <w:szCs w:val="20"/>
          <w:color w:val="auto"/>
        </w:rPr>
      </w:pPr>
    </w:p>
    <w:p>
      <w:pPr>
        <w:ind w:left="120" w:right="360"/>
        <w:spacing w:after="0" w:line="276" w:lineRule="auto"/>
        <w:rPr>
          <w:sz w:val="20"/>
          <w:szCs w:val="20"/>
          <w:color w:val="auto"/>
        </w:rPr>
      </w:pPr>
      <w:r>
        <w:rPr>
          <w:rFonts w:ascii="Arial" w:cs="Arial" w:eastAsia="Arial" w:hAnsi="Arial"/>
          <w:sz w:val="18"/>
          <w:szCs w:val="18"/>
          <w:b w:val="1"/>
          <w:bCs w:val="1"/>
          <w:i w:val="1"/>
          <w:iCs w:val="1"/>
          <w:color w:val="auto"/>
        </w:rPr>
        <w:t>Due to the COVID-19 pandemic or other disruptions in the economy, we may not be able to increase our dividends and may reduce or defer our dividends and choose to incur US federal excise tax in order preserve cash and maintain flexibility.</w:t>
      </w:r>
    </w:p>
    <w:p>
      <w:pPr>
        <w:spacing w:after="0" w:line="63" w:lineRule="exact"/>
        <w:rPr>
          <w:sz w:val="20"/>
          <w:szCs w:val="20"/>
          <w:color w:val="auto"/>
        </w:rPr>
      </w:pPr>
    </w:p>
    <w:p>
      <w:pPr>
        <w:ind w:left="120" w:firstLine="439"/>
        <w:spacing w:after="0" w:line="269" w:lineRule="auto"/>
        <w:rPr>
          <w:sz w:val="20"/>
          <w:szCs w:val="20"/>
          <w:color w:val="auto"/>
        </w:rPr>
      </w:pPr>
      <w:r>
        <w:rPr>
          <w:rFonts w:ascii="Arial" w:cs="Arial" w:eastAsia="Arial" w:hAnsi="Arial"/>
          <w:sz w:val="17"/>
          <w:szCs w:val="17"/>
          <w:color w:val="auto"/>
        </w:rPr>
        <w:t>As a BDC, we are not required to make any distributions to shareholders other than in connection with our election to be taxed as a RIC under subchapter M of the Code. In order to maintain our tax treatment as a RIC, we must distribute to shareholders for each taxable year at least 90% of our investment company taxable income (i.e., net ordinary income plus realized net short-term capital gains in excess of realized net long-term capital losses). If we qualify for taxation as a RIC, we generally will not be subject to corporate-level US federal income tax on our investment company taxable income and net capital gains (i.e., realized net long-term capital gains in excess of realized net short-term capital losses) that we timely distribute to shareholders. We will be subject to a 4% US federal excise tax on undistributed earnings of a RIC unless we distribute each calendar year at least the sum of (i) 98.0% of our ordinary income for the calendar year, (ii) 98.2% of our capital gains in excess of capital losses for the one-year period ending on October 31 of the calendar year, and (iii) any ordinary income and net capital gains for preceding years that were not distributed during such years and on which we paid no federal income tax.</w:t>
      </w:r>
    </w:p>
    <w:p>
      <w:pPr>
        <w:spacing w:after="0" w:line="183" w:lineRule="exact"/>
        <w:rPr>
          <w:sz w:val="20"/>
          <w:szCs w:val="20"/>
          <w:color w:val="auto"/>
        </w:rPr>
      </w:pPr>
    </w:p>
    <w:p>
      <w:pPr>
        <w:ind w:left="120" w:firstLine="439"/>
        <w:spacing w:after="0" w:line="270" w:lineRule="auto"/>
        <w:rPr>
          <w:sz w:val="20"/>
          <w:szCs w:val="20"/>
          <w:color w:val="auto"/>
        </w:rPr>
      </w:pPr>
      <w:r>
        <w:rPr>
          <w:rFonts w:ascii="Arial" w:cs="Arial" w:eastAsia="Arial" w:hAnsi="Arial"/>
          <w:sz w:val="17"/>
          <w:szCs w:val="17"/>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 is payable to shareholders of record in the current year, the dividend will be treated for all US federal tax purposes as if it were paid on December 31 of the current year. In addition, under the Code, we may pay dividends, referred to as “spillover dividends,” that are paid during the following taxable year that will allow us to maintain our qualification for taxation as a RIC and eliminate our liability for corporate-level U.S. federal income tax. Under these spillover dividend procedures, we may defer distribution of income earned during the current year until December of the following year. For example, we may defer distributions of income earned during 2020 until as late as December 31, 2021. If we choose to pay a spillover dividend, we will incur the 4% U.S. federal excise tax on some or all of the distribution.</w:t>
      </w:r>
    </w:p>
    <w:p>
      <w:pPr>
        <w:spacing w:after="0" w:line="180" w:lineRule="exact"/>
        <w:rPr>
          <w:sz w:val="20"/>
          <w:szCs w:val="20"/>
          <w:color w:val="auto"/>
        </w:rPr>
      </w:pPr>
    </w:p>
    <w:p>
      <w:pPr>
        <w:ind w:left="120" w:right="20" w:firstLine="439"/>
        <w:spacing w:after="0" w:line="293" w:lineRule="auto"/>
        <w:rPr>
          <w:sz w:val="20"/>
          <w:szCs w:val="20"/>
          <w:color w:val="auto"/>
        </w:rPr>
      </w:pPr>
      <w:r>
        <w:rPr>
          <w:rFonts w:ascii="Arial" w:cs="Arial" w:eastAsia="Arial" w:hAnsi="Arial"/>
          <w:sz w:val="16"/>
          <w:szCs w:val="16"/>
          <w:color w:val="auto"/>
        </w:rPr>
        <w:t>Due to the COVID-19 pandemic or other disruptions in the economy, we anticipate that we may take certain actions with respect to the timing and amounts of our distributions in order to preserve cash and maintain flexibility. For example, we anticipate that we will not be able to increase our dividends. In addition, we may reduce our dividends and/or defer our dividends to the following taxable year. If we defer our dividends, we may choose to utilize the spillover dividend rules discussed above and incur the 4% U.S. federal excise tax on such amounts. To further preserve cash, we may combine these reductions or deferrals of dividends with one or more distributions that are payable partially in our stock as discussed above under “We may choose to pay dividends in our own stock, in which case you may be required to pay tax in excess of the cash you receive.”</w:t>
      </w:r>
    </w:p>
    <w:p>
      <w:pPr>
        <w:spacing w:after="0" w:line="268" w:lineRule="exact"/>
        <w:rPr>
          <w:sz w:val="20"/>
          <w:szCs w:val="20"/>
          <w:color w:val="auto"/>
        </w:rPr>
      </w:pPr>
    </w:p>
    <w:p>
      <w:pPr>
        <w:ind w:left="120" w:right="280"/>
        <w:spacing w:after="0" w:line="276" w:lineRule="auto"/>
        <w:rPr>
          <w:sz w:val="20"/>
          <w:szCs w:val="20"/>
          <w:color w:val="auto"/>
        </w:rPr>
      </w:pPr>
      <w:r>
        <w:rPr>
          <w:rFonts w:ascii="Arial" w:cs="Arial" w:eastAsia="Arial" w:hAnsi="Arial"/>
          <w:sz w:val="18"/>
          <w:szCs w:val="18"/>
          <w:b w:val="1"/>
          <w:bCs w:val="1"/>
          <w:i w:val="1"/>
          <w:iCs w:val="1"/>
          <w:color w:val="auto"/>
        </w:rPr>
        <w:t>Public health threats may affect the market for the 2023 Notes, the February 2024 Notes and the November 2024 Notes, impact the businesses in which we invest and affect our business, operating results and financial condition.</w:t>
      </w:r>
    </w:p>
    <w:p>
      <w:pPr>
        <w:spacing w:after="0" w:line="63" w:lineRule="exact"/>
        <w:rPr>
          <w:sz w:val="20"/>
          <w:szCs w:val="20"/>
          <w:color w:val="auto"/>
        </w:rPr>
      </w:pPr>
    </w:p>
    <w:p>
      <w:pPr>
        <w:ind w:left="120" w:firstLine="439"/>
        <w:spacing w:after="0" w:line="270" w:lineRule="auto"/>
        <w:rPr>
          <w:sz w:val="20"/>
          <w:szCs w:val="20"/>
          <w:color w:val="auto"/>
        </w:rPr>
      </w:pPr>
      <w:r>
        <w:rPr>
          <w:rFonts w:ascii="Arial" w:cs="Arial" w:eastAsia="Arial" w:hAnsi="Arial"/>
          <w:sz w:val="17"/>
          <w:szCs w:val="17"/>
          <w:color w:val="auto"/>
        </w:rPr>
        <w:t>Public health threats, such as COVID-19 or any other illness, have and may continue to disrupt the operations of the businesses in which we invest. Such threats can create economic and political uncertainties and can contribute to global economic instability. A public health threat poses the risk that our portfolio companies may have significantly reduced or be prevented from conducting business activities for an unknown period of time, including shutdowns that may be requested or mandated by governmental authorities. We cannot estimate the impact that a public health threat could have on our portfolio companies, but it could disrupt their businesses and their ability to make interest or dividend payments and decrease the overall value of our investments which adversely impact our business, financial condition or results of operations. Additionally, as a result of the volatile market conditions that may result from public health threats, such as COVID-19 or any other illness, we cannot provide any assurance that the 2023 Notes, the February 2024 Notes and the November 2024 Notes will trade at a favorable price.</w:t>
      </w:r>
    </w:p>
    <w:p>
      <w:pPr>
        <w:sectPr>
          <w:pgSz w:w="11900" w:h="16838" w:orient="portrait"/>
          <w:cols w:equalWidth="0" w:num="1">
            <w:col w:w="11100"/>
          </w:cols>
          <w:pgMar w:left="320" w:top="458" w:right="479" w:bottom="1440" w:gutter="0" w:footer="0" w:header="0"/>
        </w:sectPr>
      </w:pP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100"/>
          </w:cols>
          <w:pgMar w:left="320" w:top="458" w:right="47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of Unregistered Securities</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6" w:lineRule="exact"/>
        <w:rPr>
          <w:sz w:val="20"/>
          <w:szCs w:val="20"/>
          <w:color w:val="auto"/>
        </w:rPr>
      </w:pPr>
    </w:p>
    <w:p>
      <w:pPr>
        <w:ind w:left="120" w:firstLine="439"/>
        <w:spacing w:after="0" w:line="288" w:lineRule="auto"/>
        <w:rPr>
          <w:sz w:val="20"/>
          <w:szCs w:val="20"/>
          <w:color w:val="auto"/>
        </w:rPr>
      </w:pPr>
      <w:r>
        <w:rPr>
          <w:rFonts w:ascii="Arial" w:cs="Arial" w:eastAsia="Arial" w:hAnsi="Arial"/>
          <w:sz w:val="16"/>
          <w:szCs w:val="16"/>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26, 2020, the Board extended the Stock Repurchase Program through December 31, 2021,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60"/>
          </w:cols>
          <w:pgMar w:left="320" w:top="458" w:right="5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firstLine="439"/>
        <w:spacing w:after="0" w:line="263" w:lineRule="auto"/>
        <w:rPr>
          <w:sz w:val="20"/>
          <w:szCs w:val="20"/>
          <w:color w:val="auto"/>
        </w:rPr>
      </w:pPr>
      <w:r>
        <w:rPr>
          <w:rFonts w:ascii="Arial" w:cs="Arial" w:eastAsia="Arial" w:hAnsi="Arial"/>
          <w:sz w:val="18"/>
          <w:szCs w:val="18"/>
          <w:color w:val="auto"/>
        </w:rPr>
        <w:t>During the three and nine months ended September 30, 2020, we repurchased zero and 25,719 shares of common stock on the open market for zero and $0.3 million under the Stock Repurchase Program. The following table provides information regarding such repurchases of our common stock (dollars in millions, except per share data):</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 Number</w:t>
            </w:r>
          </w:p>
        </w:tc>
        <w:tc>
          <w:tcPr>
            <w:tcW w:w="320" w:type="dxa"/>
            <w:vAlign w:val="bottom"/>
          </w:tcPr>
          <w:p>
            <w:pPr>
              <w:spacing w:after="0"/>
              <w:rPr>
                <w:sz w:val="14"/>
                <w:szCs w:val="14"/>
                <w:color w:val="auto"/>
              </w:rPr>
            </w:pPr>
          </w:p>
        </w:tc>
        <w:tc>
          <w:tcPr>
            <w:tcW w:w="13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0"/>
              </w:rPr>
              <w:t>of Shares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9"/>
              </w:rPr>
              <w:t>Total</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0"/>
              </w:rPr>
              <w:t>Purchased as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12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6"/>
              </w:rPr>
              <w:t>Part of Publicly</w:t>
            </w:r>
          </w:p>
        </w:tc>
        <w:tc>
          <w:tcPr>
            <w:tcW w:w="320" w:type="dxa"/>
            <w:vAlign w:val="bottom"/>
          </w:tcPr>
          <w:p>
            <w:pPr>
              <w:spacing w:after="0"/>
              <w:rPr>
                <w:sz w:val="12"/>
                <w:szCs w:val="12"/>
                <w:color w:val="auto"/>
              </w:rPr>
            </w:pPr>
          </w:p>
        </w:tc>
        <w:tc>
          <w:tcPr>
            <w:tcW w:w="136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4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94"/>
              </w:rPr>
              <w:t>Number of</w:t>
            </w:r>
          </w:p>
        </w:tc>
        <w:tc>
          <w:tcPr>
            <w:tcW w:w="6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0"/>
              </w:rPr>
              <w:t>Announced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020" w:type="dxa"/>
            <w:vAlign w:val="bottom"/>
            <w:vMerge w:val="restart"/>
          </w:tcPr>
          <w:p>
            <w:pPr>
              <w:spacing w:after="0"/>
              <w:rPr>
                <w:sz w:val="12"/>
                <w:szCs w:val="12"/>
                <w:color w:val="auto"/>
              </w:rPr>
            </w:pPr>
          </w:p>
        </w:tc>
        <w:tc>
          <w:tcPr>
            <w:tcW w:w="84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9"/>
              </w:rPr>
              <w:t>Shares</w:t>
            </w:r>
          </w:p>
        </w:tc>
        <w:tc>
          <w:tcPr>
            <w:tcW w:w="600" w:type="dxa"/>
            <w:vAlign w:val="bottom"/>
          </w:tcPr>
          <w:p>
            <w:pPr>
              <w:spacing w:after="0"/>
              <w:rPr>
                <w:sz w:val="12"/>
                <w:szCs w:val="12"/>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Price Paid</w:t>
            </w:r>
          </w:p>
        </w:tc>
        <w:tc>
          <w:tcPr>
            <w:tcW w:w="12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0"/>
              </w:rPr>
              <w:t>Plans or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3"/>
              </w:rPr>
              <w:t>Under the Stock</w:t>
            </w:r>
          </w:p>
        </w:tc>
        <w:tc>
          <w:tcPr>
            <w:tcW w:w="0" w:type="dxa"/>
            <w:vAlign w:val="bottom"/>
          </w:tcPr>
          <w:p>
            <w:pPr>
              <w:spacing w:after="0"/>
              <w:rPr>
                <w:sz w:val="1"/>
                <w:szCs w:val="1"/>
                <w:color w:val="auto"/>
              </w:rPr>
            </w:pPr>
          </w:p>
        </w:tc>
      </w:tr>
      <w:tr>
        <w:trPr>
          <w:trHeight w:val="177"/>
        </w:trPr>
        <w:tc>
          <w:tcPr>
            <w:tcW w:w="420" w:type="dxa"/>
            <w:vAlign w:val="bottom"/>
            <w:tcBorders>
              <w:bottom w:val="single" w:sz="8" w:color="auto"/>
            </w:tcBorders>
            <w:vMerge w:val="continue"/>
          </w:tcPr>
          <w:p>
            <w:pPr>
              <w:spacing w:after="0"/>
              <w:rPr>
                <w:sz w:val="15"/>
                <w:szCs w:val="15"/>
                <w:color w:val="auto"/>
              </w:rPr>
            </w:pPr>
          </w:p>
        </w:tc>
        <w:tc>
          <w:tcPr>
            <w:tcW w:w="4020" w:type="dxa"/>
            <w:vAlign w:val="bottom"/>
            <w:vMerge w:val="continue"/>
          </w:tcPr>
          <w:p>
            <w:pPr>
              <w:spacing w:after="0"/>
              <w:rPr>
                <w:sz w:val="15"/>
                <w:szCs w:val="15"/>
                <w:color w:val="auto"/>
              </w:rPr>
            </w:pPr>
          </w:p>
        </w:tc>
        <w:tc>
          <w:tcPr>
            <w:tcW w:w="840" w:type="dxa"/>
            <w:vAlign w:val="bottom"/>
            <w:gridSpan w:val="2"/>
          </w:tcPr>
          <w:p>
            <w:pPr>
              <w:jc w:val="center"/>
              <w:ind w:right="20"/>
              <w:spacing w:after="0" w:line="157" w:lineRule="exact"/>
              <w:rPr>
                <w:sz w:val="20"/>
                <w:szCs w:val="20"/>
                <w:color w:val="auto"/>
              </w:rPr>
            </w:pPr>
            <w:r>
              <w:rPr>
                <w:rFonts w:ascii="Arial" w:cs="Arial" w:eastAsia="Arial" w:hAnsi="Arial"/>
                <w:sz w:val="14"/>
                <w:szCs w:val="14"/>
                <w:b w:val="1"/>
                <w:bCs w:val="1"/>
                <w:color w:val="auto"/>
                <w:w w:val="90"/>
              </w:rPr>
              <w:t xml:space="preserve">Purchased </w:t>
            </w:r>
            <w:r>
              <w:rPr>
                <w:rFonts w:ascii="Arial" w:cs="Arial" w:eastAsia="Arial" w:hAnsi="Arial"/>
                <w:sz w:val="12"/>
                <w:szCs w:val="12"/>
                <w:b w:val="1"/>
                <w:bCs w:val="1"/>
                <w:color w:val="auto"/>
                <w:w w:val="90"/>
              </w:rPr>
              <w:t>(1)</w:t>
            </w:r>
          </w:p>
        </w:tc>
        <w:tc>
          <w:tcPr>
            <w:tcW w:w="600" w:type="dxa"/>
            <w:vAlign w:val="bottom"/>
          </w:tcPr>
          <w:p>
            <w:pPr>
              <w:spacing w:after="0"/>
              <w:rPr>
                <w:sz w:val="15"/>
                <w:szCs w:val="15"/>
                <w:color w:val="auto"/>
              </w:rPr>
            </w:pPr>
          </w:p>
        </w:tc>
        <w:tc>
          <w:tcPr>
            <w:tcW w:w="126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Per Share</w:t>
            </w:r>
          </w:p>
        </w:tc>
        <w:tc>
          <w:tcPr>
            <w:tcW w:w="128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4"/>
              </w:rPr>
              <w:t>Programs</w:t>
            </w:r>
          </w:p>
        </w:tc>
        <w:tc>
          <w:tcPr>
            <w:tcW w:w="320" w:type="dxa"/>
            <w:vAlign w:val="bottom"/>
          </w:tcPr>
          <w:p>
            <w:pPr>
              <w:spacing w:after="0"/>
              <w:rPr>
                <w:sz w:val="15"/>
                <w:szCs w:val="15"/>
                <w:color w:val="auto"/>
              </w:rPr>
            </w:pPr>
          </w:p>
        </w:tc>
        <w:tc>
          <w:tcPr>
            <w:tcW w:w="1360" w:type="dxa"/>
            <w:vAlign w:val="bottom"/>
            <w:gridSpan w:val="3"/>
          </w:tcPr>
          <w:p>
            <w:pPr>
              <w:jc w:val="right"/>
              <w:ind w:right="60"/>
              <w:spacing w:after="0" w:line="157" w:lineRule="exact"/>
              <w:rPr>
                <w:sz w:val="20"/>
                <w:szCs w:val="20"/>
                <w:color w:val="auto"/>
              </w:rPr>
            </w:pPr>
            <w:r>
              <w:rPr>
                <w:rFonts w:ascii="Arial" w:cs="Arial" w:eastAsia="Arial" w:hAnsi="Arial"/>
                <w:sz w:val="14"/>
                <w:szCs w:val="14"/>
                <w:b w:val="1"/>
                <w:bCs w:val="1"/>
                <w:color w:val="auto"/>
                <w:w w:val="90"/>
              </w:rPr>
              <w:t>Repurchase Program</w:t>
            </w:r>
          </w:p>
        </w:tc>
        <w:tc>
          <w:tcPr>
            <w:tcW w:w="0" w:type="dxa"/>
            <w:vAlign w:val="bottom"/>
          </w:tcPr>
          <w:p>
            <w:pPr>
              <w:spacing w:after="0"/>
              <w:rPr>
                <w:sz w:val="1"/>
                <w:szCs w:val="1"/>
                <w:color w:val="auto"/>
              </w:rPr>
            </w:pPr>
          </w:p>
        </w:tc>
      </w:tr>
      <w:tr>
        <w:trPr>
          <w:trHeight w:val="202"/>
        </w:trPr>
        <w:tc>
          <w:tcPr>
            <w:tcW w:w="4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January 1, 2020 through January 31, 2020</w:t>
            </w:r>
          </w:p>
        </w:tc>
        <w:tc>
          <w:tcPr>
            <w:tcW w:w="820" w:type="dxa"/>
            <w:vAlign w:val="bottom"/>
            <w:tcBorders>
              <w:top w:val="single" w:sz="8" w:color="auto"/>
            </w:tcBorders>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40" w:type="dxa"/>
            <w:vAlign w:val="bottom"/>
            <w:gridSpan w:val="2"/>
          </w:tcPr>
          <w:p>
            <w:pPr>
              <w:spacing w:after="0"/>
              <w:rPr>
                <w:sz w:val="20"/>
                <w:szCs w:val="20"/>
                <w:color w:val="auto"/>
              </w:rPr>
            </w:pPr>
            <w:r>
              <w:rPr>
                <w:rFonts w:ascii="Arial" w:cs="Arial" w:eastAsia="Arial" w:hAnsi="Arial"/>
                <w:sz w:val="18"/>
                <w:szCs w:val="18"/>
                <w:color w:val="auto"/>
              </w:rPr>
              <w:t>February 1, 2020 through February 29, 2020</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5"/>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2020 through March 31, 2020</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0"/>
              </w:rPr>
              <w:t>25,719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10.37</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25,719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5"/>
        </w:trPr>
        <w:tc>
          <w:tcPr>
            <w:tcW w:w="4440" w:type="dxa"/>
            <w:vAlign w:val="bottom"/>
            <w:gridSpan w:val="2"/>
          </w:tcPr>
          <w:p>
            <w:pPr>
              <w:spacing w:after="0"/>
              <w:rPr>
                <w:sz w:val="20"/>
                <w:szCs w:val="20"/>
                <w:color w:val="auto"/>
              </w:rPr>
            </w:pPr>
            <w:r>
              <w:rPr>
                <w:rFonts w:ascii="Arial" w:cs="Arial" w:eastAsia="Arial" w:hAnsi="Arial"/>
                <w:sz w:val="18"/>
                <w:szCs w:val="18"/>
                <w:color w:val="auto"/>
              </w:rPr>
              <w:t>April 1, 2020 through April 30, 2020</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5"/>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2020 through May 31, 2020</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5"/>
        </w:trPr>
        <w:tc>
          <w:tcPr>
            <w:tcW w:w="4440" w:type="dxa"/>
            <w:vAlign w:val="bottom"/>
            <w:gridSpan w:val="2"/>
          </w:tcPr>
          <w:p>
            <w:pPr>
              <w:spacing w:after="0"/>
              <w:rPr>
                <w:sz w:val="20"/>
                <w:szCs w:val="20"/>
                <w:color w:val="auto"/>
              </w:rPr>
            </w:pPr>
            <w:r>
              <w:rPr>
                <w:rFonts w:ascii="Arial" w:cs="Arial" w:eastAsia="Arial" w:hAnsi="Arial"/>
                <w:sz w:val="18"/>
                <w:szCs w:val="18"/>
                <w:color w:val="auto"/>
              </w:rPr>
              <w:t>June 1, 2020 through June 30, 2020</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5"/>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2020 through July 31, 2020</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5"/>
        </w:trPr>
        <w:tc>
          <w:tcPr>
            <w:tcW w:w="4440" w:type="dxa"/>
            <w:vAlign w:val="bottom"/>
            <w:gridSpan w:val="2"/>
          </w:tcPr>
          <w:p>
            <w:pPr>
              <w:spacing w:after="0"/>
              <w:rPr>
                <w:sz w:val="20"/>
                <w:szCs w:val="20"/>
                <w:color w:val="auto"/>
              </w:rPr>
            </w:pPr>
            <w:r>
              <w:rPr>
                <w:rFonts w:ascii="Arial" w:cs="Arial" w:eastAsia="Arial" w:hAnsi="Arial"/>
                <w:sz w:val="18"/>
                <w:szCs w:val="18"/>
                <w:color w:val="auto"/>
              </w:rPr>
              <w:t>August 1, 2020 through August 31, 2020</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5"/>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2020 through September 30, 2020</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7"/>
              </w:rPr>
              <w:t>25,719</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4"/>
              </w:rPr>
              <w:t>10.37</w:t>
            </w:r>
          </w:p>
        </w:tc>
        <w:tc>
          <w:tcPr>
            <w:tcW w:w="620" w:type="dxa"/>
            <w:vAlign w:val="bottom"/>
          </w:tcPr>
          <w:p>
            <w:pPr>
              <w:spacing w:after="0"/>
              <w:rPr>
                <w:sz w:val="19"/>
                <w:szCs w:val="19"/>
                <w:color w:val="auto"/>
              </w:rPr>
            </w:pPr>
          </w:p>
        </w:tc>
        <w:tc>
          <w:tcPr>
            <w:tcW w:w="9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7"/>
              </w:rPr>
              <w:t>25,719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right="200" w:hanging="431"/>
        <w:spacing w:after="0" w:line="263" w:lineRule="auto"/>
        <w:tabs>
          <w:tab w:leader="none" w:pos="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Excludes shares purchased on the open market and reissued in order to satisfy the dividend reinvestment plan (“DRIP”) obligation to deliver shares of common stock in lieu of issuing new shares. During the nine months ended September 30, 2020, we purchased and reissued shares of common stock to satisfy the DRIP obligation as follows: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58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Average</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Shares</w:t>
            </w:r>
          </w:p>
        </w:tc>
        <w:tc>
          <w:tcPr>
            <w:tcW w:w="5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900" w:type="dxa"/>
            <w:vAlign w:val="bottom"/>
            <w:vMerge w:val="restart"/>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Purchased</w:t>
            </w:r>
          </w:p>
        </w:tc>
        <w:tc>
          <w:tcPr>
            <w:tcW w:w="1240" w:type="dxa"/>
            <w:vAlign w:val="bottom"/>
            <w:gridSpan w:val="3"/>
          </w:tcPr>
          <w:p>
            <w:pPr>
              <w:ind w:left="580"/>
              <w:spacing w:after="0" w:line="148" w:lineRule="exact"/>
              <w:rPr>
                <w:sz w:val="20"/>
                <w:szCs w:val="20"/>
                <w:color w:val="auto"/>
              </w:rPr>
            </w:pPr>
            <w:r>
              <w:rPr>
                <w:rFonts w:ascii="Arial" w:cs="Arial" w:eastAsia="Arial" w:hAnsi="Arial"/>
                <w:sz w:val="14"/>
                <w:szCs w:val="14"/>
                <w:b w:val="1"/>
                <w:bCs w:val="1"/>
                <w:color w:val="auto"/>
                <w:w w:val="94"/>
              </w:rPr>
              <w:t>Price Paid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20" w:type="dxa"/>
            <w:vAlign w:val="bottom"/>
            <w:tcBorders>
              <w:bottom w:val="single" w:sz="8" w:color="auto"/>
            </w:tcBorders>
            <w:vMerge w:val="continue"/>
          </w:tcPr>
          <w:p>
            <w:pPr>
              <w:spacing w:after="0"/>
              <w:rPr>
                <w:sz w:val="15"/>
                <w:szCs w:val="15"/>
                <w:color w:val="auto"/>
              </w:rPr>
            </w:pPr>
          </w:p>
        </w:tc>
        <w:tc>
          <w:tcPr>
            <w:tcW w:w="3900" w:type="dxa"/>
            <w:vAlign w:val="bottom"/>
            <w:vMerge w:val="continue"/>
          </w:tcPr>
          <w:p>
            <w:pPr>
              <w:spacing w:after="0"/>
              <w:rPr>
                <w:sz w:val="15"/>
                <w:szCs w:val="15"/>
                <w:color w:val="auto"/>
              </w:rPr>
            </w:pPr>
          </w:p>
        </w:tc>
        <w:tc>
          <w:tcPr>
            <w:tcW w:w="220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rPr>
              <w:t>and Reissued</w:t>
            </w:r>
          </w:p>
        </w:tc>
        <w:tc>
          <w:tcPr>
            <w:tcW w:w="580" w:type="dxa"/>
            <w:vAlign w:val="bottom"/>
          </w:tcPr>
          <w:p>
            <w:pPr>
              <w:spacing w:after="0"/>
              <w:rPr>
                <w:sz w:val="15"/>
                <w:szCs w:val="15"/>
                <w:color w:val="auto"/>
              </w:rPr>
            </w:pPr>
          </w:p>
        </w:tc>
        <w:tc>
          <w:tcPr>
            <w:tcW w:w="66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w w:val="94"/>
              </w:rPr>
              <w:t>Per Share</w:t>
            </w:r>
          </w:p>
        </w:tc>
        <w:tc>
          <w:tcPr>
            <w:tcW w:w="1460" w:type="dxa"/>
            <w:vAlign w:val="bottom"/>
            <w:gridSpan w:val="4"/>
          </w:tcPr>
          <w:p>
            <w:pPr>
              <w:jc w:val="right"/>
              <w:ind w:right="60"/>
              <w:spacing w:after="0" w:line="157" w:lineRule="exact"/>
              <w:rPr>
                <w:sz w:val="20"/>
                <w:szCs w:val="20"/>
                <w:color w:val="auto"/>
              </w:rPr>
            </w:pPr>
            <w:r>
              <w:rPr>
                <w:rFonts w:ascii="Arial" w:cs="Arial" w:eastAsia="Arial" w:hAnsi="Arial"/>
                <w:sz w:val="14"/>
                <w:szCs w:val="14"/>
                <w:b w:val="1"/>
                <w:bCs w:val="1"/>
                <w:color w:val="auto"/>
              </w:rPr>
              <w:t>Amount Paid</w:t>
            </w:r>
          </w:p>
        </w:tc>
        <w:tc>
          <w:tcPr>
            <w:tcW w:w="0" w:type="dxa"/>
            <w:vAlign w:val="bottom"/>
          </w:tcPr>
          <w:p>
            <w:pPr>
              <w:spacing w:after="0"/>
              <w:rPr>
                <w:sz w:val="1"/>
                <w:szCs w:val="1"/>
                <w:color w:val="auto"/>
              </w:rPr>
            </w:pPr>
          </w:p>
        </w:tc>
      </w:tr>
      <w:tr>
        <w:trPr>
          <w:trHeight w:val="202"/>
        </w:trPr>
        <w:tc>
          <w:tcPr>
            <w:tcW w:w="4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January 1, 2020 through March 31, 2020</w:t>
            </w:r>
          </w:p>
        </w:tc>
        <w:tc>
          <w:tcPr>
            <w:tcW w:w="1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31,586</w:t>
            </w: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7.58</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320" w:type="dxa"/>
            <w:vAlign w:val="bottom"/>
            <w:gridSpan w:val="2"/>
          </w:tcPr>
          <w:p>
            <w:pPr>
              <w:spacing w:after="0"/>
              <w:rPr>
                <w:sz w:val="20"/>
                <w:szCs w:val="20"/>
                <w:color w:val="auto"/>
              </w:rPr>
            </w:pPr>
            <w:r>
              <w:rPr>
                <w:rFonts w:ascii="Arial" w:cs="Arial" w:eastAsia="Arial" w:hAnsi="Arial"/>
                <w:sz w:val="18"/>
                <w:szCs w:val="18"/>
                <w:color w:val="auto"/>
              </w:rPr>
              <w:t>April 1, 2020 through June 30, 2020</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21,905</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2020 through September 30, 2020</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28,871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82,362</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firstLine="439"/>
        <w:spacing w:after="0" w:line="276" w:lineRule="auto"/>
        <w:rPr>
          <w:sz w:val="20"/>
          <w:szCs w:val="20"/>
          <w:color w:val="auto"/>
        </w:rPr>
      </w:pPr>
      <w:r>
        <w:rPr>
          <w:rFonts w:ascii="Arial" w:cs="Arial" w:eastAsia="Arial" w:hAnsi="Arial"/>
          <w:sz w:val="18"/>
          <w:szCs w:val="18"/>
          <w:color w:val="auto"/>
        </w:rPr>
        <w:t>Refer to Note 8 to our consolidated financial statements for additional information concerning stock repurchases under our Stock Repurchase Program.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r>
        <w:rPr>
          <w:rFonts w:ascii="Arial" w:cs="Arial" w:eastAsia="Arial" w:hAnsi="Arial"/>
          <w:sz w:val="18"/>
          <w:szCs w:val="18"/>
          <w:b w:val="1"/>
          <w:bCs w:val="1"/>
          <w:i w:val="1"/>
          <w:iCs w:val="1"/>
          <w:color w:val="auto"/>
        </w:rPr>
        <w:t>.</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320" w:top="459" w:right="5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4"/>
                <w:szCs w:val="14"/>
                <w:color w:val="auto"/>
              </w:rPr>
            </w:pPr>
          </w:p>
        </w:tc>
        <w:tc>
          <w:tcPr>
            <w:tcW w:w="9900" w:type="dxa"/>
            <w:vAlign w:val="bottom"/>
            <w:gridSpan w:val="14"/>
          </w:tcPr>
          <w:p>
            <w:pPr>
              <w:spacing w:after="0"/>
              <w:rPr>
                <w:sz w:val="20"/>
                <w:szCs w:val="20"/>
                <w:color w:val="auto"/>
              </w:rPr>
            </w:pPr>
            <w:r>
              <w:rPr>
                <w:rFonts w:ascii="Arial" w:cs="Arial" w:eastAsia="Arial" w:hAnsi="Arial"/>
                <w:sz w:val="14"/>
                <w:szCs w:val="14"/>
                <w:b w:val="1"/>
                <w:bCs w:val="1"/>
                <w:color w:val="auto"/>
              </w:rPr>
              <w:t>Exhibit</w:t>
            </w:r>
          </w:p>
        </w:tc>
      </w:tr>
      <w:tr>
        <w:trPr>
          <w:trHeight w:val="169"/>
        </w:trPr>
        <w:tc>
          <w:tcPr>
            <w:tcW w:w="520" w:type="dxa"/>
            <w:vAlign w:val="bottom"/>
            <w:tcBorders>
              <w:top w:val="single" w:sz="8" w:color="auto"/>
            </w:tcBorders>
          </w:tcPr>
          <w:p>
            <w:pPr>
              <w:jc w:val="right"/>
              <w:ind w:right="113"/>
              <w:spacing w:after="0" w:line="169" w:lineRule="exact"/>
              <w:rPr>
                <w:sz w:val="20"/>
                <w:szCs w:val="20"/>
                <w:color w:val="auto"/>
              </w:rPr>
            </w:pPr>
            <w:r>
              <w:rPr>
                <w:rFonts w:ascii="Arial" w:cs="Arial" w:eastAsia="Arial" w:hAnsi="Arial"/>
                <w:sz w:val="18"/>
                <w:szCs w:val="18"/>
                <w:color w:val="auto"/>
              </w:rPr>
              <w:t>3.1</w:t>
            </w:r>
          </w:p>
        </w:tc>
        <w:tc>
          <w:tcPr>
            <w:tcW w:w="540" w:type="dxa"/>
            <w:vAlign w:val="bottom"/>
          </w:tcPr>
          <w:p>
            <w:pPr>
              <w:spacing w:after="0"/>
              <w:rPr>
                <w:sz w:val="14"/>
                <w:szCs w:val="14"/>
                <w:color w:val="auto"/>
              </w:rPr>
            </w:pPr>
          </w:p>
        </w:tc>
        <w:tc>
          <w:tcPr>
            <w:tcW w:w="44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71"/>
              </w:rPr>
            </w:pPr>
            <w:hyperlink r:id="rId204">
              <w:r>
                <w:rPr>
                  <w:rFonts w:ascii="Arial" w:cs="Arial" w:eastAsia="Arial" w:hAnsi="Arial"/>
                  <w:sz w:val="18"/>
                  <w:szCs w:val="18"/>
                  <w:color w:val="0000EE"/>
                  <w:w w:val="71"/>
                </w:rPr>
                <w:t>Articles</w:t>
              </w:r>
            </w:hyperlink>
          </w:p>
        </w:tc>
        <w:tc>
          <w:tcPr>
            <w:tcW w:w="9360" w:type="dxa"/>
            <w:vAlign w:val="bottom"/>
            <w:tcBorders>
              <w:bottom w:val="single" w:sz="8" w:color="0000EE"/>
            </w:tcBorders>
            <w:gridSpan w:val="11"/>
          </w:tcPr>
          <w:p>
            <w:pPr>
              <w:ind w:left="160"/>
              <w:spacing w:after="0" w:line="169"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of Amendment and Restatement of the Registrant (Filed as Exhibit (a)(1) to Pre-Effective Amendment No. 2 to the Registrant’s</w:t>
              </w:r>
            </w:hyperlink>
          </w:p>
        </w:tc>
        <w:tc>
          <w:tcPr>
            <w:tcW w:w="100" w:type="dxa"/>
            <w:vAlign w:val="bottom"/>
            <w:gridSpan w:val="2"/>
          </w:tcPr>
          <w:p>
            <w:pPr>
              <w:spacing w:after="0"/>
              <w:rPr>
                <w:sz w:val="14"/>
                <w:szCs w:val="14"/>
                <w:color w:val="auto"/>
              </w:rPr>
            </w:pPr>
          </w:p>
        </w:tc>
      </w:tr>
      <w:tr>
        <w:trPr>
          <w:trHeight w:val="195"/>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14"/>
          </w:tcPr>
          <w:p>
            <w:pPr>
              <w:spacing w:after="0" w:line="195" w:lineRule="exact"/>
              <w:rPr>
                <w:rFonts w:ascii="Arial" w:cs="Arial" w:eastAsia="Arial" w:hAnsi="Arial"/>
                <w:sz w:val="18"/>
                <w:szCs w:val="18"/>
                <w:color w:val="0000EE"/>
                <w:w w:val="92"/>
              </w:rPr>
            </w:pPr>
            <w:hyperlink r:id="rId204">
              <w:r>
                <w:rPr>
                  <w:rFonts w:ascii="Arial" w:cs="Arial" w:eastAsia="Arial" w:hAnsi="Arial"/>
                  <w:sz w:val="18"/>
                  <w:szCs w:val="18"/>
                  <w:color w:val="0000EE"/>
                  <w:w w:val="92"/>
                </w:rPr>
                <w:t>Registration Statement on Form N-2 (File No. 333-172550) filed with the U.S. Securities and Exchange Commission on April 29, 2011</w:t>
              </w:r>
            </w:hyperlink>
          </w:p>
        </w:tc>
      </w:tr>
      <w:tr>
        <w:trPr>
          <w:trHeight w:val="195"/>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6"/>
          </w:tcPr>
          <w:p>
            <w:pPr>
              <w:spacing w:after="0" w:line="195" w:lineRule="exact"/>
              <w:rPr>
                <w:rFonts w:ascii="Arial" w:cs="Arial" w:eastAsia="Arial" w:hAnsi="Arial"/>
                <w:sz w:val="18"/>
                <w:szCs w:val="18"/>
                <w:color w:val="0000EE"/>
                <w:w w:val="88"/>
              </w:rPr>
            </w:pPr>
            <w:hyperlink r:id="rId204">
              <w:r>
                <w:rPr>
                  <w:rFonts w:ascii="Arial" w:cs="Arial" w:eastAsia="Arial" w:hAnsi="Arial"/>
                  <w:sz w:val="18"/>
                  <w:szCs w:val="18"/>
                  <w:color w:val="0000EE"/>
                  <w:w w:val="88"/>
                </w:rPr>
                <w:t>and incorporated herein by reference).</w:t>
              </w:r>
            </w:hyperlink>
          </w:p>
        </w:tc>
        <w:tc>
          <w:tcPr>
            <w:tcW w:w="7060" w:type="dxa"/>
            <w:vAlign w:val="bottom"/>
            <w:tcBorders>
              <w:top w:val="single" w:sz="8" w:color="0000EE"/>
            </w:tcBorders>
            <w:gridSpan w:val="6"/>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303"/>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9900" w:type="dxa"/>
            <w:vAlign w:val="bottom"/>
            <w:gridSpan w:val="14"/>
          </w:tcPr>
          <w:p>
            <w:pPr>
              <w:spacing w:after="0"/>
              <w:rPr>
                <w:rFonts w:ascii="Arial" w:cs="Arial" w:eastAsia="Arial" w:hAnsi="Arial"/>
                <w:sz w:val="18"/>
                <w:szCs w:val="18"/>
                <w:color w:val="0000EE"/>
                <w:w w:val="92"/>
              </w:rPr>
            </w:pPr>
            <w:hyperlink r:id="rId205">
              <w:r>
                <w:rPr>
                  <w:rFonts w:ascii="Arial" w:cs="Arial" w:eastAsia="Arial" w:hAnsi="Arial"/>
                  <w:sz w:val="18"/>
                  <w:szCs w:val="18"/>
                  <w:color w:val="0000EE"/>
                  <w:w w:val="92"/>
                </w:rPr>
                <w:t>Bylaws of the Registrant (Filed as Exhibit (b)(1) to Pre-Effective Amendment No. 2 to the Registrant’s Registration Statement on Form</w:t>
              </w:r>
            </w:hyperlink>
          </w:p>
        </w:tc>
      </w:tr>
      <w:tr>
        <w:trPr>
          <w:trHeight w:val="195"/>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20" w:type="dxa"/>
            <w:vAlign w:val="bottom"/>
            <w:tcBorders>
              <w:top w:val="single" w:sz="8" w:color="0000EE"/>
            </w:tcBorders>
            <w:gridSpan w:val="11"/>
          </w:tcPr>
          <w:p>
            <w:pPr>
              <w:spacing w:after="0" w:line="195" w:lineRule="exact"/>
              <w:rPr>
                <w:rFonts w:ascii="Arial" w:cs="Arial" w:eastAsia="Arial" w:hAnsi="Arial"/>
                <w:sz w:val="18"/>
                <w:szCs w:val="18"/>
                <w:color w:val="0000EE"/>
                <w:w w:val="94"/>
              </w:rPr>
            </w:pPr>
            <w:hyperlink r:id="rId205">
              <w:r>
                <w:rPr>
                  <w:rFonts w:ascii="Arial" w:cs="Arial" w:eastAsia="Arial" w:hAnsi="Arial"/>
                  <w:sz w:val="18"/>
                  <w:szCs w:val="18"/>
                  <w:color w:val="0000EE"/>
                  <w:w w:val="94"/>
                </w:rPr>
                <w:t>N-2 (File No. 333-172550) filed with the U.S. Securities and Exchange Commission on April 29, 2011 and incorporated herein by</w:t>
              </w:r>
            </w:hyperlink>
          </w:p>
        </w:tc>
        <w:tc>
          <w:tcPr>
            <w:tcW w:w="180" w:type="dxa"/>
            <w:vAlign w:val="bottom"/>
            <w:gridSpan w:val="3"/>
          </w:tcPr>
          <w:p>
            <w:pPr>
              <w:spacing w:after="0"/>
              <w:rPr>
                <w:sz w:val="17"/>
                <w:szCs w:val="17"/>
                <w:color w:val="auto"/>
              </w:rPr>
            </w:pPr>
          </w:p>
        </w:tc>
      </w:tr>
      <w:tr>
        <w:trPr>
          <w:trHeight w:val="195"/>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5" w:lineRule="exact"/>
              <w:rPr>
                <w:rFonts w:ascii="Arial" w:cs="Arial" w:eastAsia="Arial" w:hAnsi="Arial"/>
                <w:sz w:val="18"/>
                <w:szCs w:val="18"/>
                <w:color w:val="0000EE"/>
                <w:w w:val="84"/>
              </w:rPr>
            </w:pPr>
            <w:hyperlink r:id="rId205">
              <w:r>
                <w:rPr>
                  <w:rFonts w:ascii="Arial" w:cs="Arial" w:eastAsia="Arial" w:hAnsi="Arial"/>
                  <w:sz w:val="18"/>
                  <w:szCs w:val="18"/>
                  <w:color w:val="0000EE"/>
                  <w:w w:val="84"/>
                </w:rPr>
                <w:t>reference).</w:t>
              </w:r>
            </w:hyperlink>
          </w:p>
        </w:tc>
        <w:tc>
          <w:tcPr>
            <w:tcW w:w="8580" w:type="dxa"/>
            <w:vAlign w:val="bottom"/>
            <w:tcBorders>
              <w:top w:val="single" w:sz="8" w:color="0000EE"/>
            </w:tcBorders>
            <w:gridSpan w:val="6"/>
          </w:tcPr>
          <w:p>
            <w:pPr>
              <w:spacing w:after="0"/>
              <w:rPr>
                <w:sz w:val="17"/>
                <w:szCs w:val="17"/>
                <w:color w:val="auto"/>
              </w:rPr>
            </w:pPr>
          </w:p>
        </w:tc>
        <w:tc>
          <w:tcPr>
            <w:tcW w:w="560" w:type="dxa"/>
            <w:vAlign w:val="bottom"/>
            <w:gridSpan w:val="6"/>
          </w:tcPr>
          <w:p>
            <w:pPr>
              <w:spacing w:after="0"/>
              <w:rPr>
                <w:sz w:val="17"/>
                <w:szCs w:val="17"/>
                <w:color w:val="auto"/>
              </w:rPr>
            </w:pPr>
          </w:p>
        </w:tc>
      </w:tr>
      <w:tr>
        <w:trPr>
          <w:trHeight w:val="303"/>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900" w:type="dxa"/>
            <w:vAlign w:val="bottom"/>
            <w:gridSpan w:val="14"/>
          </w:tcPr>
          <w:p>
            <w:pPr>
              <w:spacing w:after="0"/>
              <w:rPr>
                <w:rFonts w:ascii="Arial" w:cs="Arial" w:eastAsia="Arial" w:hAnsi="Arial"/>
                <w:sz w:val="18"/>
                <w:szCs w:val="18"/>
                <w:color w:val="0000EE"/>
                <w:w w:val="96"/>
              </w:rPr>
            </w:pPr>
            <w:hyperlink r:id="rId206">
              <w:r>
                <w:rPr>
                  <w:rFonts w:ascii="Arial" w:cs="Arial" w:eastAsia="Arial" w:hAnsi="Arial"/>
                  <w:sz w:val="18"/>
                  <w:szCs w:val="18"/>
                  <w:color w:val="0000EE"/>
                  <w:w w:val="96"/>
                </w:rPr>
                <w:t>Form of Stock Certificate of the Registrant (Filed as Exhibit (d) to Pre-Effective Amendment No. 2 to the Registrant’s Registration</w:t>
              </w:r>
            </w:hyperlink>
          </w:p>
        </w:tc>
      </w:tr>
      <w:tr>
        <w:trPr>
          <w:trHeight w:val="195"/>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20" w:type="dxa"/>
            <w:vAlign w:val="bottom"/>
            <w:tcBorders>
              <w:top w:val="single" w:sz="8" w:color="0000EE"/>
            </w:tcBorders>
            <w:gridSpan w:val="9"/>
          </w:tcPr>
          <w:p>
            <w:pPr>
              <w:spacing w:after="0" w:line="195" w:lineRule="exact"/>
              <w:rPr>
                <w:rFonts w:ascii="Arial" w:cs="Arial" w:eastAsia="Arial" w:hAnsi="Arial"/>
                <w:sz w:val="18"/>
                <w:szCs w:val="18"/>
                <w:color w:val="0000EE"/>
                <w:w w:val="94"/>
              </w:rPr>
            </w:pPr>
            <w:hyperlink r:id="rId206">
              <w:r>
                <w:rPr>
                  <w:rFonts w:ascii="Arial" w:cs="Arial" w:eastAsia="Arial" w:hAnsi="Arial"/>
                  <w:sz w:val="18"/>
                  <w:szCs w:val="18"/>
                  <w:color w:val="0000EE"/>
                  <w:w w:val="94"/>
                </w:rPr>
                <w:t>Statement on Form N-2 (File No. 333-172550) filed with the U.S. Securities and Exchange Commission on April 29, 2011 and</w:t>
              </w:r>
            </w:hyperlink>
          </w:p>
        </w:tc>
        <w:tc>
          <w:tcPr>
            <w:tcW w:w="480" w:type="dxa"/>
            <w:vAlign w:val="bottom"/>
            <w:gridSpan w:val="5"/>
          </w:tcPr>
          <w:p>
            <w:pPr>
              <w:spacing w:after="0"/>
              <w:rPr>
                <w:sz w:val="17"/>
                <w:szCs w:val="17"/>
                <w:color w:val="auto"/>
              </w:rPr>
            </w:pPr>
          </w:p>
        </w:tc>
      </w:tr>
      <w:tr>
        <w:trPr>
          <w:trHeight w:val="195"/>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140" w:type="dxa"/>
            <w:vAlign w:val="bottom"/>
            <w:tcBorders>
              <w:top w:val="single" w:sz="8" w:color="0000EE"/>
            </w:tcBorders>
            <w:gridSpan w:val="7"/>
          </w:tcPr>
          <w:p>
            <w:pPr>
              <w:spacing w:after="0" w:line="195" w:lineRule="exact"/>
              <w:rPr>
                <w:rFonts w:ascii="Arial" w:cs="Arial" w:eastAsia="Arial" w:hAnsi="Arial"/>
                <w:sz w:val="18"/>
                <w:szCs w:val="18"/>
                <w:color w:val="0000EE"/>
              </w:rPr>
            </w:pPr>
            <w:hyperlink r:id="rId206">
              <w:r>
                <w:rPr>
                  <w:rFonts w:ascii="Arial" w:cs="Arial" w:eastAsia="Arial" w:hAnsi="Arial"/>
                  <w:sz w:val="18"/>
                  <w:szCs w:val="18"/>
                  <w:color w:val="0000EE"/>
                </w:rPr>
                <w:t>incorporated herein by reference).</w:t>
              </w:r>
            </w:hyperlink>
          </w:p>
        </w:tc>
        <w:tc>
          <w:tcPr>
            <w:tcW w:w="760" w:type="dxa"/>
            <w:vAlign w:val="bottom"/>
            <w:gridSpan w:val="7"/>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3"/>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31.1</w:t>
            </w:r>
          </w:p>
        </w:tc>
        <w:tc>
          <w:tcPr>
            <w:tcW w:w="540" w:type="dxa"/>
            <w:vAlign w:val="bottom"/>
          </w:tcPr>
          <w:p>
            <w:pPr>
              <w:spacing w:after="0"/>
              <w:rPr>
                <w:sz w:val="24"/>
                <w:szCs w:val="24"/>
                <w:color w:val="auto"/>
              </w:rPr>
            </w:pPr>
          </w:p>
        </w:tc>
        <w:tc>
          <w:tcPr>
            <w:tcW w:w="99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Chief Executive Officer Certification Pursuant to Rule 13a-14 of the Securities Exchange Act of 1934, as adopted pursuant to Section 302</w:t>
              </w:r>
            </w:hyperlink>
          </w:p>
        </w:tc>
      </w:tr>
      <w:tr>
        <w:trPr>
          <w:trHeight w:val="195"/>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14"/>
          </w:tcPr>
          <w:p>
            <w:pPr>
              <w:spacing w:after="0" w:line="195" w:lineRule="exact"/>
              <w:rPr>
                <w:rFonts w:ascii="Arial" w:cs="Arial" w:eastAsia="Arial" w:hAnsi="Arial"/>
                <w:sz w:val="18"/>
                <w:szCs w:val="18"/>
                <w:color w:val="0000EE"/>
              </w:rPr>
            </w:pPr>
            <w:hyperlink w:anchor="page70">
              <w:r>
                <w:rPr>
                  <w:rFonts w:ascii="Arial" w:cs="Arial" w:eastAsia="Arial" w:hAnsi="Arial"/>
                  <w:sz w:val="18"/>
                  <w:szCs w:val="18"/>
                  <w:color w:val="0000EE"/>
                </w:rPr>
                <w:t>of the Sarbanes-Oxley Act of 2002.*</w:t>
              </w:r>
            </w:hyperlink>
          </w:p>
        </w:tc>
      </w:tr>
      <w:tr>
        <w:trPr>
          <w:trHeight w:val="20"/>
        </w:trPr>
        <w:tc>
          <w:tcPr>
            <w:tcW w:w="52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3"/>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31.2</w:t>
            </w:r>
          </w:p>
        </w:tc>
        <w:tc>
          <w:tcPr>
            <w:tcW w:w="540" w:type="dxa"/>
            <w:vAlign w:val="bottom"/>
          </w:tcPr>
          <w:p>
            <w:pPr>
              <w:spacing w:after="0"/>
              <w:rPr>
                <w:sz w:val="24"/>
                <w:szCs w:val="24"/>
                <w:color w:val="auto"/>
              </w:rPr>
            </w:pPr>
          </w:p>
        </w:tc>
        <w:tc>
          <w:tcPr>
            <w:tcW w:w="98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Chief Financial Officer Certification Pursuant to Rule 13a-14 of the Securities Exchange Act of 1934, as adopted pursuant to Section 302</w:t>
              </w:r>
            </w:hyperlink>
          </w:p>
        </w:tc>
        <w:tc>
          <w:tcPr>
            <w:tcW w:w="40" w:type="dxa"/>
            <w:vAlign w:val="bottom"/>
          </w:tcPr>
          <w:p>
            <w:pPr>
              <w:spacing w:after="0"/>
              <w:rPr>
                <w:sz w:val="24"/>
                <w:szCs w:val="24"/>
                <w:color w:val="auto"/>
              </w:rPr>
            </w:pPr>
          </w:p>
        </w:tc>
      </w:tr>
      <w:tr>
        <w:trPr>
          <w:trHeight w:val="195"/>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14"/>
          </w:tcPr>
          <w:p>
            <w:pPr>
              <w:spacing w:after="0" w:line="195" w:lineRule="exact"/>
              <w:rPr>
                <w:rFonts w:ascii="Arial" w:cs="Arial" w:eastAsia="Arial" w:hAnsi="Arial"/>
                <w:sz w:val="18"/>
                <w:szCs w:val="18"/>
                <w:color w:val="0000EE"/>
              </w:rPr>
            </w:pPr>
            <w:hyperlink w:anchor="page71">
              <w:r>
                <w:rPr>
                  <w:rFonts w:ascii="Arial" w:cs="Arial" w:eastAsia="Arial" w:hAnsi="Arial"/>
                  <w:sz w:val="18"/>
                  <w:szCs w:val="18"/>
                  <w:color w:val="0000EE"/>
                </w:rPr>
                <w:t>of the Sarbanes-Oxley Act of 2002.*</w:t>
              </w:r>
            </w:hyperlink>
          </w:p>
        </w:tc>
      </w:tr>
      <w:tr>
        <w:trPr>
          <w:trHeight w:val="20"/>
        </w:trPr>
        <w:tc>
          <w:tcPr>
            <w:tcW w:w="52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303"/>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32.1</w:t>
            </w:r>
          </w:p>
        </w:tc>
        <w:tc>
          <w:tcPr>
            <w:tcW w:w="540" w:type="dxa"/>
            <w:vAlign w:val="bottom"/>
          </w:tcPr>
          <w:p>
            <w:pPr>
              <w:spacing w:after="0"/>
              <w:rPr>
                <w:sz w:val="24"/>
                <w:szCs w:val="24"/>
                <w:color w:val="auto"/>
              </w:rPr>
            </w:pPr>
          </w:p>
        </w:tc>
        <w:tc>
          <w:tcPr>
            <w:tcW w:w="97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Certification pursuant to Section 1350, Chapter 63 of Title 18, United States Code, as adopted pursuant to Section 906 of the Sarbanes-</w:t>
              </w:r>
            </w:hyperlink>
          </w:p>
        </w:tc>
        <w:tc>
          <w:tcPr>
            <w:tcW w:w="200" w:type="dxa"/>
            <w:vAlign w:val="bottom"/>
            <w:gridSpan w:val="4"/>
          </w:tcPr>
          <w:p>
            <w:pPr>
              <w:spacing w:after="0"/>
              <w:rPr>
                <w:sz w:val="24"/>
                <w:szCs w:val="24"/>
                <w:color w:val="auto"/>
              </w:rPr>
            </w:pPr>
          </w:p>
        </w:tc>
      </w:tr>
      <w:tr>
        <w:trPr>
          <w:trHeight w:val="195"/>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14"/>
          </w:tcPr>
          <w:p>
            <w:pPr>
              <w:spacing w:after="0" w:line="195" w:lineRule="exact"/>
              <w:rPr>
                <w:rFonts w:ascii="Arial" w:cs="Arial" w:eastAsia="Arial" w:hAnsi="Arial"/>
                <w:sz w:val="18"/>
                <w:szCs w:val="18"/>
                <w:color w:val="0000EE"/>
              </w:rPr>
            </w:pPr>
            <w:hyperlink w:anchor="page72">
              <w:r>
                <w:rPr>
                  <w:rFonts w:ascii="Arial" w:cs="Arial" w:eastAsia="Arial" w:hAnsi="Arial"/>
                  <w:sz w:val="18"/>
                  <w:szCs w:val="18"/>
                  <w:color w:val="0000EE"/>
                </w:rPr>
                <w:t>Oxley Act of 2002.*</w:t>
              </w:r>
            </w:hyperlink>
          </w:p>
        </w:tc>
      </w:tr>
      <w:tr>
        <w:trPr>
          <w:trHeight w:val="20"/>
        </w:trPr>
        <w:tc>
          <w:tcPr>
            <w:tcW w:w="52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5" w:lineRule="exact"/>
        <w:rPr>
          <w:sz w:val="20"/>
          <w:szCs w:val="20"/>
          <w:color w:val="auto"/>
        </w:rPr>
      </w:pPr>
    </w:p>
    <w:p>
      <w:pPr>
        <w:ind w:left="560" w:hanging="431"/>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8"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8"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FIDUS INVESTMENT CORPORATION</w:t>
      </w:r>
    </w:p>
    <w:p>
      <w:pPr>
        <w:spacing w:after="0" w:line="228"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Date: October 29, 2020</w:t>
      </w:r>
      <w:r>
        <w:rPr>
          <w:sz w:val="20"/>
          <w:szCs w:val="20"/>
          <w:color w:val="auto"/>
        </w:rPr>
        <w:tab/>
      </w:r>
      <w:r>
        <w:rPr>
          <w:rFonts w:ascii="Arial" w:cs="Arial" w:eastAsia="Arial" w:hAnsi="Arial"/>
          <w:sz w:val="16"/>
          <w:szCs w:val="16"/>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2753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10"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Date: October 29, 2020</w:t>
      </w:r>
      <w:r>
        <w:rPr>
          <w:sz w:val="20"/>
          <w:szCs w:val="20"/>
          <w:color w:val="auto"/>
        </w:rPr>
        <w:tab/>
      </w:r>
      <w:r>
        <w:rPr>
          <w:rFonts w:ascii="Arial" w:cs="Arial" w:eastAsia="Arial" w:hAnsi="Arial"/>
          <w:sz w:val="17"/>
          <w:szCs w:val="17"/>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2753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and Accounting Officer)</w:t>
      </w:r>
    </w:p>
    <w:p>
      <w:pPr>
        <w:spacing w:after="0" w:line="1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380"/>
          </w:cols>
          <w:pgMar w:left="320" w:top="459" w:right="119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 Chief Executive Officer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Edward H. Ross, as Chief Executive Officer of Fidus Investment Corporation, certify that:</w:t>
      </w:r>
    </w:p>
    <w:p>
      <w:pPr>
        <w:spacing w:after="0" w:line="130" w:lineRule="exact"/>
        <w:rPr>
          <w:sz w:val="20"/>
          <w:szCs w:val="20"/>
          <w:color w:val="auto"/>
        </w:rPr>
      </w:pPr>
    </w:p>
    <w:p>
      <w:pPr>
        <w:ind w:left="440" w:hanging="431"/>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Fidus Investment Corporation;</w:t>
      </w:r>
    </w:p>
    <w:p>
      <w:pPr>
        <w:spacing w:after="0" w:line="129" w:lineRule="exact"/>
        <w:rPr>
          <w:rFonts w:ascii="Arial" w:cs="Arial" w:eastAsia="Arial" w:hAnsi="Arial"/>
          <w:sz w:val="18"/>
          <w:szCs w:val="18"/>
          <w:color w:val="auto"/>
        </w:rPr>
      </w:pPr>
    </w:p>
    <w:p>
      <w:pPr>
        <w:jc w:val="both"/>
        <w:ind w:left="440" w:right="120" w:hanging="431"/>
        <w:spacing w:after="0" w:line="263"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440" w:right="80" w:hanging="431"/>
        <w:spacing w:after="0" w:line="306" w:lineRule="auto"/>
        <w:tabs>
          <w:tab w:leader="none" w:pos="4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jc w:val="both"/>
        <w:ind w:left="440" w:right="120" w:hanging="431"/>
        <w:spacing w:after="0" w:line="263"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8"/>
          <w:szCs w:val="18"/>
          <w:color w:val="auto"/>
        </w:rPr>
      </w:pPr>
    </w:p>
    <w:p>
      <w:pPr>
        <w:ind w:left="980" w:right="20" w:hanging="540"/>
        <w:spacing w:after="0" w:line="263"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8"/>
          <w:szCs w:val="18"/>
          <w:color w:val="auto"/>
        </w:rPr>
      </w:pPr>
    </w:p>
    <w:p>
      <w:pPr>
        <w:ind w:left="980" w:right="160" w:hanging="540"/>
        <w:spacing w:after="0" w:line="263"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8"/>
          <w:szCs w:val="18"/>
          <w:color w:val="auto"/>
        </w:rPr>
      </w:pPr>
    </w:p>
    <w:p>
      <w:pPr>
        <w:jc w:val="both"/>
        <w:ind w:left="980" w:right="320" w:hanging="540"/>
        <w:spacing w:after="0" w:line="341" w:lineRule="auto"/>
        <w:tabs>
          <w:tab w:leader="none" w:pos="9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20" w:hanging="540"/>
        <w:spacing w:after="0" w:line="263"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8"/>
          <w:szCs w:val="18"/>
          <w:color w:val="auto"/>
        </w:rPr>
      </w:pPr>
    </w:p>
    <w:p>
      <w:pPr>
        <w:ind w:left="440" w:right="80" w:hanging="431"/>
        <w:spacing w:after="0" w:line="341" w:lineRule="auto"/>
        <w:tabs>
          <w:tab w:leader="none" w:pos="4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80" w:right="560" w:hanging="540"/>
        <w:spacing w:after="0" w:line="341" w:lineRule="auto"/>
        <w:tabs>
          <w:tab w:leader="none" w:pos="9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60" w:hanging="540"/>
        <w:spacing w:after="0" w:line="276"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78828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278828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00"/>
          </w:cols>
          <w:pgMar w:left="440" w:top="121" w:right="45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 Chief Financial Officer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Shelby E. Sherard, as Chief Financial Officer of Fidus Investment Corporation, certify that:</w:t>
      </w:r>
    </w:p>
    <w:p>
      <w:pPr>
        <w:spacing w:after="0" w:line="130" w:lineRule="exact"/>
        <w:rPr>
          <w:sz w:val="20"/>
          <w:szCs w:val="20"/>
          <w:color w:val="auto"/>
        </w:rPr>
      </w:pPr>
    </w:p>
    <w:p>
      <w:pPr>
        <w:ind w:left="440" w:hanging="431"/>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Fidus Investment Corporation;</w:t>
      </w:r>
    </w:p>
    <w:p>
      <w:pPr>
        <w:spacing w:after="0" w:line="129" w:lineRule="exact"/>
        <w:rPr>
          <w:rFonts w:ascii="Arial" w:cs="Arial" w:eastAsia="Arial" w:hAnsi="Arial"/>
          <w:sz w:val="18"/>
          <w:szCs w:val="18"/>
          <w:color w:val="auto"/>
        </w:rPr>
      </w:pPr>
    </w:p>
    <w:p>
      <w:pPr>
        <w:jc w:val="both"/>
        <w:ind w:left="440" w:right="120" w:hanging="431"/>
        <w:spacing w:after="0" w:line="263"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440" w:right="80" w:hanging="431"/>
        <w:spacing w:after="0" w:line="306" w:lineRule="auto"/>
        <w:tabs>
          <w:tab w:leader="none" w:pos="4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jc w:val="both"/>
        <w:ind w:left="440" w:right="120" w:hanging="431"/>
        <w:spacing w:after="0" w:line="263"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8"/>
          <w:szCs w:val="18"/>
          <w:color w:val="auto"/>
        </w:rPr>
      </w:pPr>
    </w:p>
    <w:p>
      <w:pPr>
        <w:ind w:left="980" w:right="20" w:hanging="540"/>
        <w:spacing w:after="0" w:line="263"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8"/>
          <w:szCs w:val="18"/>
          <w:color w:val="auto"/>
        </w:rPr>
      </w:pPr>
    </w:p>
    <w:p>
      <w:pPr>
        <w:ind w:left="980" w:right="160" w:hanging="540"/>
        <w:spacing w:after="0" w:line="263"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8"/>
          <w:szCs w:val="18"/>
          <w:color w:val="auto"/>
        </w:rPr>
      </w:pPr>
    </w:p>
    <w:p>
      <w:pPr>
        <w:jc w:val="both"/>
        <w:ind w:left="980" w:right="320" w:hanging="540"/>
        <w:spacing w:after="0" w:line="341" w:lineRule="auto"/>
        <w:tabs>
          <w:tab w:leader="none" w:pos="9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20" w:hanging="540"/>
        <w:spacing w:after="0" w:line="263"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8"/>
          <w:szCs w:val="18"/>
          <w:color w:val="auto"/>
        </w:rPr>
      </w:pPr>
    </w:p>
    <w:p>
      <w:pPr>
        <w:ind w:left="440" w:right="80" w:hanging="431"/>
        <w:spacing w:after="0" w:line="341" w:lineRule="auto"/>
        <w:tabs>
          <w:tab w:leader="none" w:pos="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80" w:right="560" w:hanging="540"/>
        <w:spacing w:after="0" w:line="341" w:lineRule="auto"/>
        <w:tabs>
          <w:tab w:leader="none" w:pos="9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60" w:hanging="540"/>
        <w:spacing w:after="0" w:line="276"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78828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278828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00"/>
          </w:cols>
          <w:pgMar w:left="440" w:top="121" w:right="45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In connection with the Quarterly Report on Form 10-Q of Fidus Investment Corporation (the “Company”) for the quarterly period ended September 30, 2020,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spacing w:after="0" w:line="93" w:lineRule="exact"/>
        <w:rPr>
          <w:sz w:val="20"/>
          <w:szCs w:val="20"/>
          <w:color w:val="auto"/>
        </w:rPr>
      </w:pPr>
    </w:p>
    <w:p>
      <w:pPr>
        <w:ind w:left="980" w:hanging="540"/>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left="980" w:right="380" w:hanging="540"/>
        <w:spacing w:after="0" w:line="276"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October 29, 2020</w:t>
      </w:r>
      <w:r>
        <w:rPr>
          <w:sz w:val="20"/>
          <w:szCs w:val="20"/>
          <w:color w:val="auto"/>
        </w:rPr>
        <w:tab/>
      </w:r>
      <w:r>
        <w:rPr>
          <w:rFonts w:ascii="Arial" w:cs="Arial" w:eastAsia="Arial" w:hAnsi="Arial"/>
          <w:sz w:val="16"/>
          <w:szCs w:val="16"/>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753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Executive Officer)</w:t>
      </w:r>
    </w:p>
    <w:p>
      <w:pPr>
        <w:spacing w:after="0" w:line="21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753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00"/>
      </w:cols>
      <w:pgMar w:left="44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lowerLetter"/>
      <w:start w:val="1"/>
    </w:lvl>
  </w:abstractNum>
  <w:abstractNum w:abstractNumId="3">
    <w:nsid w:val="71F32454"/>
    <w:multiLevelType w:val="hybridMultilevel"/>
    <w:lvl w:ilvl="0">
      <w:lvlJc w:val="left"/>
      <w:lvlText w:val="(%1)"/>
      <w:numFmt w:val="lowerLetter"/>
      <w:start w:val="10"/>
    </w:lvl>
  </w:abstractNum>
  <w:abstractNum w:abstractNumId="4">
    <w:nsid w:val="2CA88611"/>
    <w:multiLevelType w:val="hybridMultilevel"/>
    <w:lvl w:ilvl="0">
      <w:lvlJc w:val="left"/>
      <w:lvlText w:val="(%1)"/>
      <w:numFmt w:val="lowerLetter"/>
      <w:start w:val="27"/>
    </w:lvl>
  </w:abstractNum>
  <w:abstractNum w:abstractNumId="5">
    <w:nsid w:val="836C40E"/>
    <w:multiLevelType w:val="hybridMultilevel"/>
    <w:lvl w:ilvl="0">
      <w:lvlJc w:val="left"/>
      <w:lvlText w:val="(%1)"/>
      <w:numFmt w:val="lowerLetter"/>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lowerRoman"/>
      <w:start w:val="1"/>
    </w:lvl>
  </w:abstractNum>
  <w:abstractNum w:abstractNumId="15">
    <w:nsid w:val="3006C83E"/>
    <w:multiLevelType w:val="hybridMultilevel"/>
    <w:lvl w:ilvl="0">
      <w:lvlJc w:val="left"/>
      <w:lvlText w:val="(%1)"/>
      <w:numFmt w:val="upperLetter"/>
      <w:start w:val="3"/>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upperLetter"/>
      <w:start w:val="3"/>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1)"/>
      <w:numFmt w:val="decimal"/>
      <w:start w:val="2"/>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04" Type="http://schemas.openxmlformats.org/officeDocument/2006/relationships/hyperlink" Target="http://www.sec.gov/Archives/edgar/data/1513363/000095012311041885/w81466a2exv99wxayx1y.htm" TargetMode="External"/><Relationship Id="rId205" Type="http://schemas.openxmlformats.org/officeDocument/2006/relationships/hyperlink" Target="http://www.sec.gov/Archives/edgar/data/1513363/000095012311041885/w81466a2exv99wxbyx1y.htm" TargetMode="External"/><Relationship Id="rId206" Type="http://schemas.openxmlformats.org/officeDocument/2006/relationships/hyperlink" Target="http://www.sec.gov/Archives/edgar/data/1513363/000095012311041885/w81466a2exv99wxd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2020-10-29T15:30:27Z</dcterms:created>
  <dcterms:modified xsi:type="dcterms:W3CDTF">2020-10-29T15:30:27Z</dcterms:modified>
</cp:coreProperties>
</file>