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80"/>
        <w:jc w:val="center"/>
        <w:rPr/>
      </w:pPr>
      <w:bookmarkStart w:id="0" w:name="fdus-20240331.htm"/>
      <w:bookmarkStart w:id="1" w:name="ksfdus20240331"/>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 xml:space="preserve">________________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rFonts w:ascii="Times New Roman" w:hAnsi="Times New Roman"/>
          <w:color w:val="000000"/>
          <w:sz w:val="20"/>
        </w:rPr>
      </w:pPr>
      <w:r>
        <w:rPr>
          <w:rFonts w:ascii="Times New Roman" w:hAnsi="Times New Roman"/>
          <w:color w:val="000000"/>
          <w:sz w:val="20"/>
        </w:rPr>
        <w:t>(Mark One)</w:t>
      </w:r>
    </w:p>
    <w:p>
      <w:pPr>
        <w:pStyle w:val="TextBody"/>
        <w:bidi w:val="0"/>
        <w:spacing w:before="60" w:after="283"/>
        <w:jc w:val="center"/>
        <w:rPr/>
      </w:pPr>
      <w:r>
        <w:rPr>
          <w:color w:val="000000"/>
        </w:rPr>
        <w:t xml:space="preserve">☑ </w:t>
      </w:r>
      <w:r>
        <w:rPr>
          <w:rFonts w:ascii="Times New Roman" w:hAnsi="Times New Roman"/>
          <w:b/>
          <w:color w:val="000000"/>
          <w:sz w:val="20"/>
        </w:rPr>
        <w:t>QUARTERLY REPORT PURSUANT TO SECTION 13 OR 15(d) OF THE SECURITIES</w:t>
      </w:r>
      <w:r>
        <w:rPr>
          <w:rFonts w:ascii="Times New Roman" w:hAnsi="Times New Roman"/>
          <w:color w:val="000000"/>
          <w:sz w:val="20"/>
        </w:rPr>
        <w:t xml:space="preserve"> </w:t>
      </w:r>
      <w:r>
        <w:rPr>
          <w:rFonts w:ascii="Times New Roman" w:hAnsi="Times New Roman"/>
          <w:b/>
          <w:color w:val="000000"/>
          <w:sz w:val="20"/>
        </w:rPr>
        <w:t>EXCHANGE ACT OF 1934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center"/>
        <w:rPr/>
      </w:pPr>
      <w:r>
        <w:rPr>
          <w:color w:val="000000"/>
        </w:rPr>
        <w:t xml:space="preserve">☐ </w:t>
      </w:r>
      <w:r>
        <w:rPr>
          <w:rFonts w:ascii="Times New Roman" w:hAnsi="Times New Roman"/>
          <w:b/>
          <w:color w:val="000000"/>
          <w:sz w:val="20"/>
        </w:rPr>
        <w:t>TRANSITION REPORT PURSUANT TO SECTION 13 OR 15(d) OF THE SECURITIES</w:t>
      </w:r>
      <w:r>
        <w:rPr>
          <w:rFonts w:ascii="Times New Roman" w:hAnsi="Times New Roman"/>
          <w:color w:val="000000"/>
          <w:sz w:val="20"/>
        </w:rPr>
        <w:t xml:space="preserve"> </w:t>
      </w:r>
      <w:r>
        <w:rPr>
          <w:rFonts w:ascii="Times New Roman" w:hAnsi="Times New Roman"/>
          <w:b/>
          <w:color w:val="000000"/>
          <w:sz w:val="20"/>
        </w:rPr>
        <w:t>EXCHANGE ACT OF 1934</w:t>
      </w:r>
    </w:p>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814-00861</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Fidus Investment Corporation</w:t>
      </w:r>
    </w:p>
    <w:p>
      <w:pPr>
        <w:pStyle w:val="TextBody"/>
        <w:bidi w:val="0"/>
        <w:jc w:val="center"/>
        <w:rPr>
          <w:rFonts w:ascii="Times New Roman" w:hAnsi="Times New Roman"/>
          <w:i/>
          <w:color w:val="000000"/>
          <w:sz w:val="20"/>
        </w:rPr>
      </w:pPr>
      <w:r>
        <w:rPr>
          <w:rFonts w:ascii="Times New Roman" w:hAnsi="Times New Roman"/>
          <w:i/>
          <w:color w:val="000000"/>
          <w:sz w:val="20"/>
        </w:rPr>
        <w:t>(Exact Name of Registrant as Specified in its Charter)</w:t>
      </w:r>
    </w:p>
    <w:p>
      <w:pPr>
        <w:pStyle w:val="TextBody"/>
        <w:bidi w:val="0"/>
        <w:jc w:val="center"/>
        <w:rPr/>
      </w:pPr>
      <w:r>
        <w:rPr/>
        <w:t> </w:t>
      </w:r>
    </w:p>
    <w:tbl>
      <w:tblPr>
        <w:tblW w:w="4592" w:type="dxa"/>
        <w:jc w:val="left"/>
        <w:tblInd w:w="0" w:type="dxa"/>
        <w:tblLayout w:type="fixed"/>
        <w:tblCellMar>
          <w:top w:w="28" w:type="dxa"/>
          <w:left w:w="28" w:type="dxa"/>
          <w:bottom w:w="28" w:type="dxa"/>
          <w:right w:w="28" w:type="dxa"/>
        </w:tblCellMar>
      </w:tblPr>
      <w:tblGrid>
        <w:gridCol w:w="3106"/>
        <w:gridCol w:w="1486"/>
      </w:tblGrid>
      <w:tr>
        <w:trPr/>
        <w:tc>
          <w:tcPr>
            <w:tcW w:w="310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27-5017321</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(State or Other Jurisdiction of</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(I.R.S. Employer</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1603 Orrington Avenue, Suite 1005</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Evanston, Illinois</w:t>
            </w:r>
          </w:p>
        </w:tc>
        <w:tc>
          <w:tcPr>
            <w:tcW w:w="14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60201</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(847) 859-3940</w:t>
      </w:r>
    </w:p>
    <w:p>
      <w:pPr>
        <w:pStyle w:val="TextBody"/>
        <w:bidi w:val="0"/>
        <w:jc w:val="center"/>
        <w:rPr>
          <w:rFonts w:ascii="Times New Roman" w:hAnsi="Times New Roman"/>
          <w:i/>
          <w:color w:val="000000"/>
          <w:sz w:val="20"/>
        </w:rPr>
      </w:pPr>
      <w:r>
        <w:rPr>
          <w:rFonts w:ascii="Times New Roman" w:hAnsi="Times New Roman"/>
          <w:i/>
          <w:color w:val="000000"/>
          <w:sz w:val="20"/>
        </w:rPr>
        <w:t xml:space="preserve">(Registrant’s telephone number, including area code) </w:t>
      </w:r>
    </w:p>
    <w:p>
      <w:pPr>
        <w:pStyle w:val="TextBody"/>
        <w:bidi w:val="0"/>
        <w:jc w:val="center"/>
        <w:rPr>
          <w:rFonts w:ascii="Times New Roman" w:hAnsi="Times New Roman"/>
          <w:color w:val="000000"/>
          <w:sz w:val="20"/>
        </w:rPr>
      </w:pPr>
      <w:r>
        <w:rPr>
          <w:rFonts w:ascii="Times New Roman" w:hAnsi="Times New Roman"/>
          <w:color w:val="000000"/>
          <w:sz w:val="20"/>
        </w:rPr>
        <w:t xml:space="preserve">________________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i/>
          <w:color w:val="000000"/>
          <w:sz w:val="20"/>
        </w:rPr>
      </w:pPr>
      <w:r>
        <w:rPr>
          <w:rFonts w:ascii="Times New Roman" w:hAnsi="Times New Roman"/>
          <w:i/>
          <w:color w:val="000000"/>
          <w:sz w:val="20"/>
        </w:rPr>
        <w:t>(Former name, former address and former fiscal year, if changed since last report)</w:t>
      </w:r>
    </w:p>
    <w:p>
      <w:pPr>
        <w:pStyle w:val="TextBody"/>
        <w:bidi w:val="0"/>
        <w:jc w:val="center"/>
        <w:rPr>
          <w:rFonts w:ascii="Times New Roman" w:hAnsi="Times New Roman"/>
          <w:b/>
          <w:color w:val="000000"/>
          <w:sz w:val="20"/>
        </w:rPr>
      </w:pPr>
      <w:r>
        <w:rPr>
          <w:rFonts w:ascii="Times New Roman" w:hAnsi="Times New Roman"/>
          <w:b/>
          <w:color w:val="000000"/>
          <w:sz w:val="20"/>
        </w:rPr>
        <w:t>_______________</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8193" w:type="dxa"/>
        <w:jc w:val="left"/>
        <w:tblInd w:w="0" w:type="dxa"/>
        <w:tblLayout w:type="fixed"/>
        <w:tblCellMar>
          <w:top w:w="28" w:type="dxa"/>
          <w:left w:w="28" w:type="dxa"/>
          <w:bottom w:w="28" w:type="dxa"/>
          <w:right w:w="28" w:type="dxa"/>
        </w:tblCellMar>
      </w:tblPr>
      <w:tblGrid>
        <w:gridCol w:w="3601"/>
        <w:gridCol w:w="127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Title of each class</w:t>
            </w:r>
          </w:p>
        </w:tc>
        <w:tc>
          <w:tcPr>
            <w:tcW w:w="127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Trading Symbol</w:t>
            </w:r>
          </w:p>
        </w:tc>
        <w:tc>
          <w:tcPr>
            <w:tcW w:w="33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2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FDUS</w:t>
            </w:r>
          </w:p>
        </w:tc>
        <w:tc>
          <w:tcPr>
            <w:tcW w:w="3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81"/>
        <w:gridCol w:w="1419"/>
        <w:gridCol w:w="1779"/>
        <w:gridCol w:w="2438"/>
        <w:gridCol w:w="2488"/>
      </w:tblGrid>
      <w:tr>
        <w:trPr/>
        <w:tc>
          <w:tcPr>
            <w:tcW w:w="208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2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Large accelerated filer ☐</w:t>
            </w:r>
          </w:p>
        </w:tc>
        <w:tc>
          <w:tcPr>
            <w:tcW w:w="141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Accelerated filer</w:t>
            </w:r>
          </w:p>
          <w:p>
            <w:pPr>
              <w:pStyle w:val="TableContents"/>
              <w:bidi w:val="0"/>
              <w:spacing w:before="0" w:after="283"/>
              <w:jc w:val="center"/>
              <w:rPr>
                <w:color w:val="000000"/>
              </w:rPr>
            </w:pPr>
            <w:r>
              <w:rPr>
                <w:color w:val="000000"/>
              </w:rPr>
              <w:t>☐</w:t>
            </w:r>
          </w:p>
        </w:tc>
        <w:tc>
          <w:tcPr>
            <w:tcW w:w="177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Non-accelerated filer</w:t>
            </w:r>
          </w:p>
          <w:p>
            <w:pPr>
              <w:pStyle w:val="TableContents"/>
              <w:bidi w:val="0"/>
              <w:spacing w:before="0" w:after="283"/>
              <w:jc w:val="center"/>
              <w:rPr>
                <w:color w:val="000000"/>
              </w:rPr>
            </w:pPr>
            <w:r>
              <w:rPr>
                <w:color w:val="000000"/>
              </w:rPr>
              <w:t>☑</w:t>
            </w:r>
          </w:p>
        </w:tc>
        <w:tc>
          <w:tcPr>
            <w:tcW w:w="24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Smaller reporting company ☐</w:t>
            </w:r>
          </w:p>
        </w:tc>
        <w:tc>
          <w:tcPr>
            <w:tcW w:w="2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Emerging growth company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rFonts w:ascii="Times New Roman" w:hAnsi="Times New Roman"/>
          <w:color w:val="000000"/>
          <w:sz w:val="20"/>
        </w:rPr>
      </w:pPr>
      <w:r>
        <w:rPr>
          <w:rFonts w:ascii="Times New Roman" w:hAnsi="Times New Roman"/>
          <w:color w:val="000000"/>
          <w:sz w:val="20"/>
        </w:rPr>
        <w:t>As of April 30, 2024, the Registrant had outstanding 31,553,663 shares of common stock, $0.001 par value.</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68"/>
        <w:gridCol w:w="9075"/>
        <w:gridCol w:w="362"/>
      </w:tblGrid>
      <w:tr>
        <w:trPr/>
        <w:tc>
          <w:tcPr>
            <w:tcW w:w="768" w:type="dxa"/>
            <w:tcBorders/>
            <w:vAlign w:val="center"/>
          </w:tcPr>
          <w:p>
            <w:pPr>
              <w:pStyle w:val="TableContents"/>
              <w:bidi w:val="0"/>
              <w:spacing w:before="0" w:after="283"/>
              <w:jc w:val="left"/>
              <w:rPr>
                <w:sz w:val="4"/>
                <w:szCs w:val="4"/>
              </w:rPr>
            </w:pPr>
            <w:r>
              <w:rPr>
                <w:sz w:val="4"/>
                <w:szCs w:val="4"/>
              </w:rPr>
            </w:r>
          </w:p>
        </w:tc>
        <w:tc>
          <w:tcPr>
            <w:tcW w:w="907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68" w:type="dxa"/>
            <w:tcBorders/>
            <w:vAlign w:val="center"/>
          </w:tcPr>
          <w:p>
            <w:pPr>
              <w:pStyle w:val="TableContents"/>
              <w:bidi w:val="0"/>
              <w:spacing w:before="0" w:after="283"/>
              <w:ind w:left="0" w:right="0" w:firstLine="101"/>
              <w:jc w:val="left"/>
              <w:rPr/>
            </w:pPr>
            <w:r>
              <w:rPr/>
              <w:t> </w:t>
            </w:r>
          </w:p>
        </w:tc>
        <w:tc>
          <w:tcPr>
            <w:tcW w:w="9075" w:type="dxa"/>
            <w:tcBorders/>
            <w:vAlign w:val="center"/>
          </w:tcPr>
          <w:p>
            <w:pPr>
              <w:pStyle w:val="TableContents"/>
              <w:pBdr/>
              <w:bidi w:val="0"/>
              <w:spacing w:before="0" w:after="283"/>
              <w:ind w:left="0" w:right="101" w:hanging="101"/>
              <w:jc w:val="center"/>
              <w:rPr/>
            </w:pPr>
            <w:hyperlink w:anchor="part_i">
              <w:r>
                <w:rPr>
                  <w:rStyle w:val="InternetLink"/>
                  <w:rFonts w:ascii="Times New Roman" w:hAnsi="Times New Roman"/>
                  <w:b/>
                  <w:color w:val="0000FF"/>
                  <w:sz w:val="20"/>
                  <w:u w:val="single"/>
                </w:rPr>
                <w:t>PART I — FINANCIAL INFORMATION</w:t>
              </w:r>
            </w:hyperlink>
          </w:p>
        </w:tc>
        <w:tc>
          <w:tcPr>
            <w:tcW w:w="362" w:type="dxa"/>
            <w:tcBorders/>
            <w:vAlign w:val="center"/>
          </w:tcPr>
          <w:p>
            <w:pPr>
              <w:pStyle w:val="TableContents"/>
              <w:bidi w:val="0"/>
              <w:spacing w:before="0" w:after="283"/>
              <w:jc w:val="right"/>
              <w:rPr/>
            </w:pPr>
            <w:r>
              <w:rPr/>
              <w:t> </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9075" w:type="dxa"/>
            <w:tcBorders/>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Financial Statements.</w:t>
              </w:r>
            </w:hyperlink>
          </w:p>
        </w:tc>
        <w:tc>
          <w:tcPr>
            <w:tcW w:w="362" w:type="dxa"/>
            <w:tcBorders/>
            <w:vAlign w:val="center"/>
          </w:tcPr>
          <w:p>
            <w:pPr>
              <w:pStyle w:val="TableContents"/>
              <w:bidi w:val="0"/>
              <w:spacing w:before="0" w:after="283"/>
              <w:jc w:val="right"/>
              <w:rPr/>
            </w:pPr>
            <w:r>
              <w:rPr/>
              <w:t> </w:t>
            </w:r>
          </w:p>
        </w:tc>
      </w:tr>
      <w:tr>
        <w:trPr/>
        <w:tc>
          <w:tcPr>
            <w:tcW w:w="768"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pPr>
            <w:hyperlink w:anchor="net_asset">
              <w:r>
                <w:rPr>
                  <w:rStyle w:val="InternetLink"/>
                  <w:rFonts w:ascii="Times New Roman" w:hAnsi="Times New Roman"/>
                  <w:color w:val="0000FF"/>
                  <w:sz w:val="20"/>
                  <w:u w:val="single"/>
                </w:rPr>
                <w:t>Consolidated Statements of Assets and Liabilities — March 31, 2024 (unaudited) and December 31, 2023</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68"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Consolidated Statements of Operations — three months ended March 31, 2024 (unaudited) and 2023 (unaudited)</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68"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pPr>
            <w:hyperlink w:anchor="changes_net_assets">
              <w:r>
                <w:rPr>
                  <w:rStyle w:val="InternetLink"/>
                  <w:rFonts w:ascii="Times New Roman" w:hAnsi="Times New Roman"/>
                  <w:color w:val="0000FF"/>
                  <w:sz w:val="20"/>
                  <w:u w:val="single"/>
                </w:rPr>
                <w:t>Consolidated Statements of Changes in Net Assets — three months ended March 31, 2024 (unaudited) and 2023 (unaudited)</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68"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Consolidated Statements of Cash Flows — three months ended March 31, 2024, (unaudited) and 2023 (unaudited)</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68"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pPr>
            <w:hyperlink w:anchor="consolidated_schedule_of_investments">
              <w:r>
                <w:rPr>
                  <w:rStyle w:val="InternetLink"/>
                  <w:rFonts w:ascii="Times New Roman" w:hAnsi="Times New Roman"/>
                  <w:color w:val="0000FF"/>
                  <w:sz w:val="20"/>
                  <w:u w:val="single"/>
                </w:rPr>
                <w:t>Consolidated Schedules of Investments — March 31, 2024 (unaudited) and December 31, 2023</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68"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Consolidated Financial Statements (unaudited)</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075" w:type="dxa"/>
            <w:tcBorders/>
            <w:vAlign w:val="center"/>
          </w:tcPr>
          <w:p>
            <w:pPr>
              <w:pStyle w:val="TableContents"/>
              <w:bidi w:val="0"/>
              <w:spacing w:before="0" w:after="283"/>
              <w:jc w:val="left"/>
              <w:rPr/>
            </w:pPr>
            <w:hyperlink w:anchor="item2_mda">
              <w:r>
                <w:rPr>
                  <w:rStyle w:val="InternetLink"/>
                  <w:rFonts w:ascii="Times New Roman" w:hAnsi="Times New Roman"/>
                  <w:color w:val="0000FF"/>
                  <w:sz w:val="20"/>
                  <w:u w:val="single"/>
                </w:rPr>
                <w:t>Management’s Discussion and Analysis of Financial Condition and Results of Operations</w:t>
              </w:r>
            </w:hyperlink>
            <w:r>
              <w:rPr>
                <w:rFonts w:ascii="Times New Roman" w:hAnsi="Times New Roman"/>
                <w:color w:val="000000"/>
                <w:sz w:val="20"/>
              </w:rPr>
              <w:t>.</w:t>
            </w:r>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9075" w:type="dxa"/>
            <w:tcBorders/>
            <w:vAlign w:val="center"/>
          </w:tcPr>
          <w:p>
            <w:pPr>
              <w:pStyle w:val="TableContents"/>
              <w:bidi w:val="0"/>
              <w:spacing w:before="0" w:after="283"/>
              <w:jc w:val="left"/>
              <w:rPr/>
            </w:pPr>
            <w:hyperlink w:anchor="item3_marketrisk">
              <w:r>
                <w:rPr>
                  <w:rStyle w:val="InternetLink"/>
                  <w:rFonts w:ascii="Times New Roman" w:hAnsi="Times New Roman"/>
                  <w:color w:val="0000FF"/>
                  <w:sz w:val="20"/>
                  <w:u w:val="single"/>
                </w:rPr>
                <w:t>Quantitative and Qualitative Disclosures About Market Risk.</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9075" w:type="dxa"/>
            <w:tcBorders/>
            <w:vAlign w:val="center"/>
          </w:tcPr>
          <w:p>
            <w:pPr>
              <w:pStyle w:val="TableContents"/>
              <w:bidi w:val="0"/>
              <w:spacing w:before="0" w:after="283"/>
              <w:jc w:val="left"/>
              <w:rPr/>
            </w:pPr>
            <w:hyperlink w:anchor="item4_controls">
              <w:r>
                <w:rPr>
                  <w:rStyle w:val="InternetLink"/>
                  <w:rFonts w:ascii="Times New Roman" w:hAnsi="Times New Roman"/>
                  <w:color w:val="0000FF"/>
                  <w:sz w:val="20"/>
                  <w:u w:val="single"/>
                </w:rPr>
                <w:t>Controls and Procedures</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768"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 — OTHER INFORMATION</w:t>
              </w:r>
            </w:hyperlink>
          </w:p>
        </w:tc>
        <w:tc>
          <w:tcPr>
            <w:tcW w:w="362" w:type="dxa"/>
            <w:tcBorders/>
            <w:vAlign w:val="center"/>
          </w:tcPr>
          <w:p>
            <w:pPr>
              <w:pStyle w:val="TableContents"/>
              <w:bidi w:val="0"/>
              <w:spacing w:before="0" w:after="283"/>
              <w:jc w:val="right"/>
              <w:rPr/>
            </w:pPr>
            <w:r>
              <w:rPr/>
              <w:t> </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9075" w:type="dxa"/>
            <w:tcBorders/>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Legal Proceedings.</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9075" w:type="dxa"/>
            <w:tcBorders/>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075" w:type="dxa"/>
            <w:tcBorders/>
            <w:vAlign w:val="center"/>
          </w:tcPr>
          <w:p>
            <w:pPr>
              <w:pStyle w:val="TableContents"/>
              <w:bidi w:val="0"/>
              <w:spacing w:before="0" w:after="283"/>
              <w:jc w:val="left"/>
              <w:rPr/>
            </w:pPr>
            <w:hyperlink w:anchor="item2_unregistered_sales_equity">
              <w:r>
                <w:rPr>
                  <w:rStyle w:val="InternetLink"/>
                  <w:rFonts w:ascii="Times New Roman" w:hAnsi="Times New Roman"/>
                  <w:color w:val="0000FF"/>
                  <w:sz w:val="20"/>
                  <w:u w:val="single"/>
                </w:rPr>
                <w:t>Unregistered Sales of Equity Securities and Use of Proceeds.</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9075" w:type="dxa"/>
            <w:tcBorders/>
            <w:vAlign w:val="center"/>
          </w:tcPr>
          <w:p>
            <w:pPr>
              <w:pStyle w:val="TableContents"/>
              <w:bidi w:val="0"/>
              <w:spacing w:before="0" w:after="283"/>
              <w:jc w:val="left"/>
              <w:rPr/>
            </w:pPr>
            <w:hyperlink w:anchor="item3_defaults_upon_senior_securities">
              <w:r>
                <w:rPr>
                  <w:rStyle w:val="InternetLink"/>
                  <w:rFonts w:ascii="Times New Roman" w:hAnsi="Times New Roman"/>
                  <w:color w:val="0000FF"/>
                  <w:sz w:val="20"/>
                  <w:u w:val="single"/>
                </w:rPr>
                <w:t>Defaults Upon Senior Securities.</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9075" w:type="dxa"/>
            <w:tcBorders/>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Mine Safety Disclosures.</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9075" w:type="dxa"/>
            <w:tcBorders/>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Other Information.</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7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9075" w:type="dxa"/>
            <w:tcBorders/>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Exhibits.</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9843" w:type="dxa"/>
            <w:gridSpan w:val="2"/>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9843" w:type="dxa"/>
            <w:gridSpan w:val="2"/>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rFonts w:ascii="Times New Roman" w:hAnsi="Times New Roman"/>
          <w:b/>
          <w:color w:val="000000"/>
          <w:sz w:val="20"/>
        </w:rPr>
      </w:pPr>
      <w:bookmarkStart w:id="3" w:name="item_1"/>
      <w:bookmarkEnd w:id="3"/>
      <w:r>
        <w:rPr>
          <w:rFonts w:ascii="Times New Roman" w:hAnsi="Times New Roman"/>
          <w:b/>
          <w:color w:val="000000"/>
          <w:sz w:val="20"/>
        </w:rPr>
        <w:t>Item 1. Financial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4" w:name="net_asset"/>
      <w:bookmarkEnd w:id="4"/>
      <w:r>
        <w:rPr>
          <w:rFonts w:ascii="Times New Roman" w:hAnsi="Times New Roman"/>
          <w:b/>
          <w:color w:val="000000"/>
          <w:sz w:val="20"/>
        </w:rPr>
        <w:t>Consolidated Statements of Assets and Liabilities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5"/>
        <w:gridCol w:w="146"/>
        <w:gridCol w:w="196"/>
        <w:gridCol w:w="826"/>
        <w:gridCol w:w="146"/>
        <w:gridCol w:w="146"/>
        <w:gridCol w:w="208"/>
        <w:gridCol w:w="879"/>
        <w:gridCol w:w="293"/>
      </w:tblGrid>
      <w:tr>
        <w:trPr/>
        <w:tc>
          <w:tcPr>
            <w:tcW w:w="7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73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center"/>
              <w:rPr/>
            </w:pPr>
            <w:r>
              <w:rPr/>
              <w:t> </w:t>
            </w:r>
          </w:p>
        </w:tc>
        <w:tc>
          <w:tcPr>
            <w:tcW w:w="293" w:type="dxa"/>
            <w:tcBorders/>
            <w:shd w:fill="FFFFFF" w:val="clear"/>
            <w:vAlign w:val="center"/>
          </w:tcPr>
          <w:p>
            <w:pPr>
              <w:pStyle w:val="TableContents"/>
              <w:bidi w:val="0"/>
              <w:spacing w:before="0" w:after="283"/>
              <w:jc w:val="center"/>
              <w:rPr/>
            </w:pPr>
            <w:r>
              <w:rPr/>
              <w:t> </w:t>
            </w:r>
          </w:p>
        </w:tc>
      </w:tr>
      <w:tr>
        <w:trPr/>
        <w:tc>
          <w:tcPr>
            <w:tcW w:w="73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3" w:type="dxa"/>
            <w:tcBorders/>
            <w:shd w:fill="FFFFFF" w:val="clear"/>
            <w:vAlign w:val="center"/>
          </w:tcPr>
          <w:p>
            <w:pPr>
              <w:pStyle w:val="TableContents"/>
              <w:bidi w:val="0"/>
              <w:spacing w:before="0" w:after="283"/>
              <w:jc w:val="center"/>
              <w:rPr/>
            </w:pPr>
            <w:r>
              <w:rPr/>
              <w:t> </w:t>
            </w:r>
          </w:p>
        </w:tc>
      </w:tr>
      <w:tr>
        <w:trPr/>
        <w:tc>
          <w:tcPr>
            <w:tcW w:w="73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firstLine="100"/>
              <w:jc w:val="left"/>
              <w:rPr/>
            </w:pPr>
            <w:r>
              <w:rPr/>
              <w:t> </w:t>
            </w:r>
          </w:p>
        </w:tc>
      </w:tr>
      <w:tr>
        <w:trPr/>
        <w:tc>
          <w:tcPr>
            <w:tcW w:w="7365" w:type="dxa"/>
            <w:tcBorders/>
            <w:shd w:fill="CFF0FC" w:val="clear"/>
            <w:vAlign w:val="center"/>
          </w:tcPr>
          <w:p>
            <w:pPr>
              <w:pStyle w:val="TableContents"/>
              <w:bidi w:val="0"/>
              <w:spacing w:before="0" w:after="283"/>
              <w:ind w:left="100" w:right="0" w:firstLine="100"/>
              <w:jc w:val="left"/>
              <w:rPr/>
            </w:pPr>
            <w:r>
              <w:rPr>
                <w:color w:val="000000"/>
              </w:rPr>
              <w:t>   </w:t>
            </w:r>
            <w:r>
              <w:rPr>
                <w:rFonts w:ascii="Times New Roman" w:hAnsi="Times New Roman"/>
                <w:color w:val="000000"/>
                <w:sz w:val="16"/>
              </w:rPr>
              <w:t>Control investments (cost: $6,832</w:t>
            </w:r>
            <w:r>
              <w:rPr>
                <w:rFonts w:ascii="Times New Roman" w:hAnsi="Times New Roman"/>
                <w:color w:val="000000"/>
                <w:sz w:val="20"/>
              </w:rPr>
              <w:t> </w:t>
            </w:r>
            <w:r>
              <w:rPr>
                <w:rFonts w:ascii="Times New Roman" w:hAnsi="Times New Roman"/>
                <w:color w:val="000000"/>
                <w:sz w:val="16"/>
              </w:rPr>
              <w:t>and $6,832,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vAlign w:val="center"/>
          </w:tcPr>
          <w:p>
            <w:pPr>
              <w:pStyle w:val="TableContents"/>
              <w:bidi w:val="0"/>
              <w:spacing w:before="0" w:after="283"/>
              <w:jc w:val="right"/>
              <w:rPr>
                <w:color w:val="000000"/>
              </w:rPr>
            </w:pPr>
            <w:r>
              <w:rPr>
                <w:color w:val="000000"/>
              </w:rPr>
              <w:t>—</w:t>
            </w:r>
          </w:p>
        </w:tc>
        <w:tc>
          <w:tcPr>
            <w:tcW w:w="293" w:type="dxa"/>
            <w:tcBorders/>
            <w:shd w:fill="CFF0FC" w:val="clear"/>
            <w:vAlign w:val="center"/>
          </w:tcPr>
          <w:p>
            <w:pPr>
              <w:pStyle w:val="TableContents"/>
              <w:bidi w:val="0"/>
              <w:spacing w:before="0" w:after="283"/>
              <w:ind w:left="0" w:right="0" w:firstLine="100"/>
              <w:jc w:val="left"/>
              <w:rPr/>
            </w:pPr>
            <w:r>
              <w:rPr/>
              <w:t> </w:t>
            </w:r>
          </w:p>
        </w:tc>
      </w:tr>
      <w:tr>
        <w:trPr/>
        <w:tc>
          <w:tcPr>
            <w:tcW w:w="7365" w:type="dxa"/>
            <w:tcBorders/>
            <w:shd w:fill="FFFFFF" w:val="clear"/>
            <w:vAlign w:val="center"/>
          </w:tcPr>
          <w:p>
            <w:pPr>
              <w:pStyle w:val="TableContents"/>
              <w:bidi w:val="0"/>
              <w:spacing w:before="0" w:after="283"/>
              <w:ind w:left="100" w:right="0" w:firstLine="100"/>
              <w:jc w:val="left"/>
              <w:rPr/>
            </w:pPr>
            <w:r>
              <w:rPr>
                <w:color w:val="000000"/>
              </w:rPr>
              <w:t>   </w:t>
            </w:r>
            <w:r>
              <w:rPr>
                <w:rFonts w:ascii="Times New Roman" w:hAnsi="Times New Roman"/>
                <w:color w:val="000000"/>
                <w:sz w:val="16"/>
              </w:rPr>
              <w:t>Affiliate investments (cost: $46,161</w:t>
            </w:r>
            <w:r>
              <w:rPr>
                <w:rFonts w:ascii="Times New Roman" w:hAnsi="Times New Roman"/>
                <w:color w:val="000000"/>
                <w:sz w:val="20"/>
              </w:rPr>
              <w:t> </w:t>
            </w:r>
            <w:r>
              <w:rPr>
                <w:rFonts w:ascii="Times New Roman" w:hAnsi="Times New Roman"/>
                <w:color w:val="000000"/>
                <w:sz w:val="16"/>
              </w:rPr>
              <w:t>and $46,485,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83,876</w:t>
            </w:r>
          </w:p>
        </w:tc>
        <w:tc>
          <w:tcPr>
            <w:tcW w:w="293" w:type="dxa"/>
            <w:tcBorders/>
            <w:shd w:fill="FFFFFF" w:val="clear"/>
            <w:vAlign w:val="center"/>
          </w:tcPr>
          <w:p>
            <w:pPr>
              <w:pStyle w:val="TableContents"/>
              <w:bidi w:val="0"/>
              <w:spacing w:before="0" w:after="283"/>
              <w:ind w:left="0" w:right="0" w:firstLine="100"/>
              <w:jc w:val="left"/>
              <w:rPr/>
            </w:pPr>
            <w:r>
              <w:rPr/>
              <w:t> </w:t>
            </w:r>
          </w:p>
        </w:tc>
      </w:tr>
      <w:tr>
        <w:trPr/>
        <w:tc>
          <w:tcPr>
            <w:tcW w:w="7365" w:type="dxa"/>
            <w:tcBorders/>
            <w:shd w:fill="CFF0FC" w:val="clear"/>
            <w:vAlign w:val="center"/>
          </w:tcPr>
          <w:p>
            <w:pPr>
              <w:pStyle w:val="TableContents"/>
              <w:bidi w:val="0"/>
              <w:spacing w:before="0" w:after="283"/>
              <w:ind w:left="100" w:right="0" w:firstLine="100"/>
              <w:jc w:val="left"/>
              <w:rPr/>
            </w:pPr>
            <w:r>
              <w:rPr>
                <w:color w:val="000000"/>
              </w:rPr>
              <w:t>   </w:t>
            </w:r>
            <w:r>
              <w:rPr>
                <w:rFonts w:ascii="Times New Roman" w:hAnsi="Times New Roman"/>
                <w:color w:val="000000"/>
                <w:sz w:val="16"/>
              </w:rPr>
              <w:t>Non-control/non-affiliate investments (cost: $972,583</w:t>
            </w:r>
            <w:r>
              <w:rPr>
                <w:rFonts w:ascii="Times New Roman" w:hAnsi="Times New Roman"/>
                <w:color w:val="000000"/>
                <w:sz w:val="20"/>
              </w:rPr>
              <w:t> </w:t>
            </w:r>
            <w:r>
              <w:rPr>
                <w:rFonts w:ascii="Times New Roman" w:hAnsi="Times New Roman"/>
                <w:color w:val="000000"/>
                <w:sz w:val="16"/>
              </w:rPr>
              <w:t>and $883,312,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967,755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874,030</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Total investments, at fair value (cost: $1,025,576</w:t>
            </w:r>
            <w:r>
              <w:rPr>
                <w:rFonts w:ascii="Times New Roman" w:hAnsi="Times New Roman"/>
                <w:color w:val="000000"/>
                <w:sz w:val="20"/>
              </w:rPr>
              <w:t> </w:t>
            </w:r>
            <w:r>
              <w:rPr>
                <w:rFonts w:ascii="Times New Roman" w:hAnsi="Times New Roman"/>
                <w:color w:val="000000"/>
                <w:sz w:val="16"/>
              </w:rPr>
              <w:t>and $936,629,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1,048,071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957,906</w:t>
            </w:r>
          </w:p>
        </w:tc>
        <w:tc>
          <w:tcPr>
            <w:tcW w:w="293" w:type="dxa"/>
            <w:tcBorders/>
            <w:shd w:fill="FFFFFF" w:val="clear"/>
            <w:vAlign w:val="center"/>
          </w:tcPr>
          <w:p>
            <w:pPr>
              <w:pStyle w:val="TableContents"/>
              <w:bidi w:val="0"/>
              <w:spacing w:before="0" w:after="283"/>
              <w:jc w:val="left"/>
              <w:rPr/>
            </w:pPr>
            <w:r>
              <w:rPr/>
              <w:t> </w:t>
            </w:r>
          </w:p>
        </w:tc>
      </w:tr>
      <w:tr>
        <w:trPr/>
        <w:tc>
          <w:tcPr>
            <w:tcW w:w="73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119,131</w:t>
            </w:r>
          </w:p>
        </w:tc>
        <w:tc>
          <w:tcPr>
            <w:tcW w:w="293" w:type="dxa"/>
            <w:tcBorders/>
            <w:shd w:fill="CFF0FC"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11,965</w:t>
            </w:r>
          </w:p>
        </w:tc>
        <w:tc>
          <w:tcPr>
            <w:tcW w:w="293" w:type="dxa"/>
            <w:tcBorders/>
            <w:shd w:fill="FFFFFF" w:val="clear"/>
            <w:vAlign w:val="center"/>
          </w:tcPr>
          <w:p>
            <w:pPr>
              <w:pStyle w:val="TableContents"/>
              <w:bidi w:val="0"/>
              <w:spacing w:before="0" w:after="283"/>
              <w:jc w:val="left"/>
              <w:rPr/>
            </w:pPr>
            <w:r>
              <w:rPr/>
              <w:t> </w:t>
            </w:r>
          </w:p>
        </w:tc>
      </w:tr>
      <w:tr>
        <w:trPr/>
        <w:tc>
          <w:tcPr>
            <w:tcW w:w="73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1,092,743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1,090,898</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debentures, net of deferred financing costs (Note 6)</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204,472</w:t>
            </w:r>
          </w:p>
        </w:tc>
        <w:tc>
          <w:tcPr>
            <w:tcW w:w="293" w:type="dxa"/>
            <w:tcBorders/>
            <w:shd w:fill="FFFFFF" w:val="clear"/>
            <w:vAlign w:val="center"/>
          </w:tcPr>
          <w:p>
            <w:pPr>
              <w:pStyle w:val="TableContents"/>
              <w:bidi w:val="0"/>
              <w:spacing w:before="0" w:after="283"/>
              <w:jc w:val="left"/>
              <w:rPr/>
            </w:pPr>
            <w:r>
              <w:rPr/>
              <w:t> </w:t>
            </w:r>
          </w:p>
        </w:tc>
      </w:tr>
      <w:tr>
        <w:trPr/>
        <w:tc>
          <w:tcPr>
            <w:tcW w:w="73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net of deferred financing costs (Note 6)</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247,521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247,243</w:t>
            </w:r>
          </w:p>
        </w:tc>
        <w:tc>
          <w:tcPr>
            <w:tcW w:w="293" w:type="dxa"/>
            <w:tcBorders/>
            <w:shd w:fill="CFF0FC"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 under Credit Facility, net of deferred financing costs (Note 6)</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(1,082</w:t>
            </w:r>
          </w:p>
        </w:tc>
        <w:tc>
          <w:tcPr>
            <w:tcW w:w="29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Secured borrowings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15,880</w:t>
            </w:r>
          </w:p>
        </w:tc>
        <w:tc>
          <w:tcPr>
            <w:tcW w:w="293" w:type="dxa"/>
            <w:tcBorders/>
            <w:shd w:fill="CFF0FC"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and fees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5,924</w:t>
            </w:r>
          </w:p>
        </w:tc>
        <w:tc>
          <w:tcPr>
            <w:tcW w:w="293" w:type="dxa"/>
            <w:tcBorders/>
            <w:shd w:fill="FFFFFF" w:val="clear"/>
            <w:vAlign w:val="center"/>
          </w:tcPr>
          <w:p>
            <w:pPr>
              <w:pStyle w:val="TableContents"/>
              <w:bidi w:val="0"/>
              <w:spacing w:before="0" w:after="283"/>
              <w:jc w:val="left"/>
              <w:rPr/>
            </w:pPr>
            <w:r>
              <w:rPr/>
              <w:t> </w:t>
            </w:r>
          </w:p>
        </w:tc>
      </w:tr>
      <w:tr>
        <w:trPr/>
        <w:tc>
          <w:tcPr>
            <w:tcW w:w="73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w:t>
            </w:r>
          </w:p>
        </w:tc>
        <w:tc>
          <w:tcPr>
            <w:tcW w:w="293" w:type="dxa"/>
            <w:tcBorders/>
            <w:shd w:fill="CFF0FC"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4,570</w:t>
            </w:r>
          </w:p>
        </w:tc>
        <w:tc>
          <w:tcPr>
            <w:tcW w:w="293" w:type="dxa"/>
            <w:tcBorders/>
            <w:shd w:fill="FFFFFF" w:val="clear"/>
            <w:vAlign w:val="center"/>
          </w:tcPr>
          <w:p>
            <w:pPr>
              <w:pStyle w:val="TableContents"/>
              <w:bidi w:val="0"/>
              <w:spacing w:before="0" w:after="283"/>
              <w:jc w:val="left"/>
              <w:rPr/>
            </w:pPr>
            <w:r>
              <w:rPr/>
              <w:t> </w:t>
            </w:r>
          </w:p>
        </w:tc>
      </w:tr>
      <w:tr>
        <w:trPr/>
        <w:tc>
          <w:tcPr>
            <w:tcW w:w="73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gains incentive fee payable – due to affiliate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17,509</w:t>
            </w:r>
          </w:p>
        </w:tc>
        <w:tc>
          <w:tcPr>
            <w:tcW w:w="293" w:type="dxa"/>
            <w:tcBorders/>
            <w:shd w:fill="CFF0FC"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Administration fee payable and other – due to affiliate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w:t>
            </w:r>
          </w:p>
        </w:tc>
        <w:tc>
          <w:tcPr>
            <w:tcW w:w="293" w:type="dxa"/>
            <w:tcBorders/>
            <w:shd w:fill="FFFFFF" w:val="clear"/>
            <w:vAlign w:val="center"/>
          </w:tcPr>
          <w:p>
            <w:pPr>
              <w:pStyle w:val="TableContents"/>
              <w:bidi w:val="0"/>
              <w:spacing w:before="0" w:after="283"/>
              <w:jc w:val="left"/>
              <w:rPr/>
            </w:pPr>
            <w:r>
              <w:rPr/>
              <w:t> </w:t>
            </w:r>
          </w:p>
        </w:tc>
      </w:tr>
      <w:tr>
        <w:trPr/>
        <w:tc>
          <w:tcPr>
            <w:tcW w:w="73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1,227</w:t>
            </w:r>
          </w:p>
        </w:tc>
        <w:tc>
          <w:tcPr>
            <w:tcW w:w="293" w:type="dxa"/>
            <w:tcBorders/>
            <w:shd w:fill="CFF0FC"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other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501,424</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7)</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r>
      <w:tr>
        <w:trPr/>
        <w:tc>
          <w:tcPr>
            <w:tcW w:w="73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7" w:type="dxa"/>
            <w:gridSpan w:val="2"/>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31,426,149</w:t>
            </w:r>
            <w:r>
              <w:rPr>
                <w:rFonts w:ascii="Times New Roman" w:hAnsi="Times New Roman"/>
                <w:color w:val="000000"/>
                <w:sz w:val="20"/>
              </w:rPr>
              <w:t> </w:t>
            </w:r>
            <w:r>
              <w:rPr>
                <w:rFonts w:ascii="Times New Roman" w:hAnsi="Times New Roman"/>
                <w:color w:val="000000"/>
                <w:sz w:val="16"/>
              </w:rPr>
              <w:t>and 30,438,979</w:t>
            </w:r>
            <w:r>
              <w:rPr>
                <w:rFonts w:ascii="Times New Roman" w:hAnsi="Times New Roman"/>
                <w:color w:val="000000"/>
                <w:sz w:val="20"/>
              </w:rPr>
              <w:t> </w:t>
            </w:r>
            <w:r>
              <w:rPr>
                <w:rFonts w:ascii="Times New Roman" w:hAnsi="Times New Roman"/>
                <w:color w:val="000000"/>
                <w:sz w:val="16"/>
              </w:rPr>
              <w:t>shares issued and</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ind w:left="0" w:right="0" w:firstLine="100"/>
              <w:jc w:val="right"/>
              <w:rPr/>
            </w:pPr>
            <w:r>
              <w:rPr/>
              <w:t> </w:t>
            </w:r>
          </w:p>
        </w:tc>
      </w:tr>
      <w:tr>
        <w:trPr/>
        <w:tc>
          <w:tcPr>
            <w:tcW w:w="7365"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6"/>
              </w:rPr>
              <w:t>outstanding at March 31,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93" w:type="dxa"/>
            <w:tcBorders/>
            <w:shd w:fill="CFF0FC" w:val="cle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523,467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504,298</w:t>
            </w:r>
          </w:p>
        </w:tc>
        <w:tc>
          <w:tcPr>
            <w:tcW w:w="293" w:type="dxa"/>
            <w:tcBorders/>
            <w:shd w:fill="FFFFFF" w:val="clear"/>
            <w:vAlign w:val="center"/>
          </w:tcPr>
          <w:p>
            <w:pPr>
              <w:pStyle w:val="TableContents"/>
              <w:bidi w:val="0"/>
              <w:spacing w:before="0" w:after="283"/>
              <w:jc w:val="left"/>
              <w:rPr/>
            </w:pPr>
            <w:r>
              <w:rPr/>
              <w:t> </w:t>
            </w:r>
          </w:p>
        </w:tc>
      </w:tr>
      <w:tr>
        <w:trPr/>
        <w:tc>
          <w:tcPr>
            <w:tcW w:w="73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distributable earnings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85,145</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589,474</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1,092,743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1,090,898</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per common share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5" w:name="statement_of_operations"/>
      <w:bookmarkEnd w:id="5"/>
      <w:r>
        <w:rPr>
          <w:rFonts w:ascii="Times New Roman" w:hAnsi="Times New Roman"/>
          <w:b/>
          <w:color w:val="000000"/>
          <w:sz w:val="20"/>
        </w:rPr>
        <w:t>Consolidated Statements of Operations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9235" w:type="dxa"/>
        <w:jc w:val="left"/>
        <w:tblInd w:w="0" w:type="dxa"/>
        <w:tblLayout w:type="fixed"/>
        <w:tblCellMar>
          <w:top w:w="28" w:type="dxa"/>
          <w:left w:w="28" w:type="dxa"/>
          <w:bottom w:w="28" w:type="dxa"/>
          <w:right w:w="28" w:type="dxa"/>
        </w:tblCellMar>
      </w:tblPr>
      <w:tblGrid>
        <w:gridCol w:w="5716"/>
        <w:gridCol w:w="146"/>
        <w:gridCol w:w="196"/>
        <w:gridCol w:w="916"/>
        <w:gridCol w:w="166"/>
        <w:gridCol w:w="146"/>
        <w:gridCol w:w="196"/>
        <w:gridCol w:w="916"/>
        <w:gridCol w:w="166"/>
        <w:gridCol w:w="67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671" w:type="dxa"/>
            <w:tcBorders/>
            <w:shd w:fill="FFFFFF" w:val="clear"/>
            <w:vAlign w:val="center"/>
          </w:tcPr>
          <w:p>
            <w:pPr>
              <w:pStyle w:val="TableContents"/>
              <w:bidi w:val="0"/>
              <w:spacing w:before="0" w:after="283"/>
              <w:jc w:val="center"/>
              <w:rPr/>
            </w:pPr>
            <w:r>
              <w:rPr/>
              <w:t> </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160"/>
              <w:jc w:val="left"/>
              <w:rPr/>
            </w:pPr>
            <w:r>
              <w:rPr/>
              <w:t> </w:t>
            </w:r>
          </w:p>
        </w:tc>
      </w:tr>
      <w:tr>
        <w:trPr/>
        <w:tc>
          <w:tcPr>
            <w:tcW w:w="571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5716" w:type="dxa"/>
            <w:tcBorders/>
            <w:shd w:fill="CFF0FC"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320"/>
              <w:jc w:val="right"/>
              <w:rPr/>
            </w:pPr>
            <w:r>
              <w:rPr/>
              <w:t> </w:t>
            </w:r>
          </w:p>
        </w:tc>
      </w:tr>
      <w:tr>
        <w:trPr/>
        <w:tc>
          <w:tcPr>
            <w:tcW w:w="5716"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right"/>
              <w:rPr/>
            </w:pPr>
            <w:r>
              <w:rPr/>
              <w:t> </w:t>
            </w:r>
          </w:p>
        </w:tc>
      </w:tr>
      <w:tr>
        <w:trPr/>
        <w:tc>
          <w:tcPr>
            <w:tcW w:w="5716" w:type="dxa"/>
            <w:tcBorders/>
            <w:shd w:fill="CFF0FC"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right"/>
              <w:rPr/>
            </w:pPr>
            <w:r>
              <w:rPr/>
              <w:t> </w:t>
            </w:r>
          </w:p>
        </w:tc>
      </w:tr>
      <w:tr>
        <w:trPr/>
        <w:tc>
          <w:tcPr>
            <w:tcW w:w="5716" w:type="dxa"/>
            <w:tcBorders/>
            <w:shd w:fill="FFFFFF" w:val="clear"/>
            <w:vAlign w:val="center"/>
          </w:tcPr>
          <w:p>
            <w:pPr>
              <w:pStyle w:val="TableContents"/>
              <w:bidi w:val="0"/>
              <w:spacing w:before="0" w:after="283"/>
              <w:ind w:left="480" w:right="0" w:firstLine="48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25,956</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right"/>
              <w:rPr/>
            </w:pPr>
            <w:r>
              <w:rPr/>
              <w:t> </w:t>
            </w:r>
          </w:p>
        </w:tc>
      </w:tr>
      <w:tr>
        <w:trPr/>
        <w:tc>
          <w:tcPr>
            <w:tcW w:w="571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320"/>
              <w:jc w:val="left"/>
              <w:rPr/>
            </w:pPr>
            <w:r>
              <w:rPr/>
              <w:t> </w:t>
            </w:r>
          </w:p>
        </w:tc>
      </w:tr>
      <w:tr>
        <w:trPr/>
        <w:tc>
          <w:tcPr>
            <w:tcW w:w="5716"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right"/>
              <w:rPr/>
            </w:pPr>
            <w:r>
              <w:rPr/>
              <w:t> </w:t>
            </w:r>
          </w:p>
        </w:tc>
      </w:tr>
      <w:tr>
        <w:trPr/>
        <w:tc>
          <w:tcPr>
            <w:tcW w:w="5716" w:type="dxa"/>
            <w:tcBorders/>
            <w:shd w:fill="CFF0FC"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320"/>
              <w:jc w:val="right"/>
              <w:rPr/>
            </w:pPr>
            <w:r>
              <w:rPr/>
              <w:t> </w:t>
            </w:r>
          </w:p>
        </w:tc>
      </w:tr>
      <w:tr>
        <w:trPr/>
        <w:tc>
          <w:tcPr>
            <w:tcW w:w="5716"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5716" w:type="dxa"/>
            <w:tcBorders/>
            <w:shd w:fill="CFF0FC" w:val="clear"/>
            <w:vAlign w:val="center"/>
          </w:tcPr>
          <w:p>
            <w:pPr>
              <w:pStyle w:val="TableContents"/>
              <w:bidi w:val="0"/>
              <w:spacing w:before="0" w:after="283"/>
              <w:ind w:left="480" w:right="0" w:firstLine="480"/>
              <w:jc w:val="left"/>
              <w:rPr>
                <w:rFonts w:ascii="Times New Roman" w:hAnsi="Times New Roman"/>
                <w:color w:val="000000"/>
                <w:sz w:val="16"/>
              </w:rPr>
            </w:pPr>
            <w:r>
              <w:rPr>
                <w:rFonts w:ascii="Times New Roman" w:hAnsi="Times New Roman"/>
                <w:color w:val="000000"/>
                <w:sz w:val="16"/>
              </w:rPr>
              <w:t>Total payment-in-kind interest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160"/>
              <w:jc w:val="right"/>
              <w:rPr/>
            </w:pPr>
            <w:r>
              <w:rPr/>
              <w:t> </w:t>
            </w:r>
          </w:p>
        </w:tc>
      </w:tr>
      <w:tr>
        <w:trPr/>
        <w:tc>
          <w:tcPr>
            <w:tcW w:w="571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5716" w:type="dxa"/>
            <w:tcBorders/>
            <w:shd w:fill="CFF0FC"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320"/>
              <w:jc w:val="right"/>
              <w:rPr/>
            </w:pPr>
            <w:r>
              <w:rPr/>
              <w:t> </w:t>
            </w:r>
          </w:p>
        </w:tc>
      </w:tr>
      <w:tr>
        <w:trPr/>
        <w:tc>
          <w:tcPr>
            <w:tcW w:w="5716"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right"/>
              <w:rPr/>
            </w:pPr>
            <w:r>
              <w:rPr/>
              <w:t> </w:t>
            </w:r>
          </w:p>
        </w:tc>
      </w:tr>
      <w:tr>
        <w:trPr/>
        <w:tc>
          <w:tcPr>
            <w:tcW w:w="5716" w:type="dxa"/>
            <w:tcBorders/>
            <w:shd w:fill="CFF0FC"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5716" w:type="dxa"/>
            <w:tcBorders/>
            <w:shd w:fill="FFFFFF" w:val="clear"/>
            <w:vAlign w:val="center"/>
          </w:tcPr>
          <w:p>
            <w:pPr>
              <w:pStyle w:val="TableContents"/>
              <w:bidi w:val="0"/>
              <w:spacing w:before="0" w:after="283"/>
              <w:ind w:left="480" w:right="0" w:firstLine="48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right"/>
              <w:rPr/>
            </w:pPr>
            <w:r>
              <w:rPr/>
              <w:t> </w:t>
            </w:r>
          </w:p>
        </w:tc>
      </w:tr>
      <w:tr>
        <w:trPr/>
        <w:tc>
          <w:tcPr>
            <w:tcW w:w="571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320"/>
              <w:jc w:val="left"/>
              <w:rPr/>
            </w:pPr>
            <w:r>
              <w:rPr/>
              <w:t> </w:t>
            </w:r>
          </w:p>
        </w:tc>
      </w:tr>
      <w:tr>
        <w:trPr/>
        <w:tc>
          <w:tcPr>
            <w:tcW w:w="5716"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right"/>
              <w:rPr/>
            </w:pPr>
            <w:r>
              <w:rPr/>
              <w:t> </w:t>
            </w:r>
          </w:p>
        </w:tc>
      </w:tr>
      <w:tr>
        <w:trPr/>
        <w:tc>
          <w:tcPr>
            <w:tcW w:w="5716" w:type="dxa"/>
            <w:tcBorders/>
            <w:shd w:fill="CFF0FC"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320"/>
              <w:jc w:val="right"/>
              <w:rPr/>
            </w:pPr>
            <w:r>
              <w:rPr/>
              <w:t> </w:t>
            </w:r>
          </w:p>
        </w:tc>
      </w:tr>
      <w:tr>
        <w:trPr/>
        <w:tc>
          <w:tcPr>
            <w:tcW w:w="5716"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5716" w:type="dxa"/>
            <w:tcBorders/>
            <w:shd w:fill="CFF0FC" w:val="clear"/>
            <w:vAlign w:val="center"/>
          </w:tcPr>
          <w:p>
            <w:pPr>
              <w:pStyle w:val="TableContents"/>
              <w:bidi w:val="0"/>
              <w:spacing w:before="0" w:after="283"/>
              <w:ind w:left="480" w:right="0" w:firstLine="480"/>
              <w:jc w:val="left"/>
              <w:rPr>
                <w:rFonts w:ascii="Times New Roman" w:hAnsi="Times New Roman"/>
                <w:color w:val="000000"/>
                <w:sz w:val="16"/>
              </w:rPr>
            </w:pPr>
            <w:r>
              <w:rPr>
                <w:rFonts w:ascii="Times New Roman" w:hAnsi="Times New Roman"/>
                <w:color w:val="000000"/>
                <w:sz w:val="16"/>
              </w:rPr>
              <w:t>Total fee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160"/>
              <w:jc w:val="right"/>
              <w:rPr/>
            </w:pPr>
            <w:r>
              <w:rPr/>
              <w:t> </w:t>
            </w:r>
          </w:p>
        </w:tc>
      </w:tr>
      <w:tr>
        <w:trPr/>
        <w:tc>
          <w:tcPr>
            <w:tcW w:w="571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Interest on idle funds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571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5,185</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160"/>
              <w:jc w:val="right"/>
              <w:rPr/>
            </w:pPr>
            <w:r>
              <w:rPr/>
              <w:t> </w:t>
            </w:r>
          </w:p>
        </w:tc>
      </w:tr>
      <w:tr>
        <w:trPr/>
        <w:tc>
          <w:tcPr>
            <w:tcW w:w="571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3,854</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right"/>
              <w:rPr/>
            </w:pPr>
            <w:r>
              <w:rPr/>
              <w:t> </w:t>
            </w:r>
          </w:p>
        </w:tc>
      </w:tr>
      <w:tr>
        <w:trPr/>
        <w:tc>
          <w:tcPr>
            <w:tcW w:w="571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Incentive fee -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3,647</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160"/>
              <w:jc w:val="right"/>
              <w:rPr/>
            </w:pPr>
            <w:r>
              <w:rPr/>
              <w:t> </w:t>
            </w:r>
          </w:p>
        </w:tc>
      </w:tr>
      <w:tr>
        <w:trPr/>
        <w:tc>
          <w:tcPr>
            <w:tcW w:w="571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Incentive fee (reversal) - capital gains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right"/>
              <w:rPr/>
            </w:pPr>
            <w:r>
              <w:rPr/>
              <w:t> </w:t>
            </w:r>
          </w:p>
        </w:tc>
      </w:tr>
      <w:tr>
        <w:trPr/>
        <w:tc>
          <w:tcPr>
            <w:tcW w:w="571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160"/>
              <w:jc w:val="right"/>
              <w:rPr/>
            </w:pPr>
            <w:r>
              <w:rPr/>
              <w:t> </w:t>
            </w:r>
          </w:p>
        </w:tc>
      </w:tr>
      <w:tr>
        <w:trPr/>
        <w:tc>
          <w:tcPr>
            <w:tcW w:w="571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right"/>
              <w:rPr/>
            </w:pPr>
            <w:r>
              <w:rPr/>
              <w:t> </w:t>
            </w:r>
          </w:p>
        </w:tc>
      </w:tr>
      <w:tr>
        <w:trPr/>
        <w:tc>
          <w:tcPr>
            <w:tcW w:w="571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net of base management fee waiver</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before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14,760</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160"/>
              <w:jc w:val="right"/>
              <w:rPr/>
            </w:pPr>
            <w:r>
              <w:rPr/>
              <w:t> </w:t>
            </w:r>
          </w:p>
        </w:tc>
      </w:tr>
      <w:tr>
        <w:trPr/>
        <w:tc>
          <w:tcPr>
            <w:tcW w:w="571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gains (losses) on investments:</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571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Net realized gains (losses):</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320"/>
              <w:jc w:val="left"/>
              <w:rPr/>
            </w:pPr>
            <w:r>
              <w:rPr/>
              <w:t> </w:t>
            </w:r>
          </w:p>
        </w:tc>
      </w:tr>
      <w:tr>
        <w:trPr/>
        <w:tc>
          <w:tcPr>
            <w:tcW w:w="5716"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right"/>
              <w:rPr/>
            </w:pPr>
            <w:r>
              <w:rPr/>
              <w:t> </w:t>
            </w:r>
          </w:p>
        </w:tc>
      </w:tr>
      <w:tr>
        <w:trPr/>
        <w:tc>
          <w:tcPr>
            <w:tcW w:w="5716" w:type="dxa"/>
            <w:tcBorders/>
            <w:shd w:fill="CFF0FC"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ind w:left="0" w:right="0" w:firstLine="320"/>
              <w:jc w:val="right"/>
              <w:rPr/>
            </w:pPr>
            <w:r>
              <w:rPr/>
              <w:t> </w:t>
            </w:r>
          </w:p>
        </w:tc>
      </w:tr>
      <w:tr>
        <w:trPr/>
        <w:tc>
          <w:tcPr>
            <w:tcW w:w="5716"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Total net realized gain (loss)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right"/>
              <w:rPr/>
            </w:pPr>
            <w:r>
              <w:rPr/>
              <w:t> </w:t>
            </w:r>
          </w:p>
        </w:tc>
      </w:tr>
      <w:tr>
        <w:trPr/>
        <w:tc>
          <w:tcPr>
            <w:tcW w:w="571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671" w:type="dxa"/>
            <w:tcBorders/>
            <w:shd w:fill="CFF0FC" w:val="clear"/>
            <w:vAlign w:val="center"/>
          </w:tcPr>
          <w:p>
            <w:pPr>
              <w:pStyle w:val="TableContents"/>
              <w:bidi w:val="0"/>
              <w:spacing w:before="0" w:after="283"/>
              <w:ind w:left="0" w:right="0" w:firstLine="320"/>
              <w:jc w:val="right"/>
              <w:rPr/>
            </w:pPr>
            <w:r>
              <w:rPr/>
              <w:t> </w:t>
            </w:r>
          </w:p>
        </w:tc>
      </w:tr>
      <w:tr>
        <w:trPr/>
        <w:tc>
          <w:tcPr>
            <w:tcW w:w="5716"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right"/>
              <w:rPr/>
            </w:pPr>
            <w:r>
              <w:rPr/>
              <w:t> </w:t>
            </w:r>
          </w:p>
        </w:tc>
      </w:tr>
      <w:tr>
        <w:trPr/>
        <w:tc>
          <w:tcPr>
            <w:tcW w:w="5716" w:type="dxa"/>
            <w:tcBorders/>
            <w:shd w:fill="CFF0FC"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CFF0FC" w:val="clear"/>
            <w:vAlign w:val="center"/>
          </w:tcPr>
          <w:p>
            <w:pPr>
              <w:pStyle w:val="TableContents"/>
              <w:bidi w:val="0"/>
              <w:spacing w:before="0" w:after="283"/>
              <w:ind w:left="0" w:right="0" w:firstLine="320"/>
              <w:jc w:val="right"/>
              <w:rPr/>
            </w:pPr>
            <w:r>
              <w:rPr/>
              <w:t> </w:t>
            </w:r>
          </w:p>
        </w:tc>
      </w:tr>
      <w:tr>
        <w:trPr/>
        <w:tc>
          <w:tcPr>
            <w:tcW w:w="5716"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Total net change in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gain (loss)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losses on extinguishment of debt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common share data:</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lef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share-basic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net assets resulting from operations per share —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 per share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30,776,758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24,803,951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6" w:name="changes_net_assets"/>
      <w:bookmarkEnd w:id="6"/>
      <w:r>
        <w:rPr>
          <w:rFonts w:ascii="Times New Roman" w:hAnsi="Times New Roman"/>
          <w:b/>
          <w:color w:val="000000"/>
          <w:sz w:val="20"/>
        </w:rPr>
        <w:t>Consolidated Statements of Changes in Net Assets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p>
      <w:pPr>
        <w:pStyle w:val="TextBody"/>
        <w:bidi w:val="0"/>
        <w:jc w:val="left"/>
        <w:rPr/>
      </w:pPr>
      <w:r>
        <w:rPr/>
        <w:t> </w:t>
      </w:r>
    </w:p>
    <w:tbl>
      <w:tblPr>
        <w:tblW w:w="10180" w:type="dxa"/>
        <w:jc w:val="left"/>
        <w:tblInd w:w="0" w:type="dxa"/>
        <w:tblLayout w:type="fixed"/>
        <w:tblCellMar>
          <w:top w:w="28" w:type="dxa"/>
          <w:left w:w="28" w:type="dxa"/>
          <w:bottom w:w="28" w:type="dxa"/>
          <w:right w:w="28" w:type="dxa"/>
        </w:tblCellMar>
      </w:tblPr>
      <w:tblGrid>
        <w:gridCol w:w="4126"/>
        <w:gridCol w:w="146"/>
        <w:gridCol w:w="146"/>
        <w:gridCol w:w="916"/>
        <w:gridCol w:w="146"/>
        <w:gridCol w:w="146"/>
        <w:gridCol w:w="196"/>
        <w:gridCol w:w="346"/>
        <w:gridCol w:w="146"/>
        <w:gridCol w:w="256"/>
        <w:gridCol w:w="196"/>
        <w:gridCol w:w="691"/>
        <w:gridCol w:w="146"/>
        <w:gridCol w:w="146"/>
        <w:gridCol w:w="233"/>
        <w:gridCol w:w="788"/>
        <w:gridCol w:w="166"/>
        <w:gridCol w:w="146"/>
        <w:gridCol w:w="196"/>
        <w:gridCol w:w="691"/>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w:t>
            </w:r>
          </w:p>
        </w:tc>
        <w:tc>
          <w:tcPr>
            <w:tcW w:w="211" w:type="dxa"/>
            <w:tcBorders/>
            <w:shd w:fill="FFFFFF" w:val="cle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24,727,788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480,343</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5,306</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14,723</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24,988,398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401,222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484,646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30,438,979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504,298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589,474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987,170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19,170</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17,627</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31,426,149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608,340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 is greater than zero but less than one</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7" w:name="statements_cash_flows"/>
      <w:bookmarkEnd w:id="7"/>
      <w:r>
        <w:rPr>
          <w:rFonts w:ascii="Times New Roman" w:hAnsi="Times New Roman"/>
          <w:b/>
          <w:color w:val="000000"/>
          <w:sz w:val="20"/>
        </w:rPr>
        <w:t>Consolidated Statements of Cash Flows (unaudited)</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52"/>
        <w:gridCol w:w="346"/>
        <w:gridCol w:w="196"/>
        <w:gridCol w:w="751"/>
        <w:gridCol w:w="346"/>
        <w:gridCol w:w="346"/>
        <w:gridCol w:w="196"/>
        <w:gridCol w:w="661"/>
        <w:gridCol w:w="1011"/>
      </w:tblGrid>
      <w:tr>
        <w:trPr/>
        <w:tc>
          <w:tcPr>
            <w:tcW w:w="63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35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3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ind w:left="0" w:right="0" w:firstLine="200"/>
              <w:jc w:val="left"/>
              <w:rPr/>
            </w:pPr>
            <w:r>
              <w:rPr/>
              <w:t> </w:t>
            </w:r>
          </w:p>
        </w:tc>
      </w:tr>
      <w:tr>
        <w:trPr/>
        <w:tc>
          <w:tcPr>
            <w:tcW w:w="635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20,123</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15,489</w:t>
            </w:r>
          </w:p>
        </w:tc>
        <w:tc>
          <w:tcPr>
            <w:tcW w:w="1011" w:type="dxa"/>
            <w:tcBorders/>
            <w:shd w:fill="FFFFFF" w:val="clear"/>
            <w:vAlign w:val="center"/>
          </w:tcPr>
          <w:p>
            <w:pPr>
              <w:pStyle w:val="TableContents"/>
              <w:bidi w:val="0"/>
              <w:spacing w:before="0" w:after="283"/>
              <w:jc w:val="left"/>
              <w:rPr/>
            </w:pPr>
            <w:r>
              <w:rPr/>
              <w:t> </w:t>
            </w:r>
          </w:p>
        </w:tc>
      </w:tr>
      <w:tr>
        <w:trPr/>
        <w:tc>
          <w:tcPr>
            <w:tcW w:w="6352"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increase (decrease) in net assets resulting from operations to net cash provided by (used for) operating activities:</w:t>
            </w:r>
          </w:p>
        </w:tc>
        <w:tc>
          <w:tcPr>
            <w:tcW w:w="346" w:type="dxa"/>
            <w:tcBorders/>
            <w:shd w:fill="CFF0FC" w:val="clear"/>
            <w:vAlign w:val="center"/>
          </w:tcPr>
          <w:p>
            <w:pPr>
              <w:pStyle w:val="TableContents"/>
              <w:bidi w:val="0"/>
              <w:spacing w:before="0" w:after="283"/>
              <w:ind w:left="0" w:right="0" w:firstLine="200"/>
              <w:jc w:val="left"/>
              <w:rPr/>
            </w:pPr>
            <w:r>
              <w:rPr/>
              <w:t> </w:t>
            </w:r>
          </w:p>
        </w:tc>
        <w:tc>
          <w:tcPr>
            <w:tcW w:w="947" w:type="dxa"/>
            <w:gridSpan w:val="2"/>
            <w:tcBorders/>
            <w:shd w:fill="CFF0FC" w:val="clear"/>
            <w:vAlign w:val="center"/>
          </w:tcPr>
          <w:p>
            <w:pPr>
              <w:pStyle w:val="TableContents"/>
              <w:bidi w:val="0"/>
              <w:spacing w:before="0" w:after="283"/>
              <w:ind w:left="200" w:right="0" w:firstLine="200"/>
              <w:jc w:val="left"/>
              <w:rPr/>
            </w:pPr>
            <w:r>
              <w:rPr/>
              <w:t> </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0" w:right="0" w:firstLine="200"/>
              <w:jc w:val="left"/>
              <w:rPr/>
            </w:pPr>
            <w:r>
              <w:rPr/>
              <w:t> </w:t>
            </w:r>
          </w:p>
        </w:tc>
        <w:tc>
          <w:tcPr>
            <w:tcW w:w="857" w:type="dxa"/>
            <w:gridSpan w:val="2"/>
            <w:tcBorders/>
            <w:shd w:fill="CFF0FC" w:val="clear"/>
            <w:vAlign w:val="center"/>
          </w:tcPr>
          <w:p>
            <w:pPr>
              <w:pStyle w:val="TableContents"/>
              <w:bidi w:val="0"/>
              <w:spacing w:before="0" w:after="283"/>
              <w:ind w:left="200" w:right="0" w:firstLine="200"/>
              <w:jc w:val="left"/>
              <w:rPr/>
            </w:pPr>
            <w:r>
              <w:rPr/>
              <w:t> </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w:t>
            </w:r>
          </w:p>
        </w:tc>
        <w:tc>
          <w:tcPr>
            <w:tcW w:w="10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realized (gain) loss on investments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0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and dividend income paid-in-kind</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(2,049</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w:t>
            </w:r>
          </w:p>
        </w:tc>
        <w:tc>
          <w:tcPr>
            <w:tcW w:w="10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Accretion of original issue discount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0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Accretion of loan origination fees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10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Purchase of investments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(145,861</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(51,521</w:t>
            </w:r>
          </w:p>
        </w:tc>
        <w:tc>
          <w:tcPr>
            <w:tcW w:w="10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sales and repayments of investments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60,247</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15,918</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loan origination fees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Realized losses on extinguishment of debt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Amortization of deferred financing costs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Amortization of deferred equity financing costs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3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600"/>
              <w:jc w:val="right"/>
              <w:rPr/>
            </w:pPr>
            <w:r>
              <w:rPr/>
              <w:t> </w:t>
            </w:r>
          </w:p>
        </w:tc>
      </w:tr>
      <w:tr>
        <w:trPr/>
        <w:tc>
          <w:tcPr>
            <w:tcW w:w="635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Interest receivable</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(3,743</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(1,879</w:t>
            </w:r>
          </w:p>
        </w:tc>
        <w:tc>
          <w:tcPr>
            <w:tcW w:w="1011" w:type="dxa"/>
            <w:tcBorders/>
            <w:shd w:fill="FFFF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Prepaid expenses and other assets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011" w:type="dxa"/>
            <w:tcBorders/>
            <w:shd w:fill="CFF0FC"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Accrued interest and fees payable</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(2,387</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w:t>
            </w:r>
          </w:p>
        </w:tc>
        <w:tc>
          <w:tcPr>
            <w:tcW w:w="1011" w:type="dxa"/>
            <w:tcBorders/>
            <w:shd w:fill="FFFF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011" w:type="dxa"/>
            <w:tcBorders/>
            <w:shd w:fill="CFF0FC" w:val="clear"/>
            <w:vAlign w:val="center"/>
          </w:tcPr>
          <w:p>
            <w:pPr>
              <w:pStyle w:val="TableContents"/>
              <w:bidi w:val="0"/>
              <w:spacing w:before="0" w:after="283"/>
              <w:ind w:left="0" w:right="0" w:firstLine="600"/>
              <w:jc w:val="left"/>
              <w:rPr/>
            </w:pPr>
            <w:r>
              <w:rPr/>
              <w:t> </w:t>
            </w:r>
          </w:p>
        </w:tc>
      </w:tr>
      <w:tr>
        <w:trPr/>
        <w:tc>
          <w:tcPr>
            <w:tcW w:w="635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w:t>
            </w:r>
          </w:p>
        </w:tc>
        <w:tc>
          <w:tcPr>
            <w:tcW w:w="1011" w:type="dxa"/>
            <w:tcBorders/>
            <w:shd w:fill="FFFFFF" w:val="clear"/>
            <w:vAlign w:val="center"/>
          </w:tcPr>
          <w:p>
            <w:pPr>
              <w:pStyle w:val="TableContents"/>
              <w:bidi w:val="0"/>
              <w:spacing w:before="0" w:after="283"/>
              <w:ind w:left="0" w:right="0" w:firstLine="600"/>
              <w:jc w:val="left"/>
              <w:rPr/>
            </w:pPr>
            <w:r>
              <w:rPr/>
              <w:t> </w:t>
            </w:r>
          </w:p>
        </w:tc>
      </w:tr>
      <w:tr>
        <w:trPr/>
        <w:tc>
          <w:tcPr>
            <w:tcW w:w="635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Capital gains incentive fee (reversal) – due to (from) affiliate</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(3,038</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(7,402</w:t>
            </w:r>
          </w:p>
        </w:tc>
        <w:tc>
          <w:tcPr>
            <w:tcW w:w="1011" w:type="dxa"/>
            <w:tcBorders/>
            <w:shd w:fill="CFF0FC"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Administration fee payable and other – due to (from) affiliate</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011" w:type="dxa"/>
            <w:tcBorders/>
            <w:shd w:fill="FFFFFF"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Taxes payable</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(9,850</w:t>
            </w:r>
          </w:p>
        </w:tc>
        <w:tc>
          <w:tcPr>
            <w:tcW w:w="1011" w:type="dxa"/>
            <w:tcBorders/>
            <w:shd w:fill="CFF0FC" w:val="cle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Accounts payable and other liabilities</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CFF0FC"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Net cash provided by (used for) operating activities</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(77,823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(41,208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common stock offerings, net of expenses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19,170</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5,306</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received from SBA debentures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Repayments of SBA debentures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received from (repayments of) borrowings under Credit Facility, net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22,500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received from (repayments of) Secured Borrowings, net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0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Payment of deferred financing costs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0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Dividends paid to stockholders, including expenses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(20,427</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(16,492</w:t>
            </w:r>
          </w:p>
        </w:tc>
        <w:tc>
          <w:tcPr>
            <w:tcW w:w="1011" w:type="dxa"/>
            <w:tcBorders/>
            <w:shd w:fill="CFF0FC" w:val="cle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FFFF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Net cash provided by (used for) financing activities</w:t>
            </w:r>
          </w:p>
        </w:tc>
        <w:tc>
          <w:tcPr>
            <w:tcW w:w="3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(14,186</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15,276</w:t>
            </w:r>
          </w:p>
        </w:tc>
        <w:tc>
          <w:tcPr>
            <w:tcW w:w="10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352" w:type="dxa"/>
            <w:tcBorders/>
            <w:shd w:fill="CFF0FC"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Net increase (decrease) in cash and cash equivalents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(92,009</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(25,932</w:t>
            </w:r>
          </w:p>
        </w:tc>
        <w:tc>
          <w:tcPr>
            <w:tcW w:w="10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5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Beginning of period</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119,131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62,350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End of period</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27,122</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36,418</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2"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Supplemental information and non-cash activities</w:t>
            </w: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635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Cash payments for interest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7,864</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6,090</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635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Cash payments for taxes, net of tax refunds received</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9,887</w:t>
            </w:r>
          </w:p>
        </w:tc>
        <w:tc>
          <w:tcPr>
            <w:tcW w:w="1011"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bookmarkStart w:id="8" w:name="consolidated_schedule_of_investments"/>
      <w:bookmarkEnd w:id="8"/>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w:t>
      </w:r>
    </w:p>
    <w:p>
      <w:pPr>
        <w:pStyle w:val="TextBody"/>
        <w:bidi w:val="0"/>
        <w:jc w:val="center"/>
        <w:rPr>
          <w:rFonts w:ascii="Times New Roman" w:hAnsi="Times New Roman"/>
          <w:b/>
          <w:color w:val="000000"/>
          <w:sz w:val="20"/>
        </w:rPr>
      </w:pPr>
      <w:r>
        <w:rPr>
          <w:rFonts w:ascii="Times New Roman" w:hAnsi="Times New Roman"/>
          <w:b/>
          <w:color w:val="000000"/>
          <w:sz w:val="20"/>
        </w:rPr>
        <w:t>March 31, 2024</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626"/>
        <w:gridCol w:w="1367"/>
        <w:gridCol w:w="886"/>
        <w:gridCol w:w="677"/>
        <w:gridCol w:w="635"/>
        <w:gridCol w:w="603"/>
        <w:gridCol w:w="166"/>
        <w:gridCol w:w="436"/>
        <w:gridCol w:w="146"/>
        <w:gridCol w:w="146"/>
        <w:gridCol w:w="166"/>
        <w:gridCol w:w="436"/>
        <w:gridCol w:w="146"/>
        <w:gridCol w:w="146"/>
        <w:gridCol w:w="166"/>
        <w:gridCol w:w="436"/>
        <w:gridCol w:w="146"/>
        <w:gridCol w:w="205"/>
        <w:gridCol w:w="316"/>
        <w:gridCol w:w="354"/>
      </w:tblGrid>
      <w:tr>
        <w:trPr/>
        <w:tc>
          <w:tcPr>
            <w:tcW w:w="262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Portfolio Company (a)(b)</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Variable Index</w:t>
            </w:r>
          </w:p>
        </w:tc>
        <w:tc>
          <w:tcPr>
            <w:tcW w:w="677"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Rate (e)</w:t>
            </w:r>
          </w:p>
        </w:tc>
        <w:tc>
          <w:tcPr>
            <w:tcW w:w="635"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Investment</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Principal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Fair</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Percent of</w:t>
            </w:r>
          </w:p>
        </w:tc>
        <w:tc>
          <w:tcPr>
            <w:tcW w:w="354" w:type="dxa"/>
            <w:tcBorders/>
            <w:shd w:fill="FFFFFF" w:val="clear"/>
            <w:vAlign w:val="center"/>
          </w:tcPr>
          <w:p>
            <w:pPr>
              <w:pStyle w:val="TableContents"/>
              <w:bidi w:val="0"/>
              <w:spacing w:before="0" w:after="283"/>
              <w:jc w:val="center"/>
              <w:rPr/>
            </w:pPr>
            <w:r>
              <w:rPr/>
              <w:t> </w:t>
            </w:r>
          </w:p>
        </w:tc>
      </w:tr>
      <w:tr>
        <w:trP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Investment Type (c)</w:t>
            </w:r>
          </w:p>
        </w:tc>
        <w:tc>
          <w:tcPr>
            <w:tcW w:w="1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Industry</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Spread / Floor (d)</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Cash/PIK</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Date (f)</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Maturity</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Value (g)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Assets</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Control Investments (t)</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US GreenFiber, LLC (n)</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(j)(y)</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10.00%/3.00%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7/3/2014</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8/30/2024</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(2,522</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7/3/2014</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(425,508</w:t>
            </w:r>
            <w:r>
              <w:rPr>
                <w:rFonts w:ascii="Times New Roman" w:hAnsi="Times New Roman"/>
                <w:color w:val="000000"/>
                <w:sz w:val="20"/>
              </w:rPr>
              <w:t> </w:t>
            </w:r>
            <w:r>
              <w:rPr>
                <w:rFonts w:ascii="Times New Roman" w:hAnsi="Times New Roman"/>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8/30/2019</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(1,022,813</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7/1/2020</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Affiliate Investments (l)</w:t>
            </w:r>
          </w:p>
        </w:tc>
        <w:tc>
          <w:tcPr>
            <w:tcW w:w="1367" w:type="dxa"/>
            <w:tcBorders/>
            <w:shd w:fill="CFF0FC" w:val="clear"/>
            <w:vAlign w:val="center"/>
          </w:tcPr>
          <w:p>
            <w:pPr>
              <w:pStyle w:val="TableContents"/>
              <w:bidi w:val="0"/>
              <w:spacing w:before="0" w:after="283"/>
              <w:jc w:val="center"/>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Applegate Greenfiber Intermediate Inc. (fka US GreenFiber, LLC)</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11.00%/0.00%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12/31/2027</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(5,690</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6,811</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(7,113</w:t>
            </w:r>
            <w:r>
              <w:rPr>
                <w:rFonts w:ascii="Times New Roman" w:hAnsi="Times New Roman"/>
                <w:color w:val="000000"/>
                <w:sz w:val="20"/>
              </w:rPr>
              <w:t>  </w:t>
            </w:r>
            <w:r>
              <w:rPr>
                <w:rFonts w:ascii="Times New Roman" w:hAnsi="Times New Roman"/>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8,442</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(2,012</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24,855</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Medsurant Holdings, LLC</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(84,997</w:t>
            </w:r>
            <w:r>
              <w:rPr>
                <w:rFonts w:ascii="Times New Roman" w:hAnsi="Times New Roman"/>
                <w:color w:val="000000"/>
                <w:sz w:val="20"/>
              </w:rPr>
              <w:t> </w:t>
            </w:r>
            <w:r>
              <w:rPr>
                <w:rFonts w:ascii="Times New Roman" w:hAnsi="Times New Roman"/>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4/12/2011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1,654</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Warrant (252,588</w:t>
            </w:r>
            <w:r>
              <w:rPr>
                <w:rFonts w:ascii="Times New Roman" w:hAnsi="Times New Roman"/>
                <w:color w:val="000000"/>
                <w:sz w:val="20"/>
              </w:rPr>
              <w:t> </w:t>
            </w:r>
            <w:r>
              <w:rPr>
                <w:rFonts w:ascii="Times New Roman" w:hAnsi="Times New Roman"/>
                <w:color w:val="000000"/>
                <w:sz w:val="10"/>
              </w:rPr>
              <w:t>units) (h)(j)(m)</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4/12/2011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7,464</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Pfanstiehl, Inc.</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(2,550</w:t>
            </w:r>
            <w:r>
              <w:rPr>
                <w:rFonts w:ascii="Times New Roman" w:hAnsi="Times New Roman"/>
                <w:color w:val="000000"/>
                <w:sz w:val="20"/>
              </w:rPr>
              <w:t> </w:t>
            </w:r>
            <w:r>
              <w:rPr>
                <w:rFonts w:ascii="Times New Roman" w:hAnsi="Times New Roman"/>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3/29/2013</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29,713</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Spectra A&amp;D Acquisition, Inc. (fka FDS Avionics Corp.)</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(k)(ag)</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+ 6.00%) / (1.00%)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11.56%/0.00%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2/12/2021</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2/11/2026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13,879</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(12,035</w:t>
            </w:r>
            <w:r>
              <w:rPr>
                <w:rFonts w:ascii="Times New Roman" w:hAnsi="Times New Roman"/>
                <w:color w:val="000000"/>
                <w:sz w:val="20"/>
              </w:rPr>
              <w:t> </w:t>
            </w:r>
            <w:r>
              <w:rPr>
                <w:rFonts w:ascii="Times New Roman" w:hAnsi="Times New Roman"/>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8/25/2021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(38,493</w:t>
            </w:r>
            <w:r>
              <w:rPr>
                <w:rFonts w:ascii="Times New Roman" w:hAnsi="Times New Roman"/>
                <w:color w:val="000000"/>
                <w:sz w:val="20"/>
              </w:rPr>
              <w:t> </w:t>
            </w:r>
            <w:r>
              <w:rPr>
                <w:rFonts w:ascii="Times New Roman" w:hAnsi="Times New Roman"/>
                <w:color w:val="000000"/>
                <w:sz w:val="10"/>
              </w:rPr>
              <w:t>units)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12/16/2022</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(6,783</w:t>
            </w:r>
            <w:r>
              <w:rPr>
                <w:rFonts w:ascii="Times New Roman" w:hAnsi="Times New Roman"/>
                <w:color w:val="000000"/>
                <w:sz w:val="20"/>
              </w:rPr>
              <w:t> </w:t>
            </w:r>
            <w:r>
              <w:rPr>
                <w:rFonts w:ascii="Times New Roman" w:hAnsi="Times New Roman"/>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7/10/2023</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(4,663</w:t>
            </w:r>
            <w:r>
              <w:rPr>
                <w:rFonts w:ascii="Times New Roman" w:hAnsi="Times New Roman"/>
                <w:color w:val="000000"/>
                <w:sz w:val="20"/>
              </w:rPr>
              <w:t> </w:t>
            </w:r>
            <w:r>
              <w:rPr>
                <w:rFonts w:ascii="Times New Roman" w:hAnsi="Times New Roman"/>
                <w:color w:val="000000"/>
                <w:sz w:val="10"/>
              </w:rPr>
              <w:t>units)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9/16/2022</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19,930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13,879</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Steward Holding LLC (dba Steward Advanced Materials)</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11/12/2015</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4,405</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80,316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Non-control/Non-affiliate Investments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2KDirect, Inc. (dba iPromote)</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(k)(at)</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+ 6.75%) / (0.50%)</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12.23%/0.00%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6/25/2021</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6/25/2026</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10,594</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(j)(aa)</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+ 6.75%) / (0.50%)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8.98%/0.00%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7/30/2021</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3,260</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14,815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14,377</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301 Edison Holdings Inc. (dba LGG Industrial)</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11.75%/1.50%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11/14/2023</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11/13/2028</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12,222</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(519,244</w:t>
            </w:r>
            <w:r>
              <w:rPr>
                <w:rFonts w:ascii="Times New Roman" w:hAnsi="Times New Roman"/>
                <w:color w:val="000000"/>
                <w:sz w:val="20"/>
              </w:rPr>
              <w:t> </w:t>
            </w:r>
            <w:r>
              <w:rPr>
                <w:rFonts w:ascii="Times New Roman" w:hAnsi="Times New Roman"/>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11/14/2023</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13,222</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Acendre Midco, Inc.</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(0.50%)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13.34%/0.00%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5,445</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(0.50%)</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13.34%/0.00%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12,375</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Revolving Loan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(0.50%)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13.34%/0.00%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shares)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469</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Warrant (150,000</w:t>
            </w:r>
            <w:r>
              <w:rPr>
                <w:rFonts w:ascii="Times New Roman" w:hAnsi="Times New Roman"/>
                <w:color w:val="000000"/>
                <w:sz w:val="20"/>
              </w:rPr>
              <w:t> </w:t>
            </w:r>
            <w:r>
              <w:rPr>
                <w:rFonts w:ascii="Times New Roman" w:hAnsi="Times New Roman"/>
                <w:color w:val="000000"/>
                <w:sz w:val="10"/>
              </w:rPr>
              <w:t>shares) (j)(m)</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141</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(77,016</w:t>
            </w:r>
            <w:r>
              <w:rPr>
                <w:rFonts w:ascii="Times New Roman" w:hAnsi="Times New Roman"/>
                <w:color w:val="000000"/>
                <w:sz w:val="20"/>
              </w:rPr>
              <w:t> </w:t>
            </w:r>
            <w:r>
              <w:rPr>
                <w:rFonts w:ascii="Times New Roman" w:hAnsi="Times New Roman"/>
                <w:color w:val="000000"/>
                <w:sz w:val="10"/>
              </w:rPr>
              <w:t>shares)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9/26/2022</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19,573</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Ad Info Parent, Inc. (dba MediaRadar)</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11.70%/0.00%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11/1/2023</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9/16/2029</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12,403</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($1,442</w:t>
            </w:r>
            <w:r>
              <w:rPr>
                <w:rFonts w:ascii="Times New Roman" w:hAnsi="Times New Roman"/>
                <w:color w:val="000000"/>
                <w:sz w:val="20"/>
              </w:rPr>
              <w:t> </w:t>
            </w:r>
            <w:r>
              <w:rPr>
                <w:rFonts w:ascii="Times New Roman" w:hAnsi="Times New Roman"/>
                <w:color w:val="000000"/>
                <w:sz w:val="10"/>
              </w:rPr>
              <w:t>unfunded commitment) (i)(j)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11.70%/0.00%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11/1/2023</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9/16/2029</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w:t>
            </w:r>
          </w:p>
        </w:tc>
        <w:tc>
          <w:tcPr>
            <w:tcW w:w="14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(1,250,000</w:t>
            </w:r>
            <w:r>
              <w:rPr>
                <w:rFonts w:ascii="Times New Roman" w:hAnsi="Times New Roman"/>
                <w:color w:val="000000"/>
                <w:sz w:val="20"/>
              </w:rPr>
              <w:t> </w:t>
            </w:r>
            <w:r>
              <w:rPr>
                <w:rFonts w:ascii="Times New Roman" w:hAnsi="Times New Roman"/>
                <w:color w:val="000000"/>
                <w:sz w:val="10"/>
              </w:rPr>
              <w:t>units)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11/1/2023</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13,653</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Aldinger Company</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Debt(k)( ae)</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(2.00%)</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11.58%/0.00%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6/30/2023</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6/29/2029</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22,446</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(8,227</w:t>
            </w:r>
            <w:r>
              <w:rPr>
                <w:rFonts w:ascii="Times New Roman" w:hAnsi="Times New Roman"/>
                <w:color w:val="000000"/>
                <w:sz w:val="20"/>
              </w:rPr>
              <w:t> </w:t>
            </w:r>
            <w:r>
              <w:rPr>
                <w:rFonts w:ascii="Times New Roman" w:hAnsi="Times New Roman"/>
                <w:color w:val="000000"/>
                <w:sz w:val="10"/>
              </w:rPr>
              <w:t>units)</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6/30/2023</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586</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(8,263</w:t>
            </w:r>
            <w:r>
              <w:rPr>
                <w:rFonts w:ascii="Times New Roman" w:hAnsi="Times New Roman"/>
                <w:color w:val="000000"/>
                <w:sz w:val="20"/>
              </w:rPr>
              <w:t> </w:t>
            </w:r>
            <w:r>
              <w:rPr>
                <w:rFonts w:ascii="Times New Roman" w:hAnsi="Times New Roman"/>
                <w:color w:val="000000"/>
                <w:sz w:val="10"/>
              </w:rPr>
              <w:t>units)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6/30/2023</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23,072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23,858</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Allredi, LLC (fka Marco Group International OpCo, LLC)</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Industrial Cleaning &amp; Coatings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0.00%/15.00%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3/2/2020</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10,533</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(570,636</w:t>
            </w:r>
            <w:r>
              <w:rPr>
                <w:rFonts w:ascii="Times New Roman" w:hAnsi="Times New Roman"/>
                <w:color w:val="000000"/>
                <w:sz w:val="20"/>
              </w:rPr>
              <w:t> </w:t>
            </w:r>
            <w:r>
              <w:rPr>
                <w:rFonts w:ascii="Times New Roman" w:hAnsi="Times New Roman"/>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7/21/2017</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(39,443</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11/24/2021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Common Equity (524,624units)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8/3/2023</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12,709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10,754</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American AllWaste LLC (dba WasteWater Transport Services)</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Environmental Industries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(j)(p)</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(1.00%)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12.09%/0.00%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6/28/2021</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3/31/2025</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22,062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21,456</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(j)(o)</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(1.00%)</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9.59%/0.00%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6/28/2021</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3/31/2025</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319</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($3,326</w:t>
            </w:r>
            <w:r>
              <w:rPr>
                <w:rFonts w:ascii="Times New Roman" w:hAnsi="Times New Roman"/>
                <w:color w:val="000000"/>
                <w:sz w:val="20"/>
              </w:rPr>
              <w:t> </w:t>
            </w:r>
            <w:r>
              <w:rPr>
                <w:rFonts w:ascii="Times New Roman" w:hAnsi="Times New Roman"/>
                <w:color w:val="000000"/>
                <w:sz w:val="10"/>
              </w:rPr>
              <w:t>unfunded commitment) (j)(v)</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15.00%/0.00%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3/28/2024</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3/31/2025</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2,924</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(500</w:t>
            </w:r>
            <w:r>
              <w:rPr>
                <w:rFonts w:ascii="Times New Roman" w:hAnsi="Times New Roman"/>
                <w:color w:val="000000"/>
                <w:sz w:val="20"/>
              </w:rPr>
              <w:t> </w:t>
            </w:r>
            <w:r>
              <w:rPr>
                <w:rFonts w:ascii="Times New Roman" w:hAnsi="Times New Roman"/>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5/31/2018</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(207</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8/6/2019</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(141</w:t>
            </w:r>
            <w:r>
              <w:rPr>
                <w:rFonts w:ascii="Times New Roman" w:hAnsi="Times New Roman"/>
                <w:color w:val="000000"/>
                <w:sz w:val="20"/>
              </w:rPr>
              <w:t> </w:t>
            </w:r>
            <w:r>
              <w:rPr>
                <w:rFonts w:ascii="Times New Roman" w:hAnsi="Times New Roman"/>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11/2/2020</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(74</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12/29/2021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24,801</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AmeriWater, LLC</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(af)</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11.56%/0.00%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7/8/2027</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7,590</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7.00%/7.00%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1/8/2028</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2,259</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11,178</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AOM Intermediate Holdco, LLC (dba AllOver Media)</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(1,232</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2/1/2022</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1,645</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APM Intermediate Holdings, LLC (dba Artistic Paver Manufacturing, Inc.)</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(ai)</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12.33%/0.00%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11/8/2022</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11/8/2027</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18,200</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(1,200</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11/8/2022</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pPr>
            <w:r>
              <w:rPr/>
              <w:t> </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19,535</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Auto CRM LLC (dba Dealer Holdings)</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(am)</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 + 5.50%) / (3.25%)</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14.00%/0.85%</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10/1/2021</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7,626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7,740</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0.00%/14.50%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10/1/2021</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709</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(500</w:t>
            </w:r>
            <w:r>
              <w:rPr>
                <w:rFonts w:ascii="Times New Roman" w:hAnsi="Times New Roman"/>
                <w:color w:val="000000"/>
                <w:sz w:val="20"/>
              </w:rPr>
              <w:t> </w:t>
            </w:r>
            <w:r>
              <w:rPr>
                <w:rFonts w:ascii="Times New Roman" w:hAnsi="Times New Roman"/>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8,658</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Bad Boy Mowers JV Acquisition, LLC</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(k)</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9.00%/4.50%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11/9/2023</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11/9/2030</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13,158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13,158</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(13,000</w:t>
            </w:r>
            <w:r>
              <w:rPr>
                <w:rFonts w:ascii="Times New Roman" w:hAnsi="Times New Roman"/>
                <w:color w:val="000000"/>
                <w:sz w:val="20"/>
              </w:rPr>
              <w:t> </w:t>
            </w:r>
            <w:r>
              <w:rPr>
                <w:rFonts w:ascii="Times New Roman" w:hAnsi="Times New Roman"/>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11/9/2023</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14,458</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Barefoot Mosquito and Pest Control, LLC</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Services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12.33%/0.00%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12/22/2029</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28,830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28,829</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($1,500</w:t>
            </w:r>
            <w:r>
              <w:rPr>
                <w:rFonts w:ascii="Times New Roman" w:hAnsi="Times New Roman"/>
                <w:color w:val="000000"/>
                <w:sz w:val="20"/>
              </w:rPr>
              <w:t> </w:t>
            </w:r>
            <w:r>
              <w:rPr>
                <w:rFonts w:ascii="Times New Roman" w:hAnsi="Times New Roman"/>
                <w:color w:val="000000"/>
                <w:sz w:val="10"/>
              </w:rPr>
              <w:t>unfunded commitment) (i)(j)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12.33%/0.00%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12/22/2029</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(3,974</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(15,000</w:t>
            </w:r>
            <w:r>
              <w:rPr>
                <w:rFonts w:ascii="Times New Roman" w:hAnsi="Times New Roman"/>
                <w:color w:val="000000"/>
                <w:sz w:val="20"/>
              </w:rPr>
              <w:t> </w:t>
            </w:r>
            <w:r>
              <w:rPr>
                <w:rFonts w:ascii="Times New Roman" w:hAnsi="Times New Roman"/>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30,329</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BCM One Group Holdings, Inc.</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11.75%/0.00%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11/17/2021</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11/17/2028</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18,333</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Bedford Precision Parts LLC</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3/12/2019</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318</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BP Thrift Buyer, LLC (dba myUnique and Ecothrift)</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825"/>
        <w:gridCol w:w="1435"/>
        <w:gridCol w:w="983"/>
        <w:gridCol w:w="701"/>
        <w:gridCol w:w="559"/>
        <w:gridCol w:w="559"/>
        <w:gridCol w:w="146"/>
        <w:gridCol w:w="436"/>
        <w:gridCol w:w="146"/>
        <w:gridCol w:w="146"/>
        <w:gridCol w:w="146"/>
        <w:gridCol w:w="436"/>
        <w:gridCol w:w="146"/>
        <w:gridCol w:w="146"/>
        <w:gridCol w:w="146"/>
        <w:gridCol w:w="436"/>
        <w:gridCol w:w="146"/>
        <w:gridCol w:w="146"/>
        <w:gridCol w:w="166"/>
        <w:gridCol w:w="355"/>
      </w:tblGrid>
      <w:tr>
        <w:trPr/>
        <w:tc>
          <w:tcPr>
            <w:tcW w:w="282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(j)(al)</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(1.50%)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11.08%/0.00%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9/13/2022</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20,000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(1.50%)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8.83%/0.00%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5/12/2023</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1,892</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9/13/2022</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23,307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BurgerFi International, LLC (dba BurgerFi) (ad)</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Restaurants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(14,201</w:t>
            </w:r>
            <w:r>
              <w:rPr>
                <w:rFonts w:ascii="Times New Roman" w:hAnsi="Times New Roman"/>
                <w:color w:val="000000"/>
                <w:sz w:val="20"/>
              </w:rPr>
              <w:t> </w:t>
            </w:r>
            <w:r>
              <w:rPr>
                <w:rFonts w:ascii="Times New Roman" w:hAnsi="Times New Roman"/>
                <w:color w:val="000000"/>
                <w:sz w:val="10"/>
              </w:rPr>
              <w:t>units) (j)(ao)</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11/3/2022</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(9,787</w:t>
            </w:r>
            <w:r>
              <w:rPr>
                <w:rFonts w:ascii="Times New Roman" w:hAnsi="Times New Roman"/>
                <w:color w:val="000000"/>
                <w:sz w:val="20"/>
              </w:rPr>
              <w:t> </w:t>
            </w:r>
            <w:r>
              <w:rPr>
                <w:rFonts w:ascii="Times New Roman" w:hAnsi="Times New Roman"/>
                <w:color w:val="000000"/>
                <w:sz w:val="10"/>
              </w:rPr>
              <w:t>units) (j)(ao)</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11/3/2022</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Cardback Intermediate, LLC (dba Chargeback Gurus)</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(j)(ah)</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(0.75%)</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12.09%/0.00%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11,699</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(495</w:t>
            </w:r>
            <w:r>
              <w:rPr>
                <w:rFonts w:ascii="Times New Roman" w:hAnsi="Times New Roman"/>
                <w:color w:val="000000"/>
                <w:sz w:val="20"/>
              </w:rPr>
              <w:t> </w:t>
            </w:r>
            <w:r>
              <w:rPr>
                <w:rFonts w:ascii="Times New Roman" w:hAnsi="Times New Roman"/>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(495</w:t>
            </w:r>
            <w:r>
              <w:rPr>
                <w:rFonts w:ascii="Times New Roman" w:hAnsi="Times New Roman"/>
                <w:color w:val="000000"/>
                <w:sz w:val="20"/>
              </w:rPr>
              <w:t> </w:t>
            </w:r>
            <w:r>
              <w:rPr>
                <w:rFonts w:ascii="Times New Roman" w:hAnsi="Times New Roman"/>
                <w:color w:val="000000"/>
                <w:sz w:val="10"/>
              </w:rPr>
              <w:t>shares)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11,912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Choice Technology Solutions, LLC (dba Choice Merchant Solutions, LLC)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+ 7.25%) / (1.00%)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12.83%/0.00%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4/1/2022</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8,500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($1,000</w:t>
            </w:r>
            <w:r>
              <w:rPr>
                <w:rFonts w:ascii="Times New Roman" w:hAnsi="Times New Roman"/>
                <w:color w:val="000000"/>
                <w:sz w:val="20"/>
              </w:rPr>
              <w:t> </w:t>
            </w:r>
            <w:r>
              <w:rPr>
                <w:rFonts w:ascii="Times New Roman" w:hAnsi="Times New Roman"/>
                <w:color w:val="000000"/>
                <w:sz w:val="10"/>
              </w:rPr>
              <w:t>unfunded commitment) (i)(j)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11.83%/0.00%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4/1/2022</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(500,000</w:t>
            </w:r>
            <w:r>
              <w:rPr>
                <w:rFonts w:ascii="Times New Roman" w:hAnsi="Times New Roman"/>
                <w:color w:val="000000"/>
                <w:sz w:val="20"/>
              </w:rPr>
              <w:t> </w:t>
            </w:r>
            <w:r>
              <w:rPr>
                <w:rFonts w:ascii="Times New Roman" w:hAnsi="Times New Roman"/>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8/21/2023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CIH Intermediate,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(k)</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10.00%/1.00%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3/3/2022</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13,927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13,927</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(563</w:t>
            </w:r>
            <w:r>
              <w:rPr>
                <w:rFonts w:ascii="Times New Roman" w:hAnsi="Times New Roman"/>
                <w:color w:val="000000"/>
                <w:sz w:val="20"/>
              </w:rPr>
              <w:t> </w:t>
            </w:r>
            <w:r>
              <w:rPr>
                <w:rFonts w:ascii="Times New Roman" w:hAnsi="Times New Roman"/>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3/3/2022</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1,758</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(563</w:t>
            </w:r>
            <w:r>
              <w:rPr>
                <w:rFonts w:ascii="Times New Roman" w:hAnsi="Times New Roman"/>
                <w:color w:val="000000"/>
                <w:sz w:val="20"/>
              </w:rPr>
              <w:t> </w:t>
            </w:r>
            <w:r>
              <w:rPr>
                <w:rFonts w:ascii="Times New Roman" w:hAnsi="Times New Roman"/>
                <w:color w:val="000000"/>
                <w:sz w:val="10"/>
              </w:rPr>
              <w:t>shares)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3/3/2022</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14,638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16,624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Comply365, LLC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(868,922</w:t>
            </w:r>
            <w:r>
              <w:rPr>
                <w:rFonts w:ascii="Times New Roman" w:hAnsi="Times New Roman"/>
                <w:color w:val="000000"/>
                <w:sz w:val="20"/>
              </w:rPr>
              <w:t> </w:t>
            </w:r>
            <w:r>
              <w:rPr>
                <w:rFonts w:ascii="Times New Roman" w:hAnsi="Times New Roman"/>
                <w:color w:val="000000"/>
                <w:sz w:val="10"/>
              </w:rPr>
              <w:t>units)</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CRS Solutions Holdings, LLC (dba CRS Texas)</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(574,929</w:t>
            </w:r>
            <w:r>
              <w:rPr>
                <w:rFonts w:ascii="Times New Roman" w:hAnsi="Times New Roman"/>
                <w:color w:val="000000"/>
                <w:sz w:val="20"/>
              </w:rPr>
              <w:t> </w:t>
            </w:r>
            <w:r>
              <w:rPr>
                <w:rFonts w:ascii="Times New Roman" w:hAnsi="Times New Roman"/>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6/28/2022</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CTM Group, Inc.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+ 6.75%) / (1.00%)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12.24%/0.00%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11/30/2026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7,907</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11.50%/2.00%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11/30/2027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1,989</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(400,000</w:t>
            </w:r>
            <w:r>
              <w:rPr>
                <w:rFonts w:ascii="Times New Roman" w:hAnsi="Times New Roman"/>
                <w:color w:val="000000"/>
                <w:sz w:val="20"/>
              </w:rPr>
              <w:t> </w:t>
            </w:r>
            <w:r>
              <w:rPr>
                <w:rFonts w:ascii="Times New Roman" w:hAnsi="Times New Roman"/>
                <w:color w:val="000000"/>
                <w:sz w:val="10"/>
              </w:rPr>
              <w:t>units)</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10,199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Dataguise, Inc.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11.00%/2.00%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11/23/2027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21,985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21,948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21,985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(909</w:t>
            </w:r>
            <w:r>
              <w:rPr>
                <w:rFonts w:ascii="Times New Roman" w:hAnsi="Times New Roman"/>
                <w:color w:val="000000"/>
                <w:sz w:val="20"/>
              </w:rPr>
              <w:t> </w:t>
            </w:r>
            <w:r>
              <w:rPr>
                <w:rFonts w:ascii="Times New Roman" w:hAnsi="Times New Roman"/>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12/31/2020</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23,448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Dealerbuilt Acquisition,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(ac)</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(4.00%)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11.08%/1.00%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13,207</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7.50%/7.50%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5,271</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(1,000</w:t>
            </w:r>
            <w:r>
              <w:rPr>
                <w:rFonts w:ascii="Times New Roman" w:hAnsi="Times New Roman"/>
                <w:color w:val="000000"/>
                <w:sz w:val="20"/>
              </w:rPr>
              <w:t> </w:t>
            </w:r>
            <w:r>
              <w:rPr>
                <w:rFonts w:ascii="Times New Roman" w:hAnsi="Times New Roman"/>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19,480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Detechtion Holdings,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(2.25%)</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11.08%/2.00%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6/21/2023</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17,779</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0.00%/14.00%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6/21/2023</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2,230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6/21/2023</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Diversified Search LLC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(k)(r)</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+ 7.25%) / (1.00%)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12.81%/0.00%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2/7/2019</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24,155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(573</w:t>
            </w:r>
            <w:r>
              <w:rPr>
                <w:rFonts w:ascii="Times New Roman" w:hAnsi="Times New Roman"/>
                <w:color w:val="000000"/>
                <w:sz w:val="20"/>
              </w:rPr>
              <w:t> </w:t>
            </w:r>
            <w:r>
              <w:rPr>
                <w:rFonts w:ascii="Times New Roman" w:hAnsi="Times New Roman"/>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2/7/2019</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24,608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Donovan Food Brokerage, LLC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(2.00%)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2/23/2024</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9,951</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($1,000</w:t>
            </w:r>
            <w:r>
              <w:rPr>
                <w:rFonts w:ascii="Times New Roman" w:hAnsi="Times New Roman"/>
                <w:color w:val="000000"/>
                <w:sz w:val="20"/>
              </w:rPr>
              <w:t> </w:t>
            </w:r>
            <w:r>
              <w:rPr>
                <w:rFonts w:ascii="Times New Roman" w:hAnsi="Times New Roman"/>
                <w:color w:val="000000"/>
                <w:sz w:val="10"/>
              </w:rPr>
              <w:t>unfunded commitment) (i)(j)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(2.00%)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2/23/2024</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units)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2/23/2024</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10,451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Education Incites, LLC (dba Acceleration Academies)</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12.75%/0.00%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10/31/2022</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10/29/2027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Elements Brands, LLC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12.25%/0.00%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2,025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Revolving Loan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12.25%/0.00%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Fishbowl Solutions, LLC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(ar)</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13.34%/0.00%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3/25/2022</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Global Plasma Solutions, Inc.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(515</w:t>
            </w:r>
            <w:r>
              <w:rPr>
                <w:rFonts w:ascii="Times New Roman" w:hAnsi="Times New Roman"/>
                <w:color w:val="000000"/>
                <w:sz w:val="20"/>
              </w:rPr>
              <w:t> </w:t>
            </w:r>
            <w:r>
              <w:rPr>
                <w:rFonts w:ascii="Times New Roman" w:hAnsi="Times New Roman"/>
                <w:color w:val="000000"/>
                <w:sz w:val="10"/>
              </w:rPr>
              <w:t>shares)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2/1/2024</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(1,461</w:t>
            </w:r>
            <w:r>
              <w:rPr>
                <w:rFonts w:ascii="Times New Roman" w:hAnsi="Times New Roman"/>
                <w:color w:val="000000"/>
                <w:sz w:val="20"/>
              </w:rPr>
              <w:t> </w:t>
            </w:r>
            <w:r>
              <w:rPr>
                <w:rFonts w:ascii="Times New Roman" w:hAnsi="Times New Roman"/>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9/21/2018</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GMP HVAC, LLC (dba McGee Heating &amp; Air,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12.33%/0.00%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12/8/2023</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2,984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($1,000</w:t>
            </w:r>
            <w:r>
              <w:rPr>
                <w:rFonts w:ascii="Times New Roman" w:hAnsi="Times New Roman"/>
                <w:color w:val="000000"/>
                <w:sz w:val="20"/>
              </w:rPr>
              <w:t> </w:t>
            </w:r>
            <w:r>
              <w:rPr>
                <w:rFonts w:ascii="Times New Roman" w:hAnsi="Times New Roman"/>
                <w:color w:val="000000"/>
                <w:sz w:val="10"/>
              </w:rPr>
              <w:t>unfunded commitment) (i)(j)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12.33%/0.00%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12/8/2023</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(1,000</w:t>
            </w:r>
            <w:r>
              <w:rPr>
                <w:rFonts w:ascii="Times New Roman" w:hAnsi="Times New Roman"/>
                <w:color w:val="000000"/>
                <w:sz w:val="20"/>
              </w:rPr>
              <w:t> </w:t>
            </w:r>
            <w:r>
              <w:rPr>
                <w:rFonts w:ascii="Times New Roman" w:hAnsi="Times New Roman"/>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12/8/2023</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GP&amp;C Operations, LLC (dba Garlock Printing and Converting)</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(515,625</w:t>
            </w:r>
            <w:r>
              <w:rPr>
                <w:rFonts w:ascii="Times New Roman" w:hAnsi="Times New Roman"/>
                <w:color w:val="000000"/>
                <w:sz w:val="20"/>
              </w:rPr>
              <w:t> </w:t>
            </w:r>
            <w:r>
              <w:rPr>
                <w:rFonts w:ascii="Times New Roman" w:hAnsi="Times New Roman"/>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1/22/2021</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Green Cubes Technology, LLC (dba Green Cubes)</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+ 13.00%) / (0.00%)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18.49%/0.00%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12/17/2021</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12/17/2024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Gurobi Optimization, LLC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(3</w:t>
            </w:r>
            <w:r>
              <w:rPr>
                <w:rFonts w:ascii="Times New Roman" w:hAnsi="Times New Roman"/>
                <w:color w:val="000000"/>
                <w:sz w:val="20"/>
              </w:rPr>
              <w:t> </w:t>
            </w:r>
            <w:r>
              <w:rPr>
                <w:rFonts w:ascii="Times New Roman" w:hAnsi="Times New Roman"/>
                <w:color w:val="000000"/>
                <w:sz w:val="10"/>
              </w:rPr>
              <w:t>shares)</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12/19/2017</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Haematologic Technologies, Inc.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(x)</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+ 8.25%) / (2.00%)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13.80%/0.00%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10/11/2019</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5,385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(630</w:t>
            </w:r>
            <w:r>
              <w:rPr>
                <w:rFonts w:ascii="Times New Roman" w:hAnsi="Times New Roman"/>
                <w:color w:val="000000"/>
                <w:sz w:val="20"/>
              </w:rPr>
              <w:t> </w:t>
            </w:r>
            <w:r>
              <w:rPr>
                <w:rFonts w:ascii="Times New Roman" w:hAnsi="Times New Roman"/>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10/11/2019</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(89</w:t>
            </w:r>
            <w:r>
              <w:rPr>
                <w:rFonts w:ascii="Times New Roman" w:hAnsi="Times New Roman"/>
                <w:color w:val="000000"/>
                <w:sz w:val="20"/>
              </w:rPr>
              <w:t> </w:t>
            </w:r>
            <w:r>
              <w:rPr>
                <w:rFonts w:ascii="Times New Roman" w:hAnsi="Times New Roman"/>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6/26/2023</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Hallmark Health Care Solutions, Inc.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(3,645,752</w:t>
            </w:r>
            <w:r>
              <w:rPr>
                <w:rFonts w:ascii="Times New Roman" w:hAnsi="Times New Roman"/>
                <w:color w:val="000000"/>
                <w:sz w:val="20"/>
              </w:rPr>
              <w:t> </w:t>
            </w:r>
            <w:r>
              <w:rPr>
                <w:rFonts w:ascii="Times New Roman" w:hAnsi="Times New Roman"/>
                <w:color w:val="000000"/>
                <w:sz w:val="10"/>
              </w:rPr>
              <w:t>units)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Healthfuse,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(197,980</w:t>
            </w:r>
            <w:r>
              <w:rPr>
                <w:rFonts w:ascii="Times New Roman" w:hAnsi="Times New Roman"/>
                <w:color w:val="000000"/>
                <w:sz w:val="20"/>
              </w:rPr>
              <w:t> </w:t>
            </w:r>
            <w:r>
              <w:rPr>
                <w:rFonts w:ascii="Times New Roman" w:hAnsi="Times New Roman"/>
                <w:color w:val="000000"/>
                <w:sz w:val="10"/>
              </w:rPr>
              <w:t>units)</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11/13/2020</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Hub Acquisition Sub, LLC (dba Hub Pen)</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Promotional products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(k)</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12.50%/1.00%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4/25/2023</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20,190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(5,837</w:t>
            </w:r>
            <w:r>
              <w:rPr>
                <w:rFonts w:ascii="Times New Roman" w:hAnsi="Times New Roman"/>
                <w:color w:val="000000"/>
                <w:sz w:val="20"/>
              </w:rPr>
              <w:t> </w:t>
            </w:r>
            <w:r>
              <w:rPr>
                <w:rFonts w:ascii="Times New Roman" w:hAnsi="Times New Roman"/>
                <w:color w:val="000000"/>
                <w:sz w:val="10"/>
              </w:rPr>
              <w:t>units)</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3/23/2016</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1,553</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(637</w:t>
            </w:r>
            <w:r>
              <w:rPr>
                <w:rFonts w:ascii="Times New Roman" w:hAnsi="Times New Roman"/>
                <w:color w:val="000000"/>
                <w:sz w:val="20"/>
              </w:rPr>
              <w:t> </w:t>
            </w:r>
            <w:r>
              <w:rPr>
                <w:rFonts w:ascii="Times New Roman" w:hAnsi="Times New Roman"/>
                <w:color w:val="000000"/>
                <w:sz w:val="10"/>
              </w:rPr>
              <w:t>units)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8/7/2023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(868</w:t>
            </w:r>
            <w:r>
              <w:rPr>
                <w:rFonts w:ascii="Times New Roman" w:hAnsi="Times New Roman"/>
                <w:color w:val="000000"/>
                <w:sz w:val="20"/>
              </w:rPr>
              <w:t> </w:t>
            </w:r>
            <w:r>
              <w:rPr>
                <w:rFonts w:ascii="Times New Roman" w:hAnsi="Times New Roman"/>
                <w:color w:val="000000"/>
                <w:sz w:val="10"/>
              </w:rPr>
              <w:t>units)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10/16/2020</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IBH Holdings, LLC (fka Inflexxion, Inc.)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(150,000</w:t>
            </w:r>
            <w:r>
              <w:rPr>
                <w:rFonts w:ascii="Times New Roman" w:hAnsi="Times New Roman"/>
                <w:color w:val="000000"/>
                <w:sz w:val="20"/>
              </w:rPr>
              <w:t> </w:t>
            </w:r>
            <w:r>
              <w:rPr>
                <w:rFonts w:ascii="Times New Roman" w:hAnsi="Times New Roman"/>
                <w:color w:val="000000"/>
                <w:sz w:val="10"/>
              </w:rPr>
              <w:t>units)</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6/20/2018</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Informatics Holdings, Inc. (dba Wasp Barcode Technologies)</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(2.50%)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11.83%/0.00%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3/7/2024</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3/7/2029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12,450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($1,000</w:t>
            </w:r>
            <w:r>
              <w:rPr>
                <w:rFonts w:ascii="Times New Roman" w:hAnsi="Times New Roman"/>
                <w:color w:val="000000"/>
                <w:sz w:val="20"/>
              </w:rPr>
              <w:t> </w:t>
            </w:r>
            <w:r>
              <w:rPr>
                <w:rFonts w:ascii="Times New Roman" w:hAnsi="Times New Roman"/>
                <w:color w:val="000000"/>
                <w:sz w:val="10"/>
              </w:rPr>
              <w:t>unfunded commitment) (i)(j)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(2.50%)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11.83%/0.00%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3/7/2024</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3/7/2029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(1,000,000</w:t>
            </w:r>
            <w:r>
              <w:rPr>
                <w:rFonts w:ascii="Times New Roman" w:hAnsi="Times New Roman"/>
                <w:color w:val="000000"/>
                <w:sz w:val="20"/>
              </w:rPr>
              <w:t> </w:t>
            </w:r>
            <w:r>
              <w:rPr>
                <w:rFonts w:ascii="Times New Roman" w:hAnsi="Times New Roman"/>
                <w:color w:val="000000"/>
                <w:sz w:val="10"/>
              </w:rPr>
              <w:t>units)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3/7/2024</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ISI PSG Holdings, LLC (dba Incentive Solutions, Inc.)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(0.50%)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12.96%/0.00%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4/5/2021</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11,359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11,317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11,359</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(j)(an)</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(0.50%)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9.46%/0.00%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6/30/2021</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12,034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(256,964</w:t>
            </w:r>
            <w:r>
              <w:rPr>
                <w:rFonts w:ascii="Times New Roman" w:hAnsi="Times New Roman"/>
                <w:color w:val="000000"/>
                <w:sz w:val="20"/>
              </w:rPr>
              <w:t> </w:t>
            </w:r>
            <w:r>
              <w:rPr>
                <w:rFonts w:ascii="Times New Roman" w:hAnsi="Times New Roman"/>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4/5/2021</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23,855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23,925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Janus Health Technologies, Inc.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3036"/>
        <w:gridCol w:w="1315"/>
        <w:gridCol w:w="892"/>
        <w:gridCol w:w="683"/>
        <w:gridCol w:w="544"/>
        <w:gridCol w:w="544"/>
        <w:gridCol w:w="146"/>
        <w:gridCol w:w="436"/>
        <w:gridCol w:w="146"/>
        <w:gridCol w:w="146"/>
        <w:gridCol w:w="146"/>
        <w:gridCol w:w="436"/>
        <w:gridCol w:w="146"/>
        <w:gridCol w:w="146"/>
        <w:gridCol w:w="146"/>
        <w:gridCol w:w="436"/>
        <w:gridCol w:w="146"/>
        <w:gridCol w:w="146"/>
        <w:gridCol w:w="166"/>
        <w:gridCol w:w="403"/>
      </w:tblGrid>
      <w:tr>
        <w:trPr/>
        <w:tc>
          <w:tcPr>
            <w:tcW w:w="303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12.00%/0.00%</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1/3/2024</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4,978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4,978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First Lien Debt ($2,500</w:t>
            </w:r>
            <w:r>
              <w:rPr>
                <w:rFonts w:ascii="Times New Roman" w:hAnsi="Times New Roman"/>
                <w:color w:val="000000"/>
                <w:sz w:val="20"/>
              </w:rPr>
              <w:t> </w:t>
            </w:r>
            <w:r>
              <w:rPr>
                <w:rFonts w:ascii="Times New Roman" w:hAnsi="Times New Roman"/>
                <w:color w:val="000000"/>
                <w:sz w:val="10"/>
              </w:rPr>
              <w:t>unfunded commitment)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12.00%/0.00%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1/3/2024</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(68,361</w:t>
            </w:r>
            <w:r>
              <w:rPr>
                <w:rFonts w:ascii="Times New Roman" w:hAnsi="Times New Roman"/>
                <w:color w:val="000000"/>
                <w:sz w:val="20"/>
              </w:rPr>
              <w:t> </w:t>
            </w:r>
            <w:r>
              <w:rPr>
                <w:rFonts w:ascii="Times New Roman" w:hAnsi="Times New Roman"/>
                <w:color w:val="000000"/>
                <w:sz w:val="10"/>
              </w:rPr>
              <w:t>units)</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1/3/2024</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The Kyjen Company, LLC (dba Outward Hound)</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(855</w:t>
            </w:r>
            <w:r>
              <w:rPr>
                <w:rFonts w:ascii="Times New Roman" w:hAnsi="Times New Roman"/>
                <w:color w:val="000000"/>
                <w:sz w:val="20"/>
              </w:rPr>
              <w:t> </w:t>
            </w:r>
            <w:r>
              <w:rPr>
                <w:rFonts w:ascii="Times New Roman" w:hAnsi="Times New Roman"/>
                <w:color w:val="000000"/>
                <w:sz w:val="10"/>
              </w:rPr>
              <w:t>shares)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12/8/2017</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CFF0FC" w:val="clear"/>
            <w:vAlign w:val="center"/>
          </w:tcPr>
          <w:p>
            <w:pPr>
              <w:pStyle w:val="TableContents"/>
              <w:bidi w:val="0"/>
              <w:spacing w:before="0" w:after="283"/>
              <w:jc w:val="left"/>
              <w:rPr>
                <w:sz w:val="4"/>
                <w:szCs w:val="4"/>
              </w:rPr>
            </w:pPr>
            <w:r>
              <w:rPr>
                <w:sz w:val="4"/>
                <w:szCs w:val="4"/>
              </w:rPr>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Level Education Group, LLC (dba CE4Less)</w:t>
            </w:r>
          </w:p>
        </w:tc>
        <w:tc>
          <w:tcPr>
            <w:tcW w:w="13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(ak)</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(2.00%)</w:t>
            </w:r>
          </w:p>
        </w:tc>
        <w:tc>
          <w:tcPr>
            <w:tcW w:w="6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11.34%/0.00%</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4/1/2021</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4,553</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4/1/2021</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r>
      <w:tr>
        <w:trPr/>
        <w:tc>
          <w:tcPr>
            <w:tcW w:w="3036" w:type="dxa"/>
            <w:tcBorders/>
            <w:shd w:fill="CFF0FC" w:val="clear"/>
            <w:vAlign w:val="center"/>
          </w:tcPr>
          <w:p>
            <w:pPr>
              <w:pStyle w:val="TableContents"/>
              <w:bidi w:val="0"/>
              <w:spacing w:before="0" w:after="283"/>
              <w:jc w:val="left"/>
              <w:rPr>
                <w:sz w:val="4"/>
                <w:szCs w:val="4"/>
              </w:rPr>
            </w:pPr>
            <w:r>
              <w:rPr>
                <w:sz w:val="4"/>
                <w:szCs w:val="4"/>
              </w:rPr>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LifeSpan Biosciences, Inc.</w:t>
            </w:r>
          </w:p>
        </w:tc>
        <w:tc>
          <w:tcPr>
            <w:tcW w:w="13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11.50%/0.00%</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3/19/2021</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9/19/2026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15,099</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w:t>
            </w:r>
            <w:r>
              <w:rPr>
                <w:rFonts w:ascii="Times New Roman" w:hAnsi="Times New Roman"/>
                <w:color w:val="000000"/>
                <w:sz w:val="20"/>
              </w:rPr>
              <w:t> </w:t>
            </w:r>
            <w:r>
              <w:rPr>
                <w:rFonts w:ascii="Times New Roman" w:hAnsi="Times New Roman"/>
                <w:color w:val="000000"/>
                <w:sz w:val="10"/>
              </w:rPr>
              <w:t>shares)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3/19/2021</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r>
      <w:tr>
        <w:trPr/>
        <w:tc>
          <w:tcPr>
            <w:tcW w:w="3036" w:type="dxa"/>
            <w:tcBorders/>
            <w:shd w:fill="CFF0FC" w:val="clear"/>
            <w:vAlign w:val="center"/>
          </w:tcPr>
          <w:p>
            <w:pPr>
              <w:pStyle w:val="TableContents"/>
              <w:bidi w:val="0"/>
              <w:spacing w:before="0" w:after="283"/>
              <w:jc w:val="left"/>
              <w:rPr>
                <w:sz w:val="4"/>
                <w:szCs w:val="4"/>
              </w:rPr>
            </w:pPr>
            <w:r>
              <w:rPr>
                <w:sz w:val="4"/>
                <w:szCs w:val="4"/>
              </w:rPr>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16,963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Magenta Buyer LLC (dba Trellix)</w:t>
            </w:r>
          </w:p>
        </w:tc>
        <w:tc>
          <w:tcPr>
            <w:tcW w:w="13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+ 8.25%) / (0.75%)</w:t>
            </w:r>
          </w:p>
        </w:tc>
        <w:tc>
          <w:tcPr>
            <w:tcW w:w="6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13.82%/0.00%</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7/19/2022</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7/27/2029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MBS Opco, LLC (dba Marketron)</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+ 8.50%) / (1.50%)</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14.09%/0.00%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9/29/2022</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26,916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4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MDME Holding Corp.</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11.70%/0.00%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8/31/2023</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11,893</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(4,735</w:t>
            </w:r>
            <w:r>
              <w:rPr>
                <w:rFonts w:ascii="Times New Roman" w:hAnsi="Times New Roman"/>
                <w:color w:val="000000"/>
                <w:sz w:val="20"/>
              </w:rPr>
              <w:t> </w:t>
            </w:r>
            <w:r>
              <w:rPr>
                <w:rFonts w:ascii="Times New Roman" w:hAnsi="Times New Roman"/>
                <w:color w:val="000000"/>
                <w:sz w:val="10"/>
              </w:rPr>
              <w:t>units) (j)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9/18/2023</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(12,500</w:t>
            </w:r>
            <w:r>
              <w:rPr>
                <w:rFonts w:ascii="Times New Roman" w:hAnsi="Times New Roman"/>
                <w:color w:val="000000"/>
                <w:sz w:val="20"/>
              </w:rPr>
              <w:t> </w:t>
            </w:r>
            <w:r>
              <w:rPr>
                <w:rFonts w:ascii="Times New Roman" w:hAnsi="Times New Roman"/>
                <w:color w:val="000000"/>
                <w:sz w:val="10"/>
              </w:rPr>
              <w:t>units)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9/18/2023</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r>
      <w:tr>
        <w:trPr/>
        <w:tc>
          <w:tcPr>
            <w:tcW w:w="3036" w:type="dxa"/>
            <w:tcBorders/>
            <w:shd w:fill="CFF0FC" w:val="clear"/>
            <w:vAlign w:val="center"/>
          </w:tcPr>
          <w:p>
            <w:pPr>
              <w:pStyle w:val="TableContents"/>
              <w:bidi w:val="0"/>
              <w:spacing w:before="0" w:after="283"/>
              <w:jc w:val="left"/>
              <w:rPr>
                <w:sz w:val="4"/>
                <w:szCs w:val="4"/>
              </w:rPr>
            </w:pPr>
            <w:r>
              <w:rPr>
                <w:sz w:val="4"/>
                <w:szCs w:val="4"/>
              </w:rPr>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12,765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Micronics Filtration Holdings, Inc. (dba Micronics Engineered Filtration Group, Inc.)</w:t>
            </w:r>
          </w:p>
        </w:tc>
        <w:tc>
          <w:tcPr>
            <w:tcW w:w="13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(k)(as)</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+ 5.25%) / (0.50%)</w:t>
            </w:r>
          </w:p>
        </w:tc>
        <w:tc>
          <w:tcPr>
            <w:tcW w:w="6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10.84%/0.00%</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2/17/2022</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2/17/2027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30,000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(14,400</w:t>
            </w:r>
            <w:r>
              <w:rPr>
                <w:rFonts w:ascii="Times New Roman" w:hAnsi="Times New Roman"/>
                <w:color w:val="000000"/>
                <w:sz w:val="20"/>
              </w:rPr>
              <w:t> </w:t>
            </w:r>
            <w:r>
              <w:rPr>
                <w:rFonts w:ascii="Times New Roman" w:hAnsi="Times New Roman"/>
                <w:color w:val="000000"/>
                <w:sz w:val="10"/>
              </w:rPr>
              <w:t>units)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2/17/2022</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r>
      <w:tr>
        <w:trPr/>
        <w:tc>
          <w:tcPr>
            <w:tcW w:w="3036" w:type="dxa"/>
            <w:tcBorders/>
            <w:shd w:fill="CFF0FC" w:val="clear"/>
            <w:vAlign w:val="center"/>
          </w:tcPr>
          <w:p>
            <w:pPr>
              <w:pStyle w:val="TableContents"/>
              <w:bidi w:val="0"/>
              <w:spacing w:before="0" w:after="283"/>
              <w:jc w:val="left"/>
              <w:rPr>
                <w:sz w:val="4"/>
                <w:szCs w:val="4"/>
              </w:rPr>
            </w:pPr>
            <w:r>
              <w:rPr>
                <w:sz w:val="4"/>
                <w:szCs w:val="4"/>
              </w:rPr>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30,692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35,618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w:t>
            </w:r>
          </w:p>
        </w:tc>
        <w:tc>
          <w:tcPr>
            <w:tcW w:w="4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Netbase Solutions, Inc. (dba Netbase Quid)</w:t>
            </w:r>
          </w:p>
        </w:tc>
        <w:tc>
          <w:tcPr>
            <w:tcW w:w="13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(k)(ap)</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 + 4.00%) / (3.25%)</w:t>
            </w:r>
          </w:p>
        </w:tc>
        <w:tc>
          <w:tcPr>
            <w:tcW w:w="6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12.50%/0.00%</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11/18/2021</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11/18/2025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15,869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15,818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15,869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NWS Technologies, LLC</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(u)</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+ 8.00%) / (2.50%)</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13.33%/0.00%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6/20/2023</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6/16/2028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17,000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w:t>
            </w:r>
            <w:r>
              <w:rPr>
                <w:rFonts w:ascii="Times New Roman" w:hAnsi="Times New Roman"/>
                <w:color w:val="000000"/>
                <w:sz w:val="20"/>
              </w:rPr>
              <w:t> </w:t>
            </w:r>
            <w:r>
              <w:rPr>
                <w:rFonts w:ascii="Times New Roman" w:hAnsi="Times New Roman"/>
                <w:color w:val="000000"/>
                <w:sz w:val="10"/>
              </w:rPr>
              <w:t>unit) (h)(j)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6/20/2023</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(0.375</w:t>
            </w:r>
            <w:r>
              <w:rPr>
                <w:rFonts w:ascii="Times New Roman" w:hAnsi="Times New Roman"/>
                <w:color w:val="000000"/>
                <w:sz w:val="20"/>
              </w:rPr>
              <w:t> </w:t>
            </w:r>
            <w:r>
              <w:rPr>
                <w:rFonts w:ascii="Times New Roman" w:hAnsi="Times New Roman"/>
                <w:color w:val="000000"/>
                <w:sz w:val="10"/>
              </w:rPr>
              <w:t>units) (h)(j)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6/20/2023</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r>
      <w:tr>
        <w:trPr/>
        <w:tc>
          <w:tcPr>
            <w:tcW w:w="3036" w:type="dxa"/>
            <w:tcBorders/>
            <w:shd w:fill="CFF0FC" w:val="clear"/>
            <w:vAlign w:val="center"/>
          </w:tcPr>
          <w:p>
            <w:pPr>
              <w:pStyle w:val="TableContents"/>
              <w:bidi w:val="0"/>
              <w:spacing w:before="0" w:after="283"/>
              <w:jc w:val="left"/>
              <w:rPr>
                <w:sz w:val="4"/>
                <w:szCs w:val="4"/>
              </w:rPr>
            </w:pPr>
            <w:r>
              <w:rPr>
                <w:sz w:val="4"/>
                <w:szCs w:val="4"/>
              </w:rPr>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OnePath Systems, LLC</w:t>
            </w:r>
          </w:p>
        </w:tc>
        <w:tc>
          <w:tcPr>
            <w:tcW w:w="13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(s)</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(1.00%)</w:t>
            </w:r>
          </w:p>
        </w:tc>
        <w:tc>
          <w:tcPr>
            <w:tcW w:w="6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12.83%/0.00%</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9/30/2022</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11,000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(732,542</w:t>
            </w:r>
            <w:r>
              <w:rPr>
                <w:rFonts w:ascii="Times New Roman" w:hAnsi="Times New Roman"/>
                <w:color w:val="000000"/>
                <w:sz w:val="20"/>
              </w:rPr>
              <w:t> </w:t>
            </w:r>
            <w:r>
              <w:rPr>
                <w:rFonts w:ascii="Times New Roman" w:hAnsi="Times New Roman"/>
                <w:color w:val="000000"/>
                <w:sz w:val="10"/>
              </w:rPr>
              <w:t>shares)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9/30/2022</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r>
      <w:tr>
        <w:trPr/>
        <w:tc>
          <w:tcPr>
            <w:tcW w:w="3036" w:type="dxa"/>
            <w:tcBorders/>
            <w:shd w:fill="CFF0FC" w:val="clear"/>
            <w:vAlign w:val="center"/>
          </w:tcPr>
          <w:p>
            <w:pPr>
              <w:pStyle w:val="TableContents"/>
              <w:bidi w:val="0"/>
              <w:spacing w:before="0" w:after="283"/>
              <w:jc w:val="left"/>
              <w:rPr>
                <w:sz w:val="4"/>
                <w:szCs w:val="4"/>
              </w:rPr>
            </w:pPr>
            <w:r>
              <w:rPr>
                <w:sz w:val="4"/>
                <w:szCs w:val="4"/>
              </w:rPr>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11,994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Palmetto Moon, LLC</w:t>
            </w:r>
          </w:p>
        </w:tc>
        <w:tc>
          <w:tcPr>
            <w:tcW w:w="13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(499</w:t>
            </w:r>
            <w:r>
              <w:rPr>
                <w:rFonts w:ascii="Times New Roman" w:hAnsi="Times New Roman"/>
                <w:color w:val="000000"/>
                <w:sz w:val="20"/>
              </w:rPr>
              <w:t> </w:t>
            </w:r>
            <w:r>
              <w:rPr>
                <w:rFonts w:ascii="Times New Roman" w:hAnsi="Times New Roman"/>
                <w:color w:val="000000"/>
                <w:sz w:val="10"/>
              </w:rPr>
              <w:t>units) (j)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11/3/2016</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Pinnergy, Ltd.</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Oil &amp; Gas Services</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9.00%/0.00%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6/30/2022</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CFF0FC" w:val="clear"/>
            <w:vAlign w:val="center"/>
          </w:tcPr>
          <w:p>
            <w:pPr>
              <w:pStyle w:val="TableContents"/>
              <w:bidi w:val="0"/>
              <w:spacing w:before="0" w:after="283"/>
              <w:jc w:val="left"/>
              <w:rPr>
                <w:sz w:val="4"/>
                <w:szCs w:val="4"/>
              </w:rPr>
            </w:pPr>
            <w:r>
              <w:rPr>
                <w:sz w:val="4"/>
                <w:szCs w:val="4"/>
              </w:rPr>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Pool &amp; Electrical Products, LLC</w:t>
            </w:r>
          </w:p>
        </w:tc>
        <w:tc>
          <w:tcPr>
            <w:tcW w:w="13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(15,000</w:t>
            </w:r>
            <w:r>
              <w:rPr>
                <w:rFonts w:ascii="Times New Roman" w:hAnsi="Times New Roman"/>
                <w:color w:val="000000"/>
                <w:sz w:val="20"/>
              </w:rPr>
              <w:t> </w:t>
            </w:r>
            <w:r>
              <w:rPr>
                <w:rFonts w:ascii="Times New Roman" w:hAnsi="Times New Roman"/>
                <w:color w:val="000000"/>
                <w:sz w:val="10"/>
              </w:rPr>
              <w:t>units) (h)(j)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10/28/2020</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PowerGrid Services Acquisition, LLC</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+ 9.50%) / (1.00%)</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14.94%/0.00%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9/21/2021</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3/21/2029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10,831</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(5,461</w:t>
            </w:r>
            <w:r>
              <w:rPr>
                <w:rFonts w:ascii="Times New Roman" w:hAnsi="Times New Roman"/>
                <w:color w:val="000000"/>
                <w:sz w:val="20"/>
              </w:rPr>
              <w:t> </w:t>
            </w:r>
            <w:r>
              <w:rPr>
                <w:rFonts w:ascii="Times New Roman" w:hAnsi="Times New Roman"/>
                <w:color w:val="000000"/>
                <w:sz w:val="10"/>
              </w:rPr>
              <w:t>units) (h)(j)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9/21/2021</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11,342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11,531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Prime AE Group, Inc.</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(j)(ab)</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+ 7.25%) / (2.00%)</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12.69%/0.00%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11/25/2019</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11/25/2024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5,833</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(900,000</w:t>
            </w:r>
            <w:r>
              <w:rPr>
                <w:rFonts w:ascii="Times New Roman" w:hAnsi="Times New Roman"/>
                <w:color w:val="000000"/>
                <w:sz w:val="20"/>
              </w:rPr>
              <w:t> </w:t>
            </w:r>
            <w:r>
              <w:rPr>
                <w:rFonts w:ascii="Times New Roman" w:hAnsi="Times New Roman"/>
                <w:color w:val="000000"/>
                <w:sz w:val="10"/>
              </w:rPr>
              <w:t>shares) (j)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11/25/2019</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Puget Collision, LLC</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(j)(av)</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13.09%/0.00%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1/4/2024</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21,976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21,976</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(293</w:t>
            </w:r>
            <w:r>
              <w:rPr>
                <w:rFonts w:ascii="Times New Roman" w:hAnsi="Times New Roman"/>
                <w:color w:val="000000"/>
                <w:sz w:val="20"/>
              </w:rPr>
              <w:t> </w:t>
            </w:r>
            <w:r>
              <w:rPr>
                <w:rFonts w:ascii="Times New Roman" w:hAnsi="Times New Roman"/>
                <w:color w:val="000000"/>
                <w:sz w:val="10"/>
              </w:rPr>
              <w:t>units) (h)(j)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1/4/2024</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22,726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22,726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4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QED Technologies International, Inc.</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(q)</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(1.50%)</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11.08%/0.50%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3/1/2023</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17,246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17,348</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(140</w:t>
            </w:r>
            <w:r>
              <w:rPr>
                <w:rFonts w:ascii="Times New Roman" w:hAnsi="Times New Roman"/>
                <w:color w:val="000000"/>
                <w:sz w:val="20"/>
              </w:rPr>
              <w:t> </w:t>
            </w:r>
            <w:r>
              <w:rPr>
                <w:rFonts w:ascii="Times New Roman" w:hAnsi="Times New Roman"/>
                <w:color w:val="000000"/>
                <w:sz w:val="10"/>
              </w:rPr>
              <w:t>shares) (j)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18,648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Quantum IR Technologies, LLC</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14.00%/0.00%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3/19/2024</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12/20/2026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11,956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11,956</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(12,183</w:t>
            </w:r>
            <w:r>
              <w:rPr>
                <w:rFonts w:ascii="Times New Roman" w:hAnsi="Times New Roman"/>
                <w:color w:val="000000"/>
                <w:sz w:val="20"/>
              </w:rPr>
              <w:t> </w:t>
            </w:r>
            <w:r>
              <w:rPr>
                <w:rFonts w:ascii="Times New Roman" w:hAnsi="Times New Roman"/>
                <w:color w:val="000000"/>
                <w:sz w:val="10"/>
              </w:rPr>
              <w:t>shares) (j)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3/19/2024</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Quest Software US Holdings Inc.</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(0.50%)</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12.96%/0.00%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3/1/2022</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2/1/2030</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19,471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FFFFFF" w:val="cle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CFF0FC" w:val="clear"/>
            <w:vAlign w:val="center"/>
          </w:tcPr>
          <w:p>
            <w:pPr>
              <w:pStyle w:val="TableContents"/>
              <w:bidi w:val="0"/>
              <w:spacing w:before="0" w:after="283"/>
              <w:ind w:left="160" w:right="0" w:firstLine="160"/>
              <w:jc w:val="left"/>
              <w:rPr/>
            </w:pPr>
            <w:r>
              <w:rPr/>
              <w:t> </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R1 Holdings, LLC (dba RoadOne IntermodaLogistics)</w:t>
            </w:r>
          </w:p>
        </w:tc>
        <w:tc>
          <w:tcPr>
            <w:tcW w:w="13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First Lien Debt ($1,596</w:t>
            </w:r>
            <w:r>
              <w:rPr>
                <w:rFonts w:ascii="Times New Roman" w:hAnsi="Times New Roman"/>
                <w:color w:val="000000"/>
                <w:sz w:val="20"/>
              </w:rPr>
              <w:t> </w:t>
            </w:r>
            <w:r>
              <w:rPr>
                <w:rFonts w:ascii="Times New Roman" w:hAnsi="Times New Roman"/>
                <w:color w:val="000000"/>
                <w:sz w:val="10"/>
              </w:rPr>
              <w:t>unfunded commitment) (j)(w)</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11.47%/0.00%</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6,155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6,327</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Subordinated Debt ($417</w:t>
            </w:r>
            <w:r>
              <w:rPr>
                <w:rFonts w:ascii="Times New Roman" w:hAnsi="Times New Roman"/>
                <w:color w:val="000000"/>
                <w:sz w:val="20"/>
              </w:rPr>
              <w:t> </w:t>
            </w:r>
            <w:r>
              <w:rPr>
                <w:rFonts w:ascii="Times New Roman" w:hAnsi="Times New Roman"/>
                <w:color w:val="000000"/>
                <w:sz w:val="10"/>
              </w:rPr>
              <w:t>unfunded commitment) (j)(w)</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8.75%/5.00%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1,420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(280,000</w:t>
            </w:r>
            <w:r>
              <w:rPr>
                <w:rFonts w:ascii="Times New Roman" w:hAnsi="Times New Roman"/>
                <w:color w:val="000000"/>
                <w:sz w:val="20"/>
              </w:rPr>
              <w:t> </w:t>
            </w:r>
            <w:r>
              <w:rPr>
                <w:rFonts w:ascii="Times New Roman" w:hAnsi="Times New Roman"/>
                <w:color w:val="000000"/>
                <w:sz w:val="10"/>
              </w:rPr>
              <w:t>units) ($70</w:t>
            </w:r>
            <w:r>
              <w:rPr>
                <w:rFonts w:ascii="Times New Roman" w:hAnsi="Times New Roman"/>
                <w:color w:val="000000"/>
                <w:sz w:val="20"/>
              </w:rPr>
              <w:t> </w:t>
            </w:r>
            <w:r>
              <w:rPr>
                <w:rFonts w:ascii="Times New Roman" w:hAnsi="Times New Roman"/>
                <w:color w:val="000000"/>
                <w:sz w:val="10"/>
              </w:rPr>
              <w:t>unfunded commitment) (j)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8,043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R.F. Fager Company LLC</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12.75%/0.00%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3/4/2024</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8/4/2030</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13,922</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(12,500</w:t>
            </w:r>
            <w:r>
              <w:rPr>
                <w:rFonts w:ascii="Times New Roman" w:hAnsi="Times New Roman"/>
                <w:color w:val="000000"/>
                <w:sz w:val="20"/>
              </w:rPr>
              <w:t> </w:t>
            </w:r>
            <w:r>
              <w:rPr>
                <w:rFonts w:ascii="Times New Roman" w:hAnsi="Times New Roman"/>
                <w:color w:val="000000"/>
                <w:sz w:val="10"/>
              </w:rPr>
              <w:t>units) (h)(j)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3/4/2024</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Rhino Assembly Company, LLC (n)</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Common Equity (Class A Units) (10,915) (h)(j)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8/11/2017</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Preferred Equity (Units N/A) (h) (j)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12/10/2020</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(Class F Units) (710</w:t>
            </w:r>
            <w:r>
              <w:rPr>
                <w:rFonts w:ascii="Times New Roman" w:hAnsi="Times New Roman"/>
                <w:color w:val="000000"/>
                <w:sz w:val="20"/>
              </w:rPr>
              <w:t> </w:t>
            </w:r>
            <w:r>
              <w:rPr>
                <w:rFonts w:ascii="Times New Roman" w:hAnsi="Times New Roman"/>
                <w:color w:val="000000"/>
                <w:sz w:val="10"/>
              </w:rPr>
              <w:t>units) (h)(j)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12/10/2020</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r>
      <w:tr>
        <w:trPr/>
        <w:tc>
          <w:tcPr>
            <w:tcW w:w="3036" w:type="dxa"/>
            <w:tcBorders/>
            <w:shd w:fill="CFF0FC" w:val="clear"/>
            <w:vAlign w:val="center"/>
          </w:tcPr>
          <w:p>
            <w:pPr>
              <w:pStyle w:val="TableContents"/>
              <w:bidi w:val="0"/>
              <w:spacing w:before="0" w:after="283"/>
              <w:jc w:val="left"/>
              <w:rPr>
                <w:sz w:val="4"/>
                <w:szCs w:val="4"/>
              </w:rPr>
            </w:pPr>
            <w:r>
              <w:rPr>
                <w:sz w:val="4"/>
                <w:szCs w:val="4"/>
              </w:rPr>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Road Safety Services, Inc. (n)</w:t>
            </w:r>
          </w:p>
        </w:tc>
        <w:tc>
          <w:tcPr>
            <w:tcW w:w="13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Common Equity (779) (j)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9/18/2018</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(97</w:t>
            </w:r>
            <w:r>
              <w:rPr>
                <w:rFonts w:ascii="Times New Roman" w:hAnsi="Times New Roman"/>
                <w:color w:val="000000"/>
                <w:sz w:val="20"/>
              </w:rPr>
              <w:t> </w:t>
            </w:r>
            <w:r>
              <w:rPr>
                <w:rFonts w:ascii="Times New Roman" w:hAnsi="Times New Roman"/>
                <w:color w:val="000000"/>
                <w:sz w:val="10"/>
              </w:rPr>
              <w:t>units)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2/3/2023</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r>
      <w:tr>
        <w:trPr/>
        <w:tc>
          <w:tcPr>
            <w:tcW w:w="3036" w:type="dxa"/>
            <w:tcBorders/>
            <w:shd w:fill="CFF0FC" w:val="clear"/>
            <w:vAlign w:val="center"/>
          </w:tcPr>
          <w:p>
            <w:pPr>
              <w:pStyle w:val="TableContents"/>
              <w:bidi w:val="0"/>
              <w:spacing w:before="0" w:after="283"/>
              <w:jc w:val="left"/>
              <w:rPr>
                <w:sz w:val="4"/>
                <w:szCs w:val="4"/>
              </w:rPr>
            </w:pPr>
            <w:r>
              <w:rPr>
                <w:sz w:val="4"/>
                <w:szCs w:val="4"/>
              </w:rPr>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ServicePower, Inc.</w:t>
            </w:r>
          </w:p>
        </w:tc>
        <w:tc>
          <w:tcPr>
            <w:tcW w:w="13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(k)(au)</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+ 8.00%) / (3.25%)</w:t>
            </w:r>
          </w:p>
        </w:tc>
        <w:tc>
          <w:tcPr>
            <w:tcW w:w="6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13.33%/0.00%</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3/15/2024</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3/15/2028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20,692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20,692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CFF0FC" w:val="cle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FFFFFF" w:val="clear"/>
            <w:vAlign w:val="center"/>
          </w:tcPr>
          <w:p>
            <w:pPr>
              <w:pStyle w:val="TableContents"/>
              <w:bidi w:val="0"/>
              <w:spacing w:before="0" w:after="283"/>
              <w:ind w:left="160" w:right="0" w:firstLine="160"/>
              <w:jc w:val="left"/>
              <w:rPr/>
            </w:pPr>
            <w:r>
              <w:rPr/>
              <w:t> </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SES Investors, LLC (dba SES Foam) (n)</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(6,000</w:t>
            </w:r>
            <w:r>
              <w:rPr>
                <w:rFonts w:ascii="Times New Roman" w:hAnsi="Times New Roman"/>
                <w:color w:val="000000"/>
                <w:sz w:val="20"/>
              </w:rPr>
              <w:t> </w:t>
            </w:r>
            <w:r>
              <w:rPr>
                <w:rFonts w:ascii="Times New Roman" w:hAnsi="Times New Roman"/>
                <w:color w:val="000000"/>
                <w:sz w:val="10"/>
              </w:rPr>
              <w:t>units) (h)(j)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9/8/2016</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FFFFFF" w:val="cle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CFF0FC" w:val="clear"/>
            <w:vAlign w:val="center"/>
          </w:tcPr>
          <w:p>
            <w:pPr>
              <w:pStyle w:val="TableContents"/>
              <w:bidi w:val="0"/>
              <w:spacing w:before="0" w:after="283"/>
              <w:ind w:left="160" w:right="0" w:firstLine="160"/>
              <w:jc w:val="left"/>
              <w:rPr/>
            </w:pPr>
            <w:r>
              <w:rPr/>
              <w:t> </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Sonicwall US Holdings, Inc.</w:t>
            </w:r>
          </w:p>
        </w:tc>
        <w:tc>
          <w:tcPr>
            <w:tcW w:w="13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(0.00%)</w:t>
            </w:r>
          </w:p>
        </w:tc>
        <w:tc>
          <w:tcPr>
            <w:tcW w:w="6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12.96%/0.00%</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9/6/2022</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5/18/2026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Suited Connector LLC</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center"/>
              <w:rPr/>
            </w:pPr>
            <w:r>
              <w:rPr/>
              <w:t> </w:t>
            </w:r>
          </w:p>
        </w:tc>
        <w:tc>
          <w:tcPr>
            <w:tcW w:w="403" w:type="dxa"/>
            <w:tcBorders/>
            <w:shd w:fill="CFF0FC" w:val="clear"/>
            <w:vAlign w:val="center"/>
          </w:tcPr>
          <w:p>
            <w:pPr>
              <w:pStyle w:val="TableContents"/>
              <w:bidi w:val="0"/>
              <w:spacing w:before="0" w:after="283"/>
              <w:ind w:left="0" w:right="0" w:firstLine="160"/>
              <w:jc w:val="center"/>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(j)(y)</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0.00%/12.00%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10/29/2021</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4,866</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(56,382</w:t>
            </w:r>
            <w:r>
              <w:rPr>
                <w:rFonts w:ascii="Times New Roman" w:hAnsi="Times New Roman"/>
                <w:color w:val="000000"/>
                <w:sz w:val="20"/>
              </w:rPr>
              <w:t> </w:t>
            </w:r>
            <w:r>
              <w:rPr>
                <w:rFonts w:ascii="Times New Roman" w:hAnsi="Times New Roman"/>
                <w:color w:val="000000"/>
                <w:sz w:val="10"/>
              </w:rPr>
              <w:t>units) (h)(j)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12/1/2021</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Tedia Company, LLC</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13.34%/0.00%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15,600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($2,400</w:t>
            </w:r>
            <w:r>
              <w:rPr>
                <w:rFonts w:ascii="Times New Roman" w:hAnsi="Times New Roman"/>
                <w:color w:val="000000"/>
                <w:sz w:val="20"/>
              </w:rPr>
              <w:t> </w:t>
            </w:r>
            <w:r>
              <w:rPr>
                <w:rFonts w:ascii="Times New Roman" w:hAnsi="Times New Roman"/>
                <w:color w:val="000000"/>
                <w:sz w:val="10"/>
              </w:rPr>
              <w:t>unfunded commitment) (j)(i)</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6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13.34%/0.00%</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w:t>
            </w:r>
          </w:p>
        </w:tc>
        <w:tc>
          <w:tcPr>
            <w:tcW w:w="14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7.25%/7.25%</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9/4/2027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2,770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(1,000</w:t>
            </w:r>
            <w:r>
              <w:rPr>
                <w:rFonts w:ascii="Times New Roman" w:hAnsi="Times New Roman"/>
                <w:color w:val="000000"/>
                <w:sz w:val="20"/>
              </w:rPr>
              <w:t> </w:t>
            </w:r>
            <w:r>
              <w:rPr>
                <w:rFonts w:ascii="Times New Roman" w:hAnsi="Times New Roman"/>
                <w:color w:val="000000"/>
                <w:sz w:val="10"/>
              </w:rPr>
              <w:t>units) (h)(j)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Tiger Calcium Services Inc. (aq)</w:t>
            </w:r>
          </w:p>
        </w:tc>
        <w:tc>
          <w:tcPr>
            <w:tcW w:w="13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ind w:left="0" w:right="0" w:firstLine="160"/>
              <w:jc w:val="left"/>
              <w:rPr/>
            </w:pPr>
            <w:r>
              <w:rPr/>
              <w:t> </w:t>
            </w:r>
          </w:p>
        </w:tc>
      </w:tr>
      <w:tr>
        <w:trPr/>
        <w:tc>
          <w:tcPr>
            <w:tcW w:w="303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 (ao)</w:t>
            </w:r>
          </w:p>
        </w:tc>
        <w:tc>
          <w:tcPr>
            <w:tcW w:w="131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12.50%/0.00%</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12/21/2022</w:t>
            </w:r>
          </w:p>
        </w:tc>
        <w:tc>
          <w:tcPr>
            <w:tcW w:w="54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5/31/2025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36" w:type="dxa"/>
            <w:tcBorders/>
            <w:shd w:fill="CFF0FC" w:val="clear"/>
            <w:vAlign w:val="center"/>
          </w:tcPr>
          <w:p>
            <w:pPr>
              <w:pStyle w:val="TableContents"/>
              <w:bidi w:val="0"/>
              <w:spacing w:before="0" w:after="283"/>
              <w:jc w:val="left"/>
              <w:rPr>
                <w:sz w:val="4"/>
                <w:szCs w:val="4"/>
              </w:rPr>
            </w:pPr>
            <w:r>
              <w:rPr>
                <w:sz w:val="4"/>
                <w:szCs w:val="4"/>
              </w:rPr>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r>
      <w:tr>
        <w:trPr/>
        <w:tc>
          <w:tcPr>
            <w:tcW w:w="303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UBEO, LLC</w:t>
            </w:r>
          </w:p>
        </w:tc>
        <w:tc>
          <w:tcPr>
            <w:tcW w:w="13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89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ind w:left="0" w:right="0" w:firstLine="160"/>
              <w:jc w:val="left"/>
              <w:rPr/>
            </w:pPr>
            <w:r>
              <w:rPr/>
              <w:t> </w:t>
            </w:r>
          </w:p>
        </w:tc>
      </w:tr>
      <w:tr>
        <w:trPr/>
        <w:tc>
          <w:tcPr>
            <w:tcW w:w="303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(705,000</w:t>
            </w:r>
            <w:r>
              <w:rPr>
                <w:rFonts w:ascii="Times New Roman" w:hAnsi="Times New Roman"/>
                <w:color w:val="000000"/>
                <w:sz w:val="20"/>
              </w:rPr>
              <w:t> </w:t>
            </w:r>
            <w:r>
              <w:rPr>
                <w:rFonts w:ascii="Times New Roman" w:hAnsi="Times New Roman"/>
                <w:color w:val="000000"/>
                <w:sz w:val="10"/>
              </w:rPr>
              <w:t>units) (h)(j)</w:t>
            </w:r>
          </w:p>
        </w:tc>
        <w:tc>
          <w:tcPr>
            <w:tcW w:w="1315"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4/3/2018</w:t>
            </w:r>
          </w:p>
        </w:tc>
        <w:tc>
          <w:tcPr>
            <w:tcW w:w="54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767"/>
        <w:gridCol w:w="1186"/>
        <w:gridCol w:w="872"/>
        <w:gridCol w:w="640"/>
        <w:gridCol w:w="504"/>
        <w:gridCol w:w="504"/>
        <w:gridCol w:w="146"/>
        <w:gridCol w:w="436"/>
        <w:gridCol w:w="146"/>
        <w:gridCol w:w="146"/>
        <w:gridCol w:w="166"/>
        <w:gridCol w:w="586"/>
        <w:gridCol w:w="146"/>
        <w:gridCol w:w="146"/>
        <w:gridCol w:w="166"/>
        <w:gridCol w:w="586"/>
        <w:gridCol w:w="146"/>
        <w:gridCol w:w="146"/>
        <w:gridCol w:w="286"/>
        <w:gridCol w:w="484"/>
      </w:tblGrid>
      <w:tr>
        <w:trPr/>
        <w:tc>
          <w:tcPr>
            <w:tcW w:w="276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767"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r>
      <w:tr>
        <w:trPr/>
        <w:tc>
          <w:tcPr>
            <w:tcW w:w="2767"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United Biologics, LLC</w:t>
            </w:r>
          </w:p>
        </w:tc>
        <w:tc>
          <w:tcPr>
            <w:tcW w:w="11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ind w:left="0" w:right="0" w:firstLine="160"/>
              <w:jc w:val="left"/>
              <w:rPr/>
            </w:pPr>
            <w:r>
              <w:rPr/>
              <w:t> </w:t>
            </w:r>
          </w:p>
        </w:tc>
      </w:tr>
      <w:tr>
        <w:trPr/>
        <w:tc>
          <w:tcPr>
            <w:tcW w:w="2767"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(98,377</w:t>
            </w:r>
            <w:r>
              <w:rPr>
                <w:rFonts w:ascii="Times New Roman" w:hAnsi="Times New Roman"/>
                <w:color w:val="000000"/>
                <w:sz w:val="20"/>
              </w:rPr>
              <w:t> </w:t>
            </w:r>
            <w:r>
              <w:rPr>
                <w:rFonts w:ascii="Times New Roman" w:hAnsi="Times New Roman"/>
                <w:color w:val="000000"/>
                <w:sz w:val="10"/>
              </w:rPr>
              <w:t>units) (h)(j)</w:t>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4/1/2012</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firstLine="160"/>
              <w:jc w:val="left"/>
              <w:rPr/>
            </w:pPr>
            <w:r>
              <w:rPr/>
              <w:t> </w:t>
            </w:r>
          </w:p>
        </w:tc>
      </w:tr>
      <w:tr>
        <w:trPr/>
        <w:tc>
          <w:tcPr>
            <w:tcW w:w="2767"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Warrant (57,469</w:t>
            </w:r>
            <w:r>
              <w:rPr>
                <w:rFonts w:ascii="Times New Roman" w:hAnsi="Times New Roman"/>
                <w:color w:val="000000"/>
                <w:sz w:val="20"/>
              </w:rPr>
              <w:t> </w:t>
            </w:r>
            <w:r>
              <w:rPr>
                <w:rFonts w:ascii="Times New Roman" w:hAnsi="Times New Roman"/>
                <w:color w:val="000000"/>
                <w:sz w:val="10"/>
              </w:rPr>
              <w:t>units) (j)(m)</w:t>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3/5/2012</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8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US Fertility Enterprises, LLC</w:t>
            </w:r>
          </w:p>
        </w:tc>
        <w:tc>
          <w:tcPr>
            <w:tcW w:w="11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ind w:left="0" w:right="0" w:firstLine="160"/>
              <w:jc w:val="left"/>
              <w:rPr/>
            </w:pPr>
            <w:r>
              <w:rPr/>
              <w:t> </w:t>
            </w:r>
          </w:p>
        </w:tc>
      </w:tr>
      <w:tr>
        <w:trPr/>
        <w:tc>
          <w:tcPr>
            <w:tcW w:w="2767"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0.00%/13.75%</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5/19/2023</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8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CFF0FC" w:val="clear"/>
            <w:vAlign w:val="center"/>
          </w:tcPr>
          <w:p>
            <w:pPr>
              <w:pStyle w:val="TableContents"/>
              <w:bidi w:val="0"/>
              <w:spacing w:before="0" w:after="283"/>
              <w:jc w:val="left"/>
              <w:rPr>
                <w:sz w:val="4"/>
                <w:szCs w:val="4"/>
              </w:rPr>
            </w:pPr>
            <w:r>
              <w:rPr>
                <w:sz w:val="4"/>
                <w:szCs w:val="4"/>
              </w:rPr>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USG AS Holdings, LLC</w:t>
            </w:r>
          </w:p>
        </w:tc>
        <w:tc>
          <w:tcPr>
            <w:tcW w:w="11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center"/>
              <w:rPr/>
            </w:pPr>
            <w:r>
              <w:rPr/>
              <w:t> </w:t>
            </w:r>
          </w:p>
        </w:tc>
        <w:tc>
          <w:tcPr>
            <w:tcW w:w="484" w:type="dxa"/>
            <w:tcBorders/>
            <w:shd w:fill="FFFFFF" w:val="clear"/>
            <w:vAlign w:val="center"/>
          </w:tcPr>
          <w:p>
            <w:pPr>
              <w:pStyle w:val="TableContents"/>
              <w:bidi w:val="0"/>
              <w:spacing w:before="0" w:after="283"/>
              <w:ind w:left="0" w:right="0" w:firstLine="160"/>
              <w:jc w:val="center"/>
              <w:rPr/>
            </w:pPr>
            <w:r>
              <w:rPr/>
              <w:t> </w:t>
            </w:r>
          </w:p>
        </w:tc>
      </w:tr>
      <w:tr>
        <w:trPr/>
        <w:tc>
          <w:tcPr>
            <w:tcW w:w="2767"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+ 8.50%) / (2.50%)</w:t>
            </w:r>
          </w:p>
        </w:tc>
        <w:tc>
          <w:tcPr>
            <w:tcW w:w="640"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13.98%/0.00%</w:t>
            </w:r>
          </w:p>
        </w:tc>
        <w:tc>
          <w:tcPr>
            <w:tcW w:w="5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2/23/2023</w:t>
            </w:r>
          </w:p>
        </w:tc>
        <w:tc>
          <w:tcPr>
            <w:tcW w:w="5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10,000</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ind w:left="0" w:right="0" w:firstLine="160"/>
              <w:jc w:val="left"/>
              <w:rPr/>
            </w:pPr>
            <w:r>
              <w:rPr/>
              <w:t> </w:t>
            </w:r>
          </w:p>
        </w:tc>
      </w:tr>
      <w:tr>
        <w:trPr/>
        <w:tc>
          <w:tcPr>
            <w:tcW w:w="2767"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Common Equity (Units N/A) (j)</w:t>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2/21/2023</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r>
      <w:tr>
        <w:trPr/>
        <w:tc>
          <w:tcPr>
            <w:tcW w:w="2767" w:type="dxa"/>
            <w:tcBorders/>
            <w:shd w:fill="CFF0FC" w:val="clear"/>
            <w:vAlign w:val="center"/>
          </w:tcPr>
          <w:p>
            <w:pPr>
              <w:pStyle w:val="TableContents"/>
              <w:bidi w:val="0"/>
              <w:spacing w:before="0" w:after="283"/>
              <w:jc w:val="left"/>
              <w:rPr>
                <w:sz w:val="4"/>
                <w:szCs w:val="4"/>
              </w:rPr>
            </w:pPr>
            <w:r>
              <w:rPr>
                <w:sz w:val="4"/>
                <w:szCs w:val="4"/>
              </w:rPr>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10,377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8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Virginia Tile Company, LLC</w:t>
            </w:r>
          </w:p>
        </w:tc>
        <w:tc>
          <w:tcPr>
            <w:tcW w:w="11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firstLine="160"/>
              <w:jc w:val="left"/>
              <w:rPr/>
            </w:pPr>
            <w:r>
              <w:rPr/>
              <w:t> </w:t>
            </w:r>
          </w:p>
        </w:tc>
      </w:tr>
      <w:tr>
        <w:trPr/>
        <w:tc>
          <w:tcPr>
            <w:tcW w:w="2767"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(17</w:t>
            </w:r>
            <w:r>
              <w:rPr>
                <w:rFonts w:ascii="Times New Roman" w:hAnsi="Times New Roman"/>
                <w:color w:val="000000"/>
                <w:sz w:val="20"/>
              </w:rPr>
              <w:t> </w:t>
            </w:r>
            <w:r>
              <w:rPr>
                <w:rFonts w:ascii="Times New Roman" w:hAnsi="Times New Roman"/>
                <w:color w:val="000000"/>
                <w:sz w:val="10"/>
              </w:rPr>
              <w:t>units) (j)</w:t>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12/19/2014</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8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r>
      <w:tr>
        <w:trPr/>
        <w:tc>
          <w:tcPr>
            <w:tcW w:w="2767"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Virtex Enterprises, LP</w:t>
            </w:r>
          </w:p>
        </w:tc>
        <w:tc>
          <w:tcPr>
            <w:tcW w:w="11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5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ind w:left="0" w:right="0" w:firstLine="160"/>
              <w:jc w:val="left"/>
              <w:rPr/>
            </w:pPr>
            <w:r>
              <w:rPr/>
              <w:t> </w:t>
            </w:r>
          </w:p>
        </w:tc>
      </w:tr>
      <w:tr>
        <w:trPr/>
        <w:tc>
          <w:tcPr>
            <w:tcW w:w="2767"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(y)</w:t>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+ 0.00%) / (2.50%)</w:t>
            </w:r>
          </w:p>
        </w:tc>
        <w:tc>
          <w:tcPr>
            <w:tcW w:w="640"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5.43%/9.75%</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4/13/2022</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5,217</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firstLine="160"/>
              <w:jc w:val="left"/>
              <w:rPr/>
            </w:pPr>
            <w:r>
              <w:rPr/>
              <w:t> </w:t>
            </w:r>
          </w:p>
        </w:tc>
      </w:tr>
      <w:tr>
        <w:trPr/>
        <w:tc>
          <w:tcPr>
            <w:tcW w:w="2767"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w:t>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+ 4.00%) / (2.50%)</w:t>
            </w:r>
          </w:p>
        </w:tc>
        <w:tc>
          <w:tcPr>
            <w:tcW w:w="640"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9.43%/0.00%</w:t>
            </w:r>
          </w:p>
        </w:tc>
        <w:tc>
          <w:tcPr>
            <w:tcW w:w="5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9/20/2023</w:t>
            </w:r>
          </w:p>
        </w:tc>
        <w:tc>
          <w:tcPr>
            <w:tcW w:w="5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8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W50 Holdings, LLC</w:t>
            </w:r>
          </w:p>
        </w:tc>
        <w:tc>
          <w:tcPr>
            <w:tcW w:w="11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5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5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center"/>
              <w:rPr/>
            </w:pPr>
            <w:r>
              <w:rPr/>
              <w:t> </w:t>
            </w:r>
          </w:p>
        </w:tc>
        <w:tc>
          <w:tcPr>
            <w:tcW w:w="484" w:type="dxa"/>
            <w:tcBorders/>
            <w:shd w:fill="CFF0FC" w:val="clear"/>
            <w:vAlign w:val="center"/>
          </w:tcPr>
          <w:p>
            <w:pPr>
              <w:pStyle w:val="TableContents"/>
              <w:bidi w:val="0"/>
              <w:spacing w:before="0" w:after="283"/>
              <w:ind w:left="0" w:right="0" w:firstLine="160"/>
              <w:jc w:val="center"/>
              <w:rPr/>
            </w:pPr>
            <w:r>
              <w:rPr/>
              <w:t> </w:t>
            </w:r>
          </w:p>
        </w:tc>
      </w:tr>
      <w:tr>
        <w:trPr/>
        <w:tc>
          <w:tcPr>
            <w:tcW w:w="2767"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8.00%/4.50%</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3/22/2024</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3/24/2031</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12,360</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firstLine="160"/>
              <w:jc w:val="left"/>
              <w:rPr/>
            </w:pPr>
            <w:r>
              <w:rPr/>
              <w:t> </w:t>
            </w:r>
          </w:p>
        </w:tc>
      </w:tr>
      <w:tr>
        <w:trPr/>
        <w:tc>
          <w:tcPr>
            <w:tcW w:w="2767"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(Units N/A) ($100</w:t>
            </w:r>
            <w:r>
              <w:rPr>
                <w:rFonts w:ascii="Times New Roman" w:hAnsi="Times New Roman"/>
                <w:color w:val="000000"/>
                <w:sz w:val="20"/>
              </w:rPr>
              <w:t> </w:t>
            </w:r>
            <w:r>
              <w:rPr>
                <w:rFonts w:ascii="Times New Roman" w:hAnsi="Times New Roman"/>
                <w:color w:val="000000"/>
                <w:sz w:val="10"/>
              </w:rPr>
              <w:t>unfunded commitment) (j)</w:t>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3/21/2024</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8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White Label Communication, LLC</w:t>
            </w:r>
          </w:p>
        </w:tc>
        <w:tc>
          <w:tcPr>
            <w:tcW w:w="11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5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ind w:left="0" w:right="0" w:firstLine="160"/>
              <w:jc w:val="left"/>
              <w:rPr/>
            </w:pPr>
            <w:r>
              <w:rPr/>
              <w:t> </w:t>
            </w:r>
          </w:p>
        </w:tc>
      </w:tr>
      <w:tr>
        <w:trPr/>
        <w:tc>
          <w:tcPr>
            <w:tcW w:w="2767"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40"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11.58%/0.00%</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10/11/2023</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17,456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17,366</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firstLine="160"/>
              <w:jc w:val="left"/>
              <w:rPr/>
            </w:pPr>
            <w:r>
              <w:rPr/>
              <w:t> </w:t>
            </w:r>
          </w:p>
        </w:tc>
      </w:tr>
      <w:tr>
        <w:trPr/>
        <w:tc>
          <w:tcPr>
            <w:tcW w:w="2767"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(536</w:t>
            </w:r>
            <w:r>
              <w:rPr>
                <w:rFonts w:ascii="Times New Roman" w:hAnsi="Times New Roman"/>
                <w:color w:val="000000"/>
                <w:sz w:val="20"/>
              </w:rPr>
              <w:t> </w:t>
            </w:r>
            <w:r>
              <w:rPr>
                <w:rFonts w:ascii="Times New Roman" w:hAnsi="Times New Roman"/>
                <w:color w:val="000000"/>
                <w:sz w:val="10"/>
              </w:rPr>
              <w:t>units) (h)(j)</w:t>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10/11/2023</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ind w:left="0" w:right="0" w:firstLine="160"/>
              <w:jc w:val="left"/>
              <w:rPr/>
            </w:pPr>
            <w:r>
              <w:rPr/>
              <w:t> </w:t>
            </w:r>
          </w:p>
        </w:tc>
      </w:tr>
      <w:tr>
        <w:trPr/>
        <w:tc>
          <w:tcPr>
            <w:tcW w:w="2767"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(5,000</w:t>
            </w:r>
            <w:r>
              <w:rPr>
                <w:rFonts w:ascii="Times New Roman" w:hAnsi="Times New Roman"/>
                <w:color w:val="000000"/>
                <w:sz w:val="20"/>
              </w:rPr>
              <w:t> </w:t>
            </w:r>
            <w:r>
              <w:rPr>
                <w:rFonts w:ascii="Times New Roman" w:hAnsi="Times New Roman"/>
                <w:color w:val="000000"/>
                <w:sz w:val="10"/>
              </w:rPr>
              <w:t>units) (h)(j)</w:t>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10/11/2023</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r>
      <w:tr>
        <w:trPr/>
        <w:tc>
          <w:tcPr>
            <w:tcW w:w="2767" w:type="dxa"/>
            <w:tcBorders/>
            <w:shd w:fill="CFF0FC" w:val="clear"/>
            <w:vAlign w:val="center"/>
          </w:tcPr>
          <w:p>
            <w:pPr>
              <w:pStyle w:val="TableContents"/>
              <w:bidi w:val="0"/>
              <w:spacing w:before="0" w:after="283"/>
              <w:jc w:val="left"/>
              <w:rPr>
                <w:sz w:val="4"/>
                <w:szCs w:val="4"/>
              </w:rPr>
            </w:pPr>
            <w:r>
              <w:rPr>
                <w:sz w:val="4"/>
                <w:szCs w:val="4"/>
              </w:rPr>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17,866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17,866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8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Winona Foods, Inc.</w:t>
            </w:r>
          </w:p>
        </w:tc>
        <w:tc>
          <w:tcPr>
            <w:tcW w:w="11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firstLine="160"/>
              <w:jc w:val="left"/>
              <w:rPr/>
            </w:pPr>
            <w:r>
              <w:rPr/>
              <w:t> </w:t>
            </w:r>
          </w:p>
        </w:tc>
      </w:tr>
      <w:tr>
        <w:trPr/>
        <w:tc>
          <w:tcPr>
            <w:tcW w:w="2767"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+ 6.00%) / (6.00%)</w:t>
            </w:r>
          </w:p>
        </w:tc>
        <w:tc>
          <w:tcPr>
            <w:tcW w:w="640"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12.00%/5.00%</w:t>
            </w:r>
          </w:p>
        </w:tc>
        <w:tc>
          <w:tcPr>
            <w:tcW w:w="5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12/13/2023</w:t>
            </w:r>
          </w:p>
        </w:tc>
        <w:tc>
          <w:tcPr>
            <w:tcW w:w="5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6/13/2027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8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r>
      <w:tr>
        <w:trPr/>
        <w:tc>
          <w:tcPr>
            <w:tcW w:w="2767"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Wonderware Holdings, LLC (dba CORE Business Technologies)</w:t>
            </w:r>
          </w:p>
        </w:tc>
        <w:tc>
          <w:tcPr>
            <w:tcW w:w="11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5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ind w:left="0" w:right="0" w:firstLine="160"/>
              <w:jc w:val="left"/>
              <w:rPr/>
            </w:pPr>
            <w:r>
              <w:rPr/>
              <w:t> </w:t>
            </w:r>
          </w:p>
        </w:tc>
      </w:tr>
      <w:tr>
        <w:trPr/>
        <w:tc>
          <w:tcPr>
            <w:tcW w:w="2767"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(k)(z)</w:t>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(1.00%)</w:t>
            </w:r>
          </w:p>
        </w:tc>
        <w:tc>
          <w:tcPr>
            <w:tcW w:w="640"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12.60%/0.00%</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2/10/2021</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8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CFF0FC" w:val="clear"/>
            <w:vAlign w:val="center"/>
          </w:tcPr>
          <w:p>
            <w:pPr>
              <w:pStyle w:val="TableContents"/>
              <w:bidi w:val="0"/>
              <w:spacing w:before="0" w:after="283"/>
              <w:jc w:val="left"/>
              <w:rPr>
                <w:sz w:val="4"/>
                <w:szCs w:val="4"/>
              </w:rPr>
            </w:pPr>
            <w:r>
              <w:rPr>
                <w:sz w:val="4"/>
                <w:szCs w:val="4"/>
              </w:rPr>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Worldwide Express Operations, LLC</w:t>
            </w:r>
          </w:p>
        </w:tc>
        <w:tc>
          <w:tcPr>
            <w:tcW w:w="11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firstLine="160"/>
              <w:jc w:val="left"/>
              <w:rPr/>
            </w:pPr>
            <w:r>
              <w:rPr/>
              <w:t> </w:t>
            </w:r>
          </w:p>
        </w:tc>
      </w:tr>
      <w:tr>
        <w:trPr/>
        <w:tc>
          <w:tcPr>
            <w:tcW w:w="2767"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(0.75%)</w:t>
            </w:r>
          </w:p>
        </w:tc>
        <w:tc>
          <w:tcPr>
            <w:tcW w:w="640"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12.57%/0.00%</w:t>
            </w:r>
          </w:p>
        </w:tc>
        <w:tc>
          <w:tcPr>
            <w:tcW w:w="5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8/2/2021</w:t>
            </w:r>
          </w:p>
        </w:tc>
        <w:tc>
          <w:tcPr>
            <w:tcW w:w="5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7/26/2029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26,603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27,153</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ind w:left="0" w:right="0" w:firstLine="160"/>
              <w:jc w:val="left"/>
              <w:rPr/>
            </w:pPr>
            <w:r>
              <w:rPr/>
              <w:t> </w:t>
            </w:r>
          </w:p>
        </w:tc>
      </w:tr>
      <w:tr>
        <w:trPr/>
        <w:tc>
          <w:tcPr>
            <w:tcW w:w="2767"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(795,000</w:t>
            </w:r>
            <w:r>
              <w:rPr>
                <w:rFonts w:ascii="Times New Roman" w:hAnsi="Times New Roman"/>
                <w:color w:val="000000"/>
                <w:sz w:val="20"/>
              </w:rPr>
              <w:t> </w:t>
            </w:r>
            <w:r>
              <w:rPr>
                <w:rFonts w:ascii="Times New Roman" w:hAnsi="Times New Roman"/>
                <w:color w:val="000000"/>
                <w:sz w:val="10"/>
              </w:rPr>
              <w:t>units) (j)</w:t>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7/21/2021</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776</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firstLine="160"/>
              <w:jc w:val="left"/>
              <w:rPr/>
            </w:pPr>
            <w:r>
              <w:rPr/>
              <w:t> </w:t>
            </w:r>
          </w:p>
        </w:tc>
      </w:tr>
      <w:tr>
        <w:trPr/>
        <w:tc>
          <w:tcPr>
            <w:tcW w:w="2767"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(752,380</w:t>
            </w:r>
            <w:r>
              <w:rPr>
                <w:rFonts w:ascii="Times New Roman" w:hAnsi="Times New Roman"/>
                <w:color w:val="000000"/>
                <w:sz w:val="20"/>
              </w:rPr>
              <w:t> </w:t>
            </w:r>
            <w:r>
              <w:rPr>
                <w:rFonts w:ascii="Times New Roman" w:hAnsi="Times New Roman"/>
                <w:color w:val="000000"/>
                <w:sz w:val="10"/>
              </w:rPr>
              <w:t>units) (h)(j)</w:t>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7/26/2021</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27,622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28,536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48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Zonkd, LLC</w:t>
            </w:r>
          </w:p>
        </w:tc>
        <w:tc>
          <w:tcPr>
            <w:tcW w:w="11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ind w:left="0" w:right="0" w:firstLine="160"/>
              <w:jc w:val="left"/>
              <w:rPr/>
            </w:pPr>
            <w:r>
              <w:rPr/>
              <w:t> </w:t>
            </w:r>
          </w:p>
        </w:tc>
      </w:tr>
      <w:tr>
        <w:trPr/>
        <w:tc>
          <w:tcPr>
            <w:tcW w:w="2767"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+ 10.00%) / (1.00%)</w:t>
            </w:r>
          </w:p>
        </w:tc>
        <w:tc>
          <w:tcPr>
            <w:tcW w:w="640"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16.59%/0.00%</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3/18/2022</w:t>
            </w:r>
          </w:p>
        </w:tc>
        <w:tc>
          <w:tcPr>
            <w:tcW w:w="5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4,150</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firstLine="160"/>
              <w:jc w:val="left"/>
              <w:rPr/>
            </w:pPr>
            <w:r>
              <w:rPr/>
              <w:t> </w:t>
            </w:r>
          </w:p>
        </w:tc>
      </w:tr>
      <w:tr>
        <w:trPr/>
        <w:tc>
          <w:tcPr>
            <w:tcW w:w="2767"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(4,987</w:t>
            </w:r>
            <w:r>
              <w:rPr>
                <w:rFonts w:ascii="Times New Roman" w:hAnsi="Times New Roman"/>
                <w:color w:val="000000"/>
                <w:sz w:val="20"/>
              </w:rPr>
              <w:t> </w:t>
            </w:r>
            <w:r>
              <w:rPr>
                <w:rFonts w:ascii="Times New Roman" w:hAnsi="Times New Roman"/>
                <w:color w:val="000000"/>
                <w:sz w:val="10"/>
              </w:rPr>
              <w:t>units) (h)(j)</w:t>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3/18/2022</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8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CFF0FC" w:val="clear"/>
            <w:vAlign w:val="center"/>
          </w:tcPr>
          <w:p>
            <w:pPr>
              <w:pStyle w:val="TableContents"/>
              <w:bidi w:val="0"/>
              <w:spacing w:before="0" w:after="283"/>
              <w:jc w:val="left"/>
              <w:rPr>
                <w:sz w:val="4"/>
                <w:szCs w:val="4"/>
              </w:rPr>
            </w:pPr>
            <w:r>
              <w:rPr>
                <w:sz w:val="4"/>
                <w:szCs w:val="4"/>
              </w:rPr>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Non-control/Non-affiliate Investments</w:t>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972,583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967,755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w:t>
            </w:r>
          </w:p>
        </w:tc>
        <w:tc>
          <w:tcPr>
            <w:tcW w:w="48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CFF0FC" w:val="clear"/>
            <w:vAlign w:val="center"/>
          </w:tcPr>
          <w:p>
            <w:pPr>
              <w:pStyle w:val="TableContents"/>
              <w:bidi w:val="0"/>
              <w:spacing w:before="0" w:after="283"/>
              <w:jc w:val="left"/>
              <w:rPr>
                <w:sz w:val="4"/>
                <w:szCs w:val="4"/>
              </w:rPr>
            </w:pPr>
            <w:r>
              <w:rPr>
                <w:sz w:val="4"/>
                <w:szCs w:val="4"/>
              </w:rPr>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Investments</w:t>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1,025,576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1,048,071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172</w:t>
            </w:r>
          </w:p>
        </w:tc>
        <w:tc>
          <w:tcPr>
            <w:tcW w:w="48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CFF0FC" w:val="clear"/>
            <w:vAlign w:val="center"/>
          </w:tcPr>
          <w:p>
            <w:pPr>
              <w:pStyle w:val="TableContents"/>
              <w:bidi w:val="0"/>
              <w:spacing w:before="0" w:after="283"/>
              <w:jc w:val="left"/>
              <w:rPr>
                <w:sz w:val="4"/>
                <w:szCs w:val="4"/>
              </w:rPr>
            </w:pPr>
            <w:r>
              <w:rPr>
                <w:sz w:val="4"/>
                <w:szCs w:val="4"/>
              </w:rPr>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Money market funds (included in cash and cash equivalents)</w:t>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firstLine="160"/>
              <w:jc w:val="left"/>
              <w:rPr/>
            </w:pPr>
            <w:r>
              <w:rPr/>
              <w:t> </w:t>
            </w:r>
          </w:p>
        </w:tc>
      </w:tr>
      <w:tr>
        <w:trPr/>
        <w:tc>
          <w:tcPr>
            <w:tcW w:w="2767"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Goldman Sachs Financial Square Treasury Obligation Institution CUSIP (38141W323) (ad)</w:t>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484" w:type="dxa"/>
            <w:tcBorders/>
            <w:shd w:fill="CFF0FC" w:val="clear"/>
            <w:vAlign w:val="center"/>
          </w:tcPr>
          <w:p>
            <w:pPr>
              <w:pStyle w:val="TableContents"/>
              <w:bidi w:val="0"/>
              <w:spacing w:before="0" w:after="283"/>
              <w:ind w:left="0" w:right="0" w:firstLine="240"/>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FFFFFF" w:val="clear"/>
            <w:vAlign w:val="center"/>
          </w:tcPr>
          <w:p>
            <w:pPr>
              <w:pStyle w:val="TableContents"/>
              <w:bidi w:val="0"/>
              <w:spacing w:before="0" w:after="283"/>
              <w:ind w:left="240" w:right="0" w:firstLine="240"/>
              <w:jc w:val="left"/>
              <w:rPr>
                <w:rFonts w:ascii="Times New Roman" w:hAnsi="Times New Roman"/>
                <w:b/>
                <w:color w:val="000000"/>
                <w:sz w:val="10"/>
              </w:rPr>
            </w:pPr>
            <w:r>
              <w:rPr>
                <w:rFonts w:ascii="Times New Roman" w:hAnsi="Times New Roman"/>
                <w:b/>
                <w:color w:val="000000"/>
                <w:sz w:val="10"/>
              </w:rPr>
              <w:t>Total money market funds</w:t>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48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CFF0FC"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Investments and Money Market Funds</w:t>
            </w:r>
          </w:p>
        </w:tc>
        <w:tc>
          <w:tcPr>
            <w:tcW w:w="118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1,048,718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1,071,213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w:t>
            </w:r>
          </w:p>
        </w:tc>
        <w:tc>
          <w:tcPr>
            <w:tcW w:w="484" w:type="dxa"/>
            <w:tcBorders/>
            <w:shd w:fill="CFF0FC" w:val="cle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767" w:type="dxa"/>
            <w:tcBorders/>
            <w:shd w:fill="FFFFFF" w:val="clear"/>
            <w:vAlign w:val="center"/>
          </w:tcPr>
          <w:p>
            <w:pPr>
              <w:pStyle w:val="TableContents"/>
              <w:bidi w:val="0"/>
              <w:spacing w:before="0" w:after="283"/>
              <w:ind w:left="160" w:right="0" w:firstLine="160"/>
              <w:jc w:val="left"/>
              <w:rPr/>
            </w:pPr>
            <w:r>
              <w:rPr/>
              <w:t> </w:t>
            </w:r>
          </w:p>
        </w:tc>
        <w:tc>
          <w:tcPr>
            <w:tcW w:w="118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(a) See Note 3 to the consolidated financial statements for portfolio composition by geographic location.</w:t>
      </w:r>
    </w:p>
    <w:p>
      <w:pPr>
        <w:pStyle w:val="TextBody"/>
        <w:bidi w:val="0"/>
        <w:jc w:val="left"/>
        <w:rPr>
          <w:rFonts w:ascii="Times New Roman" w:hAnsi="Times New Roman"/>
          <w:color w:val="000000"/>
          <w:sz w:val="12"/>
        </w:rPr>
      </w:pPr>
      <w:r>
        <w:rPr>
          <w:rFonts w:ascii="Times New Roman" w:hAnsi="Times New Roman"/>
          <w:color w:val="000000"/>
          <w:sz w:val="12"/>
        </w:rPr>
        <w:t xml:space="preserve">(b) Equity ownership may be held in shares or units of companies related to the portfolio companies. The Company’s investments are generally classified as “restricted securities”, unless otherwise noted, as such term is defined under Regulation S-X Rule 6-03(f) or Securities Act Rule 144. As of March 31, 2024, the Company held restricted securities with an aggregate fair value of $1,047,818, or 172% of the Company's net assets. </w:t>
      </w:r>
    </w:p>
    <w:p>
      <w:pPr>
        <w:pStyle w:val="TextBody"/>
        <w:bidi w:val="0"/>
        <w:jc w:val="left"/>
        <w:rPr>
          <w:rFonts w:ascii="Times New Roman" w:hAnsi="Times New Roman"/>
          <w:color w:val="000000"/>
          <w:sz w:val="12"/>
        </w:rPr>
      </w:pPr>
      <w:r>
        <w:rPr>
          <w:rFonts w:ascii="Times New Roman" w:hAnsi="Times New Roman"/>
          <w:color w:val="000000"/>
          <w:sz w:val="12"/>
        </w:rPr>
        <w:t>(c) All debt investments are income producing, unless otherwise indicated.</w:t>
      </w:r>
    </w:p>
    <w:p>
      <w:pPr>
        <w:pStyle w:val="TextBody"/>
        <w:bidi w:val="0"/>
        <w:jc w:val="left"/>
        <w:rPr>
          <w:rFonts w:ascii="Times New Roman" w:hAnsi="Times New Roman"/>
          <w:color w:val="000000"/>
          <w:sz w:val="12"/>
        </w:rPr>
      </w:pPr>
      <w:r>
        <w:rPr>
          <w:rFonts w:ascii="Times New Roman" w:hAnsi="Times New Roman"/>
          <w:color w:val="000000"/>
          <w:sz w:val="12"/>
        </w:rPr>
        <w:t>Equity investments are non-income producing unless otherwise noted.</w:t>
      </w:r>
    </w:p>
    <w:p>
      <w:pPr>
        <w:pStyle w:val="TextBody"/>
        <w:bidi w:val="0"/>
        <w:jc w:val="left"/>
        <w:rPr>
          <w:rFonts w:ascii="Times New Roman" w:hAnsi="Times New Roman"/>
          <w:color w:val="000000"/>
          <w:sz w:val="12"/>
        </w:rPr>
      </w:pPr>
      <w:r>
        <w:rPr>
          <w:rFonts w:ascii="Times New Roman" w:hAnsi="Times New Roman"/>
          <w:color w:val="000000"/>
          <w:sz w:val="12"/>
        </w:rPr>
        <w:t>(d) 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March 31, 2024.</w:t>
      </w:r>
    </w:p>
    <w:p>
      <w:pPr>
        <w:pStyle w:val="TextBody"/>
        <w:bidi w:val="0"/>
        <w:jc w:val="left"/>
        <w:rPr>
          <w:rFonts w:ascii="Times New Roman" w:hAnsi="Times New Roman"/>
          <w:color w:val="000000"/>
          <w:sz w:val="12"/>
        </w:rPr>
      </w:pPr>
      <w:r>
        <w:rPr>
          <w:rFonts w:ascii="Times New Roman" w:hAnsi="Times New Roman"/>
          <w:color w:val="000000"/>
          <w:sz w:val="12"/>
        </w:rPr>
        <w:t>(e) Rate includes the cash interest or dividend rate and paid-in-kind interest or dividend rate, if any, as of March 31, 2024. Generally, payment-in-kind interest can be paid-in-kind or all in cash.</w:t>
      </w:r>
    </w:p>
    <w:p>
      <w:pPr>
        <w:pStyle w:val="TextBody"/>
        <w:bidi w:val="0"/>
        <w:jc w:val="left"/>
        <w:rPr>
          <w:rFonts w:ascii="Times New Roman" w:hAnsi="Times New Roman"/>
          <w:color w:val="000000"/>
          <w:sz w:val="12"/>
        </w:rPr>
      </w:pPr>
      <w:r>
        <w:rPr>
          <w:rFonts w:ascii="Times New Roman" w:hAnsi="Times New Roman"/>
          <w:color w:val="000000"/>
          <w:sz w:val="12"/>
        </w:rPr>
        <w:t>(f) Investment date represents the date of the initial investment in the security.</w:t>
      </w:r>
    </w:p>
    <w:p>
      <w:pPr>
        <w:pStyle w:val="TextBody"/>
        <w:bidi w:val="0"/>
        <w:jc w:val="left"/>
        <w:rPr>
          <w:rFonts w:ascii="Times New Roman" w:hAnsi="Times New Roman"/>
          <w:color w:val="000000"/>
          <w:sz w:val="12"/>
        </w:rPr>
      </w:pPr>
      <w:r>
        <w:rPr>
          <w:rFonts w:ascii="Times New Roman" w:hAnsi="Times New Roman"/>
          <w:color w:val="000000"/>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bidi w:val="0"/>
        <w:jc w:val="left"/>
        <w:rPr>
          <w:rFonts w:ascii="Times New Roman" w:hAnsi="Times New Roman"/>
          <w:color w:val="000000"/>
          <w:sz w:val="12"/>
        </w:rPr>
      </w:pPr>
      <w:r>
        <w:rPr>
          <w:rFonts w:ascii="Times New Roman" w:hAnsi="Times New Roman"/>
          <w:color w:val="000000"/>
          <w:sz w:val="12"/>
        </w:rPr>
        <w:t>(h) Investment is held by a taxable subsidiary of the Company.</w:t>
      </w:r>
    </w:p>
    <w:p>
      <w:pPr>
        <w:pStyle w:val="TextBody"/>
        <w:bidi w:val="0"/>
        <w:jc w:val="left"/>
        <w:rPr>
          <w:rFonts w:ascii="Times New Roman" w:hAnsi="Times New Roman"/>
          <w:color w:val="000000"/>
          <w:sz w:val="12"/>
        </w:rPr>
      </w:pPr>
      <w:r>
        <w:rPr>
          <w:rFonts w:ascii="Times New Roman" w:hAnsi="Times New Roman"/>
          <w:color w:val="000000"/>
          <w:sz w:val="12"/>
        </w:rPr>
        <w:t>(i) The disclosed commitment represents the unfunded amount as of March 31, 2024. The Company is earning 0.50% interest on the unfunded balance of the commitment. The interest rate disclosed represents the rate which will be earned if the commitment is funded.</w:t>
      </w:r>
    </w:p>
    <w:p>
      <w:pPr>
        <w:pStyle w:val="TextBody"/>
        <w:bidi w:val="0"/>
        <w:jc w:val="left"/>
        <w:rPr>
          <w:rFonts w:ascii="Times New Roman" w:hAnsi="Times New Roman"/>
          <w:color w:val="000000"/>
          <w:sz w:val="12"/>
        </w:rPr>
      </w:pPr>
      <w:r>
        <w:rPr>
          <w:rFonts w:ascii="Times New Roman" w:hAnsi="Times New Roman"/>
          <w:color w:val="000000"/>
          <w:sz w:val="12"/>
        </w:rPr>
        <w:t>(j) 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(k) The portion of the investment not held by Fidus Mezzanine Capital II, LP or Fidus Mezzanine Capital III, LP, a wholly owned subsidiary operating as a small business investment company,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bidi w:val="0"/>
        <w:jc w:val="left"/>
        <w:rPr>
          <w:rFonts w:ascii="Times New Roman" w:hAnsi="Times New Roman"/>
          <w:color w:val="000000"/>
          <w:sz w:val="12"/>
        </w:rPr>
      </w:pPr>
      <w:r>
        <w:rPr>
          <w:rFonts w:ascii="Times New Roman" w:hAnsi="Times New Roman"/>
          <w:color w:val="000000"/>
          <w:sz w:val="12"/>
        </w:rPr>
        <w:t>(n) Investment in portfolio company that has sold its operations and is in the process of winding down.</w:t>
      </w:r>
    </w:p>
    <w:p>
      <w:pPr>
        <w:pStyle w:val="TextBody"/>
        <w:bidi w:val="0"/>
        <w:jc w:val="left"/>
        <w:rPr>
          <w:rFonts w:ascii="Times New Roman" w:hAnsi="Times New Roman"/>
          <w:sz w:val="20"/>
        </w:rPr>
      </w:pPr>
      <w:r>
        <w:rPr>
          <w:rFonts w:ascii="Times New Roman" w:hAnsi="Times New Roman"/>
          <w:color w:val="000000"/>
          <w:sz w:val="12"/>
        </w:rPr>
        <w:t>(o) The Company sold a participating interest of approximately $0.3</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(p) In addition to the interest earned based on the stated interest rate of this security, the Company is entitled to receive an additional interest amount of 4.75%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(q) In addition to the interest earned based on the stated interest rate of this security, the Company is entitled to receive an additional interest amount of 2.91%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(r) In addition to the interest earned based on the stated interest rate of this security, the Company is entitled to receive an additional interest amount of 3.16%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(s) In addition to the interest earned based on the stated interest rate of this security, the Company is entitled to receive an additional interest amount of 2.15%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(u) In addition to the interest earned based on the stated interest rate of this security, the Company is entitled to receive an additional interest amount of 2.28%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(i) The disclosed commitment represents the unfunded amount as of March 31, 2024. The Company is earning 3.00% interest on the unfunded balance of the commitment. The interest rate disclosed represents the rate which will be earned if the commitment is funded.</w:t>
      </w:r>
    </w:p>
    <w:p>
      <w:pPr>
        <w:pStyle w:val="TextBody"/>
        <w:bidi w:val="0"/>
        <w:jc w:val="left"/>
        <w:rPr>
          <w:rFonts w:ascii="Times New Roman" w:hAnsi="Times New Roman"/>
          <w:color w:val="000000"/>
          <w:sz w:val="12"/>
        </w:rPr>
      </w:pPr>
      <w:r>
        <w:rPr>
          <w:rFonts w:ascii="Times New Roman" w:hAnsi="Times New Roman"/>
          <w:color w:val="000000"/>
          <w:sz w:val="12"/>
        </w:rPr>
        <w:t>(w) The disclosed commitment represents the unfunded amount as of March 31, 2024. The Company is earning 1.00%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2"/>
        </w:rPr>
      </w:pPr>
      <w:r>
        <w:rPr>
          <w:rFonts w:ascii="Times New Roman" w:hAnsi="Times New Roman"/>
          <w:color w:val="000000"/>
          <w:sz w:val="12"/>
        </w:rPr>
        <w:t>(x) In addition to the interest earned based on the stated interest rate of this security, the Company is entitled to receive an additional interest amount of 2.27%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(y) Investment was on non-accrual status as of March 31, 2024.</w:t>
      </w:r>
    </w:p>
    <w:p>
      <w:pPr>
        <w:pStyle w:val="TextBody"/>
        <w:bidi w:val="0"/>
        <w:jc w:val="left"/>
        <w:rPr>
          <w:rFonts w:ascii="Times New Roman" w:hAnsi="Times New Roman"/>
          <w:color w:val="000000"/>
          <w:sz w:val="12"/>
        </w:rPr>
      </w:pPr>
      <w:r>
        <w:rPr>
          <w:rFonts w:ascii="Times New Roman" w:hAnsi="Times New Roman"/>
          <w:color w:val="000000"/>
          <w:sz w:val="12"/>
        </w:rPr>
        <w:t>(z) In addition to the interest earned based on the stated interest rate of this security, the Company is entitled to receive an additional interest amount of 4.54%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(aa) The Company sold a participating interest of approximately $4.0</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(ab) In addition to the interest earned based on the stated interest rate of this security, the Company is entitled to receive an additional interest amount of 7.72%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left"/>
        <w:rPr>
          <w:rFonts w:ascii="Times New Roman" w:hAnsi="Times New Roman"/>
          <w:color w:val="000000"/>
          <w:sz w:val="12"/>
        </w:rPr>
      </w:pPr>
      <w:r>
        <w:rPr>
          <w:rFonts w:ascii="Times New Roman" w:hAnsi="Times New Roman"/>
          <w:color w:val="000000"/>
          <w:sz w:val="12"/>
        </w:rPr>
        <w:t>(ac) In addition to the interest earned based on the stated interest rate of this security, the Company is entitled to receive an additional cash interest amount of 1.65% and PIK interest amount of 1.37%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(ad) This investment is classified as a Level 1 investment. For further detail on the fair value measurements, see Note 4 to the consolidated financial statements. This investment is not classified as a restricted security in accordance with Regulation S-X Rule 6-03(f) or Securities Act Rule 144.</w:t>
      </w:r>
      <w:r>
        <w:rPr>
          <w:rFonts w:ascii="Times New Roman" w:hAnsi="Times New Roman"/>
          <w:color w:val="000000"/>
          <w:sz w:val="20"/>
        </w:rPr>
        <w:t xml:space="preserve"> </w:t>
      </w:r>
    </w:p>
    <w:p>
      <w:pPr>
        <w:pStyle w:val="TextBody"/>
        <w:bidi w:val="0"/>
        <w:jc w:val="left"/>
        <w:rPr>
          <w:rFonts w:ascii="Times New Roman" w:hAnsi="Times New Roman"/>
          <w:color w:val="000000"/>
          <w:sz w:val="12"/>
        </w:rPr>
      </w:pPr>
      <w:r>
        <w:rPr>
          <w:rFonts w:ascii="Times New Roman" w:hAnsi="Times New Roman"/>
          <w:color w:val="000000"/>
          <w:sz w:val="12"/>
        </w:rPr>
        <w:t>(ae) In addition to the interest earned based on the stated interest rate of this security, the Company is entitled to receive an additional interest amount of 1.88%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(af) In addition to the interest earned based on the stated interest rate of this security, the Company is entitled to receive an additional interest amount of 3.22%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(ag) In addition to the interest earned based on the stated interest rate of this security, the Company is entitled to receive an additional interest amount of 4.36%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(ah) In addition to the interest earned based on the stated interest rate of this security, the Company is entitled to receive an additional interest amount of 1.63%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(ai) In addition to the interest earned based on the stated interest rate of this security, the Company is entitled to receive an additional interest amount of 3.32%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(ak) In addition to the interest earned based on the stated interest rate of this security, the Company is entitled to receive an additional interest amount of 3.48%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(al) In addition to the interest earned based on the stated interest rate of this security, the Company is entitled to receive an additional interest amount of 4.99%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(am) In addition to the interest earned based on the stated interest rate of this security, the Company is entitled to receive an additional interest amount of 3.18%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(an) The Company sold a participating interest of approximately $13.5</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March 31, 2024, total non-qualifying assets at fair value represented 1.17% of the Company's total assets calculated in accordance with the 1940 Act.</w:t>
      </w:r>
    </w:p>
    <w:p>
      <w:pPr>
        <w:pStyle w:val="TextBody"/>
        <w:bidi w:val="0"/>
        <w:jc w:val="left"/>
        <w:rPr>
          <w:rFonts w:ascii="Times New Roman" w:hAnsi="Times New Roman"/>
          <w:color w:val="000000"/>
          <w:sz w:val="12"/>
        </w:rPr>
      </w:pPr>
      <w:r>
        <w:rPr>
          <w:rFonts w:ascii="Times New Roman" w:hAnsi="Times New Roman"/>
          <w:color w:val="000000"/>
          <w:sz w:val="12"/>
        </w:rPr>
        <w:t>(ap) In addition to the interest earned based on the stated interest rate of this security, the Company is entitled to receive an additional cash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(aq) The headquarters of this portfolio company is located in Canada.</w:t>
      </w:r>
    </w:p>
    <w:p>
      <w:pPr>
        <w:pStyle w:val="TextBody"/>
        <w:bidi w:val="0"/>
        <w:jc w:val="left"/>
        <w:rPr>
          <w:rFonts w:ascii="Times New Roman" w:hAnsi="Times New Roman"/>
          <w:color w:val="000000"/>
          <w:sz w:val="12"/>
        </w:rPr>
      </w:pPr>
      <w:r>
        <w:rPr>
          <w:rFonts w:ascii="Times New Roman" w:hAnsi="Times New Roman"/>
          <w:color w:val="000000"/>
          <w:sz w:val="12"/>
        </w:rPr>
        <w:t>(ar) 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(as) In addition to the interest earned based on the stated interest rate of this security, the Company is entitled to receive an additional interest amount of 2.79%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(at) 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(au) In addition to the interest earned based on the stated interest rate of this security, the Company is entitled to receive an additional interest amount of 0.00%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(av) In addition to the interest earned based on the stated interest rate of this security, the Company is entitled to receive an additional interest amount of 0.76%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spacing w:before="120" w:after="283"/>
        <w:jc w:val="center"/>
        <w:rPr>
          <w:rFonts w:ascii="Times New Roman" w:hAnsi="Times New Roman"/>
          <w:i/>
          <w:color w:val="000000"/>
          <w:sz w:val="12"/>
        </w:rPr>
      </w:pPr>
      <w:r>
        <w:rPr>
          <w:rFonts w:ascii="Times New Roman" w:hAnsi="Times New Roman"/>
          <w:i/>
          <w:color w:val="000000"/>
          <w:sz w:val="12"/>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tbl>
      <w:tblPr>
        <w:tblW w:w="10205" w:type="dxa"/>
        <w:jc w:val="left"/>
        <w:tblInd w:w="0" w:type="dxa"/>
        <w:tblLayout w:type="fixed"/>
        <w:tblCellMar>
          <w:top w:w="28" w:type="dxa"/>
          <w:left w:w="28" w:type="dxa"/>
          <w:bottom w:w="28" w:type="dxa"/>
          <w:right w:w="28" w:type="dxa"/>
        </w:tblCellMar>
      </w:tblPr>
      <w:tblGrid>
        <w:gridCol w:w="2372"/>
        <w:gridCol w:w="1458"/>
        <w:gridCol w:w="905"/>
        <w:gridCol w:w="668"/>
        <w:gridCol w:w="691"/>
        <w:gridCol w:w="618"/>
        <w:gridCol w:w="166"/>
        <w:gridCol w:w="436"/>
        <w:gridCol w:w="146"/>
        <w:gridCol w:w="146"/>
        <w:gridCol w:w="166"/>
        <w:gridCol w:w="436"/>
        <w:gridCol w:w="151"/>
        <w:gridCol w:w="146"/>
        <w:gridCol w:w="166"/>
        <w:gridCol w:w="436"/>
        <w:gridCol w:w="146"/>
        <w:gridCol w:w="234"/>
        <w:gridCol w:w="364"/>
        <w:gridCol w:w="354"/>
      </w:tblGrid>
      <w:tr>
        <w:trPr/>
        <w:tc>
          <w:tcPr>
            <w:tcW w:w="237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372"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Portfolio Company (a)(b)</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Variable Index</w:t>
            </w:r>
          </w:p>
        </w:tc>
        <w:tc>
          <w:tcPr>
            <w:tcW w:w="668"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Rate (e)</w:t>
            </w:r>
          </w:p>
        </w:tc>
        <w:tc>
          <w:tcPr>
            <w:tcW w:w="691"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w:t>
            </w:r>
          </w:p>
        </w:tc>
        <w:tc>
          <w:tcPr>
            <w:tcW w:w="146" w:type="dxa"/>
            <w:tcBorders/>
            <w:shd w:fill="FFFFFF" w:val="clear"/>
            <w:vAlign w:val="center"/>
          </w:tcPr>
          <w:p>
            <w:pPr>
              <w:pStyle w:val="TableContents"/>
              <w:bidi w:val="0"/>
              <w:spacing w:before="0" w:after="283"/>
              <w:jc w:val="center"/>
              <w:rPr/>
            </w:pPr>
            <w:r>
              <w:rPr/>
              <w:t> </w:t>
            </w:r>
          </w:p>
        </w:tc>
        <w:tc>
          <w:tcPr>
            <w:tcW w:w="598"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Percent of</w:t>
            </w:r>
          </w:p>
        </w:tc>
        <w:tc>
          <w:tcPr>
            <w:tcW w:w="354" w:type="dxa"/>
            <w:tcBorders/>
            <w:shd w:fill="FFFFFF" w:val="clear"/>
            <w:vAlign w:val="center"/>
          </w:tcPr>
          <w:p>
            <w:pPr>
              <w:pStyle w:val="TableContents"/>
              <w:bidi w:val="0"/>
              <w:spacing w:before="0" w:after="283"/>
              <w:jc w:val="center"/>
              <w:rPr/>
            </w:pPr>
            <w:r>
              <w:rPr/>
              <w:t> </w:t>
            </w:r>
          </w:p>
        </w:tc>
      </w:tr>
      <w:tr>
        <w:trPr/>
        <w:tc>
          <w:tcPr>
            <w:tcW w:w="2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Type (c)</w:t>
            </w:r>
          </w:p>
        </w:tc>
        <w:tc>
          <w:tcPr>
            <w:tcW w:w="1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Industry</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Spread / Floor (d)</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Cash/PIK</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Date (f)</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Maturity</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Value (g)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 Assets</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2"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8" w:type="dxa"/>
            <w:gridSpan w:val="2"/>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center"/>
              <w:rPr/>
            </w:pPr>
            <w:r>
              <w:rPr/>
              <w:t> </w:t>
            </w:r>
          </w:p>
        </w:tc>
      </w:tr>
      <w:tr>
        <w:trPr/>
        <w:tc>
          <w:tcPr>
            <w:tcW w:w="2372" w:type="dxa"/>
            <w:tcBorders/>
            <w:shd w:fill="CFF0FC" w:val="cle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Control Investments (t)</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72"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US GreenFiber, LLC (n)</w:t>
            </w:r>
          </w:p>
        </w:tc>
        <w:tc>
          <w:tcPr>
            <w:tcW w:w="145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 Manufacturing</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Second Lien Debt (j)(y)</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10.00%/3.00%</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7/3/2014</w:t>
            </w:r>
          </w:p>
        </w:tc>
        <w:tc>
          <w:tcPr>
            <w:tcW w:w="6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8/30/2024</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(2,522</w:t>
            </w:r>
            <w:r>
              <w:rPr>
                <w:rFonts w:ascii="Times New Roman" w:hAnsi="Times New Roman"/>
                <w:color w:val="000000"/>
                <w:sz w:val="20"/>
              </w:rPr>
              <w:t> </w:t>
            </w:r>
            <w:r>
              <w:rPr>
                <w:rFonts w:ascii="Times New Roman" w:hAnsi="Times New Roman"/>
                <w:color w:val="000000"/>
                <w:sz w:val="12"/>
              </w:rPr>
              <w:t>units) (h)(j)</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7/3/2014</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(425,508</w:t>
            </w:r>
            <w:r>
              <w:rPr>
                <w:rFonts w:ascii="Times New Roman" w:hAnsi="Times New Roman"/>
                <w:color w:val="000000"/>
                <w:sz w:val="20"/>
              </w:rPr>
              <w:t> </w:t>
            </w:r>
            <w:r>
              <w:rPr>
                <w:rFonts w:ascii="Times New Roman" w:hAnsi="Times New Roman"/>
                <w:color w:val="000000"/>
                <w:sz w:val="12"/>
              </w:rPr>
              <w:t>units) (j)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8/30/2019</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(1,022,813</w:t>
            </w:r>
            <w:r>
              <w:rPr>
                <w:rFonts w:ascii="Times New Roman" w:hAnsi="Times New Roman"/>
                <w:color w:val="000000"/>
                <w:sz w:val="20"/>
              </w:rPr>
              <w:t> </w:t>
            </w:r>
            <w:r>
              <w:rPr>
                <w:rFonts w:ascii="Times New Roman" w:hAnsi="Times New Roman"/>
                <w:color w:val="000000"/>
                <w:sz w:val="12"/>
              </w:rPr>
              <w:t>units) (h)(j)</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7/1/2020</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372" w:type="dxa"/>
            <w:tcBorders/>
            <w:shd w:fill="CFF0FC" w:val="clear"/>
            <w:vAlign w:val="center"/>
          </w:tcPr>
          <w:p>
            <w:pPr>
              <w:pStyle w:val="TableContents"/>
              <w:bidi w:val="0"/>
              <w:spacing w:before="0" w:after="283"/>
              <w:jc w:val="left"/>
              <w:rPr>
                <w:sz w:val="4"/>
                <w:szCs w:val="4"/>
              </w:rPr>
            </w:pPr>
            <w:r>
              <w:rPr>
                <w:sz w:val="4"/>
                <w:szCs w:val="4"/>
              </w:rPr>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2" w:type="dxa"/>
            <w:tcBorders/>
            <w:shd w:fill="FFFFFF" w:val="clear"/>
            <w:vAlign w:val="center"/>
          </w:tcPr>
          <w:p>
            <w:pPr>
              <w:pStyle w:val="TableContents"/>
              <w:bidi w:val="0"/>
              <w:spacing w:before="0" w:after="283"/>
              <w:jc w:val="left"/>
              <w:rPr>
                <w:sz w:val="4"/>
                <w:szCs w:val="4"/>
              </w:rPr>
            </w:pPr>
            <w:r>
              <w:rPr>
                <w:sz w:val="4"/>
                <w:szCs w:val="4"/>
              </w:rPr>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372"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Control Investments</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2" w:type="dxa"/>
            <w:tcBorders/>
            <w:shd w:fill="FFFFFF" w:val="clear"/>
            <w:vAlign w:val="center"/>
          </w:tcPr>
          <w:p>
            <w:pPr>
              <w:pStyle w:val="TableContents"/>
              <w:bidi w:val="0"/>
              <w:spacing w:before="0" w:after="283"/>
              <w:jc w:val="left"/>
              <w:rPr>
                <w:sz w:val="4"/>
                <w:szCs w:val="4"/>
              </w:rPr>
            </w:pPr>
            <w:r>
              <w:rPr>
                <w:sz w:val="4"/>
                <w:szCs w:val="4"/>
              </w:rPr>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372" w:type="dxa"/>
            <w:tcBorders/>
            <w:shd w:fill="CFF0FC" w:val="cle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Affiliate Investments (l)</w:t>
            </w:r>
          </w:p>
        </w:tc>
        <w:tc>
          <w:tcPr>
            <w:tcW w:w="1458" w:type="dxa"/>
            <w:tcBorders/>
            <w:shd w:fill="CFF0FC" w:val="clear"/>
            <w:vAlign w:val="center"/>
          </w:tcPr>
          <w:p>
            <w:pPr>
              <w:pStyle w:val="TableContents"/>
              <w:bidi w:val="0"/>
              <w:spacing w:before="0" w:after="283"/>
              <w:jc w:val="center"/>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98" w:type="dxa"/>
            <w:gridSpan w:val="2"/>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center"/>
              <w:rPr/>
            </w:pPr>
            <w:r>
              <w:rPr/>
              <w:t> </w:t>
            </w:r>
          </w:p>
        </w:tc>
      </w:tr>
      <w:tr>
        <w:trPr/>
        <w:tc>
          <w:tcPr>
            <w:tcW w:w="2372"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Applegate Greenfiber Intermediate Inc. (fka US GreenFiber, LLC)</w:t>
            </w:r>
          </w:p>
        </w:tc>
        <w:tc>
          <w:tcPr>
            <w:tcW w:w="145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 Manufacturing</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10.00%/0.00%</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12/31/2027</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9,602</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(5,690</w:t>
            </w:r>
            <w:r>
              <w:rPr>
                <w:rFonts w:ascii="Times New Roman" w:hAnsi="Times New Roman"/>
                <w:color w:val="000000"/>
                <w:sz w:val="20"/>
              </w:rPr>
              <w:t> </w:t>
            </w:r>
            <w:r>
              <w:rPr>
                <w:rFonts w:ascii="Times New Roman" w:hAnsi="Times New Roman"/>
                <w:color w:val="000000"/>
                <w:sz w:val="12"/>
              </w:rPr>
              <w:t>units) (h)(j)</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6,708</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(7,113</w:t>
            </w:r>
            <w:r>
              <w:rPr>
                <w:rFonts w:ascii="Times New Roman" w:hAnsi="Times New Roman"/>
                <w:color w:val="000000"/>
                <w:sz w:val="20"/>
              </w:rPr>
              <w:t>  </w:t>
            </w:r>
            <w:r>
              <w:rPr>
                <w:rFonts w:ascii="Times New Roman" w:hAnsi="Times New Roman"/>
                <w:color w:val="000000"/>
                <w:sz w:val="12"/>
              </w:rPr>
              <w:t>units) (h)(j)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7,113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8,280</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(2,012</w:t>
            </w:r>
            <w:r>
              <w:rPr>
                <w:rFonts w:ascii="Times New Roman" w:hAnsi="Times New Roman"/>
                <w:color w:val="000000"/>
                <w:sz w:val="20"/>
              </w:rPr>
              <w:t> </w:t>
            </w:r>
            <w:r>
              <w:rPr>
                <w:rFonts w:ascii="Times New Roman" w:hAnsi="Times New Roman"/>
                <w:color w:val="000000"/>
                <w:sz w:val="12"/>
              </w:rPr>
              <w:t>units) (h)(j)</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372" w:type="dxa"/>
            <w:tcBorders/>
            <w:shd w:fill="CFF0FC" w:val="clear"/>
            <w:vAlign w:val="center"/>
          </w:tcPr>
          <w:p>
            <w:pPr>
              <w:pStyle w:val="TableContents"/>
              <w:bidi w:val="0"/>
              <w:spacing w:before="0" w:after="283"/>
              <w:jc w:val="left"/>
              <w:rPr>
                <w:sz w:val="4"/>
                <w:szCs w:val="4"/>
              </w:rPr>
            </w:pPr>
            <w:r>
              <w:rPr>
                <w:sz w:val="4"/>
                <w:szCs w:val="4"/>
              </w:rPr>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22,405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24,590</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2"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Medsurant Holdings, LLC</w:t>
            </w:r>
          </w:p>
        </w:tc>
        <w:tc>
          <w:tcPr>
            <w:tcW w:w="145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(84,997</w:t>
            </w:r>
            <w:r>
              <w:rPr>
                <w:rFonts w:ascii="Times New Roman" w:hAnsi="Times New Roman"/>
                <w:color w:val="000000"/>
                <w:sz w:val="20"/>
              </w:rPr>
              <w:t> </w:t>
            </w:r>
            <w:r>
              <w:rPr>
                <w:rFonts w:ascii="Times New Roman" w:hAnsi="Times New Roman"/>
                <w:color w:val="000000"/>
                <w:sz w:val="12"/>
              </w:rPr>
              <w:t>units) (h)(j)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4/12/2011</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1,305</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Warrant (252,588</w:t>
            </w:r>
            <w:r>
              <w:rPr>
                <w:rFonts w:ascii="Times New Roman" w:hAnsi="Times New Roman"/>
                <w:color w:val="000000"/>
                <w:sz w:val="20"/>
              </w:rPr>
              <w:t> </w:t>
            </w:r>
            <w:r>
              <w:rPr>
                <w:rFonts w:ascii="Times New Roman" w:hAnsi="Times New Roman"/>
                <w:color w:val="000000"/>
                <w:sz w:val="12"/>
              </w:rPr>
              <w:t>units) (h)(j)(m)</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4/12/2011</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372" w:type="dxa"/>
            <w:tcBorders/>
            <w:shd w:fill="CFF0FC" w:val="clear"/>
            <w:vAlign w:val="center"/>
          </w:tcPr>
          <w:p>
            <w:pPr>
              <w:pStyle w:val="TableContents"/>
              <w:bidi w:val="0"/>
              <w:spacing w:before="0" w:after="283"/>
              <w:jc w:val="left"/>
              <w:rPr>
                <w:sz w:val="4"/>
                <w:szCs w:val="4"/>
              </w:rPr>
            </w:pPr>
            <w:r>
              <w:rPr>
                <w:sz w:val="4"/>
                <w:szCs w:val="4"/>
              </w:rPr>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5,930</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2"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Pfanstiehl, Inc.</w:t>
            </w:r>
          </w:p>
        </w:tc>
        <w:tc>
          <w:tcPr>
            <w:tcW w:w="145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(2,550</w:t>
            </w:r>
            <w:r>
              <w:rPr>
                <w:rFonts w:ascii="Times New Roman" w:hAnsi="Times New Roman"/>
                <w:color w:val="000000"/>
                <w:sz w:val="20"/>
              </w:rPr>
              <w:t> </w:t>
            </w:r>
            <w:r>
              <w:rPr>
                <w:rFonts w:ascii="Times New Roman" w:hAnsi="Times New Roman"/>
                <w:color w:val="000000"/>
                <w:sz w:val="12"/>
              </w:rPr>
              <w:t>units) (j)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3/29/2013</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33,321</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35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2" w:type="dxa"/>
            <w:tcBorders/>
            <w:shd w:fill="FFFFFF" w:val="clear"/>
            <w:vAlign w:val="center"/>
          </w:tcPr>
          <w:p>
            <w:pPr>
              <w:pStyle w:val="TableContents"/>
              <w:bidi w:val="0"/>
              <w:spacing w:before="0" w:after="283"/>
              <w:jc w:val="left"/>
              <w:rPr>
                <w:sz w:val="4"/>
                <w:szCs w:val="4"/>
              </w:rPr>
            </w:pPr>
            <w:r>
              <w:rPr>
                <w:sz w:val="4"/>
                <w:szCs w:val="4"/>
              </w:rPr>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372"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Spectra A&amp;D Acquisition, Inc. (fka FDS Avionics Corp.)</w:t>
            </w:r>
          </w:p>
        </w:tc>
        <w:tc>
          <w:tcPr>
            <w:tcW w:w="145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 Manufacturing</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(k)(ag)</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(1.00%)</w:t>
            </w:r>
          </w:p>
        </w:tc>
        <w:tc>
          <w:tcPr>
            <w:tcW w:w="66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11.36%/0.00%</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2/12/2021</w:t>
            </w:r>
          </w:p>
        </w:tc>
        <w:tc>
          <w:tcPr>
            <w:tcW w:w="6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2/11/2026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14,952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14,003</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(12,035</w:t>
            </w:r>
            <w:r>
              <w:rPr>
                <w:rFonts w:ascii="Times New Roman" w:hAnsi="Times New Roman"/>
                <w:color w:val="000000"/>
                <w:sz w:val="20"/>
              </w:rPr>
              <w:t> </w:t>
            </w:r>
            <w:r>
              <w:rPr>
                <w:rFonts w:ascii="Times New Roman" w:hAnsi="Times New Roman"/>
                <w:color w:val="000000"/>
                <w:sz w:val="12"/>
              </w:rPr>
              <w:t>units) (j)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8/25/2021</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(38,493</w:t>
            </w:r>
            <w:r>
              <w:rPr>
                <w:rFonts w:ascii="Times New Roman" w:hAnsi="Times New Roman"/>
                <w:color w:val="000000"/>
                <w:sz w:val="20"/>
              </w:rPr>
              <w:t> </w:t>
            </w:r>
            <w:r>
              <w:rPr>
                <w:rFonts w:ascii="Times New Roman" w:hAnsi="Times New Roman"/>
                <w:color w:val="000000"/>
                <w:sz w:val="12"/>
              </w:rPr>
              <w:t>units) (j)</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12/16/2022</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(6,783</w:t>
            </w:r>
            <w:r>
              <w:rPr>
                <w:rFonts w:ascii="Times New Roman" w:hAnsi="Times New Roman"/>
                <w:color w:val="000000"/>
                <w:sz w:val="20"/>
              </w:rPr>
              <w:t> </w:t>
            </w:r>
            <w:r>
              <w:rPr>
                <w:rFonts w:ascii="Times New Roman" w:hAnsi="Times New Roman"/>
                <w:color w:val="000000"/>
                <w:sz w:val="12"/>
              </w:rPr>
              <w:t>units) (j)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7/10/2023</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(4,663</w:t>
            </w:r>
            <w:r>
              <w:rPr>
                <w:rFonts w:ascii="Times New Roman" w:hAnsi="Times New Roman"/>
                <w:color w:val="000000"/>
                <w:sz w:val="20"/>
              </w:rPr>
              <w:t> </w:t>
            </w:r>
            <w:r>
              <w:rPr>
                <w:rFonts w:ascii="Times New Roman" w:hAnsi="Times New Roman"/>
                <w:color w:val="000000"/>
                <w:sz w:val="12"/>
              </w:rPr>
              <w:t>units) (j)</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9/16/2022</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372" w:type="dxa"/>
            <w:tcBorders/>
            <w:shd w:fill="CFF0FC" w:val="clear"/>
            <w:vAlign w:val="center"/>
          </w:tcPr>
          <w:p>
            <w:pPr>
              <w:pStyle w:val="TableContents"/>
              <w:bidi w:val="0"/>
              <w:spacing w:before="0" w:after="283"/>
              <w:jc w:val="left"/>
              <w:rPr>
                <w:sz w:val="4"/>
                <w:szCs w:val="4"/>
              </w:rPr>
            </w:pPr>
            <w:r>
              <w:rPr>
                <w:sz w:val="4"/>
                <w:szCs w:val="4"/>
              </w:rPr>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19,923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15,321</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2"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Steward Holding LLC (dba Steward Advanced Materials)</w:t>
            </w:r>
          </w:p>
        </w:tc>
        <w:tc>
          <w:tcPr>
            <w:tcW w:w="145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 Manufacturing</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(1,000,000</w:t>
            </w:r>
            <w:r>
              <w:rPr>
                <w:rFonts w:ascii="Times New Roman" w:hAnsi="Times New Roman"/>
                <w:color w:val="000000"/>
                <w:sz w:val="20"/>
              </w:rPr>
              <w:t> </w:t>
            </w:r>
            <w:r>
              <w:rPr>
                <w:rFonts w:ascii="Times New Roman" w:hAnsi="Times New Roman"/>
                <w:color w:val="000000"/>
                <w:sz w:val="12"/>
              </w:rPr>
              <w:t>units)</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11/12/2015</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4,714</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2" w:type="dxa"/>
            <w:tcBorders/>
            <w:shd w:fill="FFFFFF" w:val="clear"/>
            <w:vAlign w:val="center"/>
          </w:tcPr>
          <w:p>
            <w:pPr>
              <w:pStyle w:val="TableContents"/>
              <w:bidi w:val="0"/>
              <w:spacing w:before="0" w:after="283"/>
              <w:jc w:val="left"/>
              <w:rPr>
                <w:sz w:val="4"/>
                <w:szCs w:val="4"/>
              </w:rPr>
            </w:pPr>
            <w:r>
              <w:rPr>
                <w:sz w:val="4"/>
                <w:szCs w:val="4"/>
              </w:rPr>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372"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Affiliate Investments</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46,485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83,876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35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2" w:type="dxa"/>
            <w:tcBorders/>
            <w:shd w:fill="FFFFFF" w:val="clear"/>
            <w:vAlign w:val="center"/>
          </w:tcPr>
          <w:p>
            <w:pPr>
              <w:pStyle w:val="TableContents"/>
              <w:bidi w:val="0"/>
              <w:spacing w:before="0" w:after="283"/>
              <w:jc w:val="left"/>
              <w:rPr>
                <w:sz w:val="4"/>
                <w:szCs w:val="4"/>
              </w:rPr>
            </w:pPr>
            <w:r>
              <w:rPr>
                <w:sz w:val="4"/>
                <w:szCs w:val="4"/>
              </w:rPr>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372" w:type="dxa"/>
            <w:tcBorders/>
            <w:shd w:fill="CFF0FC" w:val="cle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Non-control/Non-affiliate Investments</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72"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2KDirect, Inc. (dba iPromote)</w:t>
            </w:r>
          </w:p>
        </w:tc>
        <w:tc>
          <w:tcPr>
            <w:tcW w:w="145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(k)(at)</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+ 7.25%) / (0.50%)</w:t>
            </w:r>
          </w:p>
        </w:tc>
        <w:tc>
          <w:tcPr>
            <w:tcW w:w="66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12.80%/0.00%</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6/25/2021</w:t>
            </w:r>
          </w:p>
        </w:tc>
        <w:tc>
          <w:tcPr>
            <w:tcW w:w="6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6/25/2026</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10,772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10,815</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(j)(aa)</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+ 7.25%) / (0.50%)</w:t>
            </w:r>
          </w:p>
        </w:tc>
        <w:tc>
          <w:tcPr>
            <w:tcW w:w="66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9.05%/0.00%</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7/30/2021</w:t>
            </w:r>
          </w:p>
        </w:tc>
        <w:tc>
          <w:tcPr>
            <w:tcW w:w="6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3,328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3,328</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(1,000,000</w:t>
            </w:r>
            <w:r>
              <w:rPr>
                <w:rFonts w:ascii="Times New Roman" w:hAnsi="Times New Roman"/>
                <w:color w:val="000000"/>
                <w:sz w:val="20"/>
              </w:rPr>
              <w:t> </w:t>
            </w:r>
            <w:r>
              <w:rPr>
                <w:rFonts w:ascii="Times New Roman" w:hAnsi="Times New Roman"/>
                <w:color w:val="000000"/>
                <w:sz w:val="12"/>
              </w:rPr>
              <w:t>units)</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6/25/2021</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72" w:type="dxa"/>
            <w:tcBorders/>
            <w:shd w:fill="FFFFFF" w:val="clear"/>
            <w:vAlign w:val="center"/>
          </w:tcPr>
          <w:p>
            <w:pPr>
              <w:pStyle w:val="TableContents"/>
              <w:bidi w:val="0"/>
              <w:spacing w:before="0" w:after="283"/>
              <w:jc w:val="left"/>
              <w:rPr>
                <w:sz w:val="4"/>
                <w:szCs w:val="4"/>
              </w:rPr>
            </w:pPr>
            <w:r>
              <w:rPr>
                <w:sz w:val="4"/>
                <w:szCs w:val="4"/>
              </w:rPr>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14,759</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2"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301 Edison Holdings Inc. (dba LGG Industrial)</w:t>
            </w:r>
          </w:p>
        </w:tc>
        <w:tc>
          <w:tcPr>
            <w:tcW w:w="145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11.75%/1.50%</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11/14/2023</w:t>
            </w:r>
          </w:p>
        </w:tc>
        <w:tc>
          <w:tcPr>
            <w:tcW w:w="6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11/13/2028</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12,868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12,868</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(518,135</w:t>
            </w:r>
            <w:r>
              <w:rPr>
                <w:rFonts w:ascii="Times New Roman" w:hAnsi="Times New Roman"/>
                <w:color w:val="000000"/>
                <w:sz w:val="20"/>
              </w:rPr>
              <w:t> </w:t>
            </w:r>
            <w:r>
              <w:rPr>
                <w:rFonts w:ascii="Times New Roman" w:hAnsi="Times New Roman"/>
                <w:color w:val="000000"/>
                <w:sz w:val="12"/>
              </w:rPr>
              <w:t>units) (j)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11/14/2023</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72"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13,868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13,868</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2"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Acendre Midco, Inc.</w:t>
            </w:r>
          </w:p>
        </w:tc>
        <w:tc>
          <w:tcPr>
            <w:tcW w:w="145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(0.50%)</w:t>
            </w:r>
          </w:p>
        </w:tc>
        <w:tc>
          <w:tcPr>
            <w:tcW w:w="66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13.41%/0.00%</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5,459</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(0.50%)</w:t>
            </w:r>
          </w:p>
        </w:tc>
        <w:tc>
          <w:tcPr>
            <w:tcW w:w="66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13.41%/0.00%</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12,369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12,406</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Revolving Loan ($250</w:t>
            </w:r>
            <w:r>
              <w:rPr>
                <w:rFonts w:ascii="Times New Roman" w:hAnsi="Times New Roman"/>
                <w:color w:val="000000"/>
                <w:sz w:val="20"/>
              </w:rPr>
              <w:t> </w:t>
            </w:r>
            <w:r>
              <w:rPr>
                <w:rFonts w:ascii="Times New Roman" w:hAnsi="Times New Roman"/>
                <w:color w:val="000000"/>
                <w:sz w:val="12"/>
              </w:rPr>
              <w:t>unfunded commitment) (i)(j)</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(0.50%)</w:t>
            </w:r>
          </w:p>
        </w:tc>
        <w:tc>
          <w:tcPr>
            <w:tcW w:w="66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13.41%/0.00%</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(500,000</w:t>
            </w:r>
            <w:r>
              <w:rPr>
                <w:rFonts w:ascii="Times New Roman" w:hAnsi="Times New Roman"/>
                <w:color w:val="000000"/>
                <w:sz w:val="20"/>
              </w:rPr>
              <w:t> </w:t>
            </w:r>
            <w:r>
              <w:rPr>
                <w:rFonts w:ascii="Times New Roman" w:hAnsi="Times New Roman"/>
                <w:color w:val="000000"/>
                <w:sz w:val="12"/>
              </w:rPr>
              <w:t>shares) (j)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Warrant (150,000</w:t>
            </w:r>
            <w:r>
              <w:rPr>
                <w:rFonts w:ascii="Times New Roman" w:hAnsi="Times New Roman"/>
                <w:color w:val="000000"/>
                <w:sz w:val="20"/>
              </w:rPr>
              <w:t> </w:t>
            </w:r>
            <w:r>
              <w:rPr>
                <w:rFonts w:ascii="Times New Roman" w:hAnsi="Times New Roman"/>
                <w:color w:val="000000"/>
                <w:sz w:val="12"/>
              </w:rPr>
              <w:t>shares) (j)(m)</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(77,016</w:t>
            </w:r>
            <w:r>
              <w:rPr>
                <w:rFonts w:ascii="Times New Roman" w:hAnsi="Times New Roman"/>
                <w:color w:val="000000"/>
                <w:sz w:val="20"/>
              </w:rPr>
              <w:t> </w:t>
            </w:r>
            <w:r>
              <w:rPr>
                <w:rFonts w:ascii="Times New Roman" w:hAnsi="Times New Roman"/>
                <w:color w:val="000000"/>
                <w:sz w:val="12"/>
              </w:rPr>
              <w:t>shares) (j)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9/26/2022</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72" w:type="dxa"/>
            <w:tcBorders/>
            <w:shd w:fill="FFFFFF" w:val="clear"/>
            <w:vAlign w:val="center"/>
          </w:tcPr>
          <w:p>
            <w:pPr>
              <w:pStyle w:val="TableContents"/>
              <w:bidi w:val="0"/>
              <w:spacing w:before="0" w:after="283"/>
              <w:jc w:val="left"/>
              <w:rPr>
                <w:sz w:val="4"/>
                <w:szCs w:val="4"/>
              </w:rPr>
            </w:pPr>
            <w:r>
              <w:rPr>
                <w:sz w:val="4"/>
                <w:szCs w:val="4"/>
              </w:rPr>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19,156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19,376</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2"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Ad Info Parent, Inc. (dba MediaRadar)</w:t>
            </w:r>
          </w:p>
        </w:tc>
        <w:tc>
          <w:tcPr>
            <w:tcW w:w="145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66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11.75%/0.00%</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11/1/2023</w:t>
            </w:r>
          </w:p>
        </w:tc>
        <w:tc>
          <w:tcPr>
            <w:tcW w:w="6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9/16/2029</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12,431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12,432</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Revolving Loan ($1,442</w:t>
            </w:r>
            <w:r>
              <w:rPr>
                <w:rFonts w:ascii="Times New Roman" w:hAnsi="Times New Roman"/>
                <w:color w:val="000000"/>
                <w:sz w:val="20"/>
              </w:rPr>
              <w:t> </w:t>
            </w:r>
            <w:r>
              <w:rPr>
                <w:rFonts w:ascii="Times New Roman" w:hAnsi="Times New Roman"/>
                <w:color w:val="000000"/>
                <w:sz w:val="12"/>
              </w:rPr>
              <w:t>unfunded commitment) (i)(j)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66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11.75%/0.00%</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11/1/2023</w:t>
            </w:r>
          </w:p>
        </w:tc>
        <w:tc>
          <w:tcPr>
            <w:tcW w:w="6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9/16/2029</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(1,250,000</w:t>
            </w:r>
            <w:r>
              <w:rPr>
                <w:rFonts w:ascii="Times New Roman" w:hAnsi="Times New Roman"/>
                <w:color w:val="000000"/>
                <w:sz w:val="20"/>
              </w:rPr>
              <w:t> </w:t>
            </w:r>
            <w:r>
              <w:rPr>
                <w:rFonts w:ascii="Times New Roman" w:hAnsi="Times New Roman"/>
                <w:color w:val="000000"/>
                <w:sz w:val="12"/>
              </w:rPr>
              <w:t>units) (j)</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11/1/2023</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372" w:type="dxa"/>
            <w:tcBorders/>
            <w:shd w:fill="CFF0FC" w:val="clear"/>
            <w:vAlign w:val="center"/>
          </w:tcPr>
          <w:p>
            <w:pPr>
              <w:pStyle w:val="TableContents"/>
              <w:bidi w:val="0"/>
              <w:spacing w:before="0" w:after="283"/>
              <w:jc w:val="left"/>
              <w:rPr>
                <w:sz w:val="4"/>
                <w:szCs w:val="4"/>
              </w:rPr>
            </w:pPr>
            <w:r>
              <w:rPr>
                <w:sz w:val="4"/>
                <w:szCs w:val="4"/>
              </w:rPr>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13,673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13,682</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2"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Aldinger Company</w:t>
            </w:r>
          </w:p>
        </w:tc>
        <w:tc>
          <w:tcPr>
            <w:tcW w:w="145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(ae)</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+ 6.50%) / (2.00%)</w:t>
            </w:r>
          </w:p>
        </w:tc>
        <w:tc>
          <w:tcPr>
            <w:tcW w:w="66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11.89%/0.00%</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6/30/2023</w:t>
            </w:r>
          </w:p>
        </w:tc>
        <w:tc>
          <w:tcPr>
            <w:tcW w:w="6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6/29/2029</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13,683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13,780</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(7,883</w:t>
            </w:r>
            <w:r>
              <w:rPr>
                <w:rFonts w:ascii="Times New Roman" w:hAnsi="Times New Roman"/>
                <w:color w:val="000000"/>
                <w:sz w:val="20"/>
              </w:rPr>
              <w:t> </w:t>
            </w:r>
            <w:r>
              <w:rPr>
                <w:rFonts w:ascii="Times New Roman" w:hAnsi="Times New Roman"/>
                <w:color w:val="000000"/>
                <w:sz w:val="12"/>
              </w:rPr>
              <w:t>units)</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6/30/2023</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(7,883</w:t>
            </w:r>
            <w:r>
              <w:rPr>
                <w:rFonts w:ascii="Times New Roman" w:hAnsi="Times New Roman"/>
                <w:color w:val="000000"/>
                <w:sz w:val="20"/>
              </w:rPr>
              <w:t> </w:t>
            </w:r>
            <w:r>
              <w:rPr>
                <w:rFonts w:ascii="Times New Roman" w:hAnsi="Times New Roman"/>
                <w:color w:val="000000"/>
                <w:sz w:val="12"/>
              </w:rPr>
              <w:t>units)</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6/30/2023</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72" w:type="dxa"/>
            <w:tcBorders/>
            <w:shd w:fill="FFFFFF" w:val="clear"/>
            <w:vAlign w:val="center"/>
          </w:tcPr>
          <w:p>
            <w:pPr>
              <w:pStyle w:val="TableContents"/>
              <w:bidi w:val="0"/>
              <w:spacing w:before="0" w:after="283"/>
              <w:jc w:val="left"/>
              <w:rPr>
                <w:sz w:val="4"/>
                <w:szCs w:val="4"/>
              </w:rPr>
            </w:pPr>
            <w:r>
              <w:rPr>
                <w:sz w:val="4"/>
                <w:szCs w:val="4"/>
              </w:rPr>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14,773</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2"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Allredi, LLC (fka Marco Group International OpCo, LLC)</w:t>
            </w:r>
          </w:p>
        </w:tc>
        <w:tc>
          <w:tcPr>
            <w:tcW w:w="145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 Cleaning &amp; Coatings</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Second Lien Debt</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5.00%/10.00%</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3/2/2020</w:t>
            </w:r>
          </w:p>
        </w:tc>
        <w:tc>
          <w:tcPr>
            <w:tcW w:w="6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9,924</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(570,636</w:t>
            </w:r>
            <w:r>
              <w:rPr>
                <w:rFonts w:ascii="Times New Roman" w:hAnsi="Times New Roman"/>
                <w:color w:val="000000"/>
                <w:sz w:val="20"/>
              </w:rPr>
              <w:t> </w:t>
            </w:r>
            <w:r>
              <w:rPr>
                <w:rFonts w:ascii="Times New Roman" w:hAnsi="Times New Roman"/>
                <w:color w:val="000000"/>
                <w:sz w:val="12"/>
              </w:rPr>
              <w:t>units) (h)(j)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7/21/2017</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(39,443</w:t>
            </w:r>
            <w:r>
              <w:rPr>
                <w:rFonts w:ascii="Times New Roman" w:hAnsi="Times New Roman"/>
                <w:color w:val="000000"/>
                <w:sz w:val="20"/>
              </w:rPr>
              <w:t> </w:t>
            </w:r>
            <w:r>
              <w:rPr>
                <w:rFonts w:ascii="Times New Roman" w:hAnsi="Times New Roman"/>
                <w:color w:val="000000"/>
                <w:sz w:val="12"/>
              </w:rPr>
              <w:t>units) (h)(j)</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11/24/2021</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Common Equity (524,624units) (h)(j)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8/3/2023</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72" w:type="dxa"/>
            <w:tcBorders/>
            <w:shd w:fill="FFFFFF" w:val="clear"/>
            <w:vAlign w:val="center"/>
          </w:tcPr>
          <w:p>
            <w:pPr>
              <w:pStyle w:val="TableContents"/>
              <w:bidi w:val="0"/>
              <w:spacing w:before="0" w:after="283"/>
              <w:jc w:val="left"/>
              <w:rPr>
                <w:sz w:val="4"/>
                <w:szCs w:val="4"/>
              </w:rPr>
            </w:pPr>
            <w:r>
              <w:rPr>
                <w:sz w:val="4"/>
                <w:szCs w:val="4"/>
              </w:rPr>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12,066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10,192</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2"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American AllWaste LLC (dba WasteWater Transport Services)</w:t>
            </w:r>
          </w:p>
        </w:tc>
        <w:tc>
          <w:tcPr>
            <w:tcW w:w="145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Environmental Industries</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(j)(p)</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+ 6.50%) / (1.00%)</w:t>
            </w:r>
          </w:p>
        </w:tc>
        <w:tc>
          <w:tcPr>
            <w:tcW w:w="66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12.16%/0.00%</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6/28/2021</w:t>
            </w:r>
          </w:p>
        </w:tc>
        <w:tc>
          <w:tcPr>
            <w:tcW w:w="6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6/28/2026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21,008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19,634</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(j)(o)</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+ 4.00%) / (1.00%)</w:t>
            </w:r>
          </w:p>
        </w:tc>
        <w:tc>
          <w:tcPr>
            <w:tcW w:w="66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9.66%/0.00%</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6/28/2021</w:t>
            </w:r>
          </w:p>
        </w:tc>
        <w:tc>
          <w:tcPr>
            <w:tcW w:w="6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6/28/2026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304</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(500</w:t>
            </w:r>
            <w:r>
              <w:rPr>
                <w:rFonts w:ascii="Times New Roman" w:hAnsi="Times New Roman"/>
                <w:color w:val="000000"/>
                <w:sz w:val="20"/>
              </w:rPr>
              <w:t> </w:t>
            </w:r>
            <w:r>
              <w:rPr>
                <w:rFonts w:ascii="Times New Roman" w:hAnsi="Times New Roman"/>
                <w:color w:val="000000"/>
                <w:sz w:val="12"/>
              </w:rPr>
              <w:t>units) (h)(j)</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5/31/2018</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(207</w:t>
            </w:r>
            <w:r>
              <w:rPr>
                <w:rFonts w:ascii="Times New Roman" w:hAnsi="Times New Roman"/>
                <w:color w:val="000000"/>
                <w:sz w:val="20"/>
              </w:rPr>
              <w:t> </w:t>
            </w:r>
            <w:r>
              <w:rPr>
                <w:rFonts w:ascii="Times New Roman" w:hAnsi="Times New Roman"/>
                <w:color w:val="000000"/>
                <w:sz w:val="12"/>
              </w:rPr>
              <w:t>units) (h)(j)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8/6/2019</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(141</w:t>
            </w:r>
            <w:r>
              <w:rPr>
                <w:rFonts w:ascii="Times New Roman" w:hAnsi="Times New Roman"/>
                <w:color w:val="000000"/>
                <w:sz w:val="20"/>
              </w:rPr>
              <w:t> </w:t>
            </w:r>
            <w:r>
              <w:rPr>
                <w:rFonts w:ascii="Times New Roman" w:hAnsi="Times New Roman"/>
                <w:color w:val="000000"/>
                <w:sz w:val="12"/>
              </w:rPr>
              <w:t>units) (h)(j)</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11/2/2020</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(74</w:t>
            </w:r>
            <w:r>
              <w:rPr>
                <w:rFonts w:ascii="Times New Roman" w:hAnsi="Times New Roman"/>
                <w:color w:val="000000"/>
                <w:sz w:val="20"/>
              </w:rPr>
              <w:t> </w:t>
            </w:r>
            <w:r>
              <w:rPr>
                <w:rFonts w:ascii="Times New Roman" w:hAnsi="Times New Roman"/>
                <w:color w:val="000000"/>
                <w:sz w:val="12"/>
              </w:rPr>
              <w:t>units) (h)(j)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12/29/2021</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372" w:type="dxa"/>
            <w:tcBorders/>
            <w:shd w:fill="FFFFFF" w:val="clear"/>
            <w:vAlign w:val="center"/>
          </w:tcPr>
          <w:p>
            <w:pPr>
              <w:pStyle w:val="TableContents"/>
              <w:bidi w:val="0"/>
              <w:spacing w:before="0" w:after="283"/>
              <w:jc w:val="left"/>
              <w:rPr>
                <w:sz w:val="4"/>
                <w:szCs w:val="4"/>
              </w:rPr>
            </w:pPr>
            <w:r>
              <w:rPr>
                <w:sz w:val="4"/>
                <w:szCs w:val="4"/>
              </w:rPr>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22,356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19,938</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72"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AmeriWater, LLC</w:t>
            </w:r>
          </w:p>
        </w:tc>
        <w:tc>
          <w:tcPr>
            <w:tcW w:w="145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(af)</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66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11.60%/0.00%</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7/8/2022</w:t>
            </w:r>
          </w:p>
        </w:tc>
        <w:tc>
          <w:tcPr>
            <w:tcW w:w="6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7/8/2027</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7,613</w:t>
            </w:r>
          </w:p>
        </w:tc>
        <w:tc>
          <w:tcPr>
            <w:tcW w:w="146" w:type="dxa"/>
            <w:tcBorders/>
            <w:shd w:fill="FFFFFF" w:val="cle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37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58"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7.00%/7.00%</w:t>
            </w:r>
          </w:p>
        </w:tc>
        <w:tc>
          <w:tcPr>
            <w:tcW w:w="69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7/8/2022</w:t>
            </w:r>
          </w:p>
        </w:tc>
        <w:tc>
          <w:tcPr>
            <w:tcW w:w="6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1/8/2028</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2,220</w:t>
            </w:r>
          </w:p>
        </w:tc>
        <w:tc>
          <w:tcPr>
            <w:tcW w:w="146" w:type="dxa"/>
            <w:tcBorders/>
            <w:shd w:fill="CFF0FC" w:val="clear"/>
            <w:vAlign w:val="center"/>
          </w:tcPr>
          <w:p>
            <w:pPr>
              <w:pStyle w:val="TableContents"/>
              <w:bidi w:val="0"/>
              <w:spacing w:before="0" w:after="283"/>
              <w:jc w:val="left"/>
              <w:rPr/>
            </w:pPr>
            <w:r>
              <w:rPr/>
              <w:t> </w:t>
            </w:r>
          </w:p>
        </w:tc>
        <w:tc>
          <w:tcPr>
            <w:tcW w:w="598"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372"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(1,000</w:t>
            </w:r>
            <w:r>
              <w:rPr>
                <w:rFonts w:ascii="Times New Roman" w:hAnsi="Times New Roman"/>
                <w:color w:val="000000"/>
                <w:sz w:val="20"/>
              </w:rPr>
              <w:t> </w:t>
            </w:r>
            <w:r>
              <w:rPr>
                <w:rFonts w:ascii="Times New Roman" w:hAnsi="Times New Roman"/>
                <w:color w:val="000000"/>
                <w:sz w:val="12"/>
              </w:rPr>
              <w:t>units) (h)(j)</w:t>
            </w:r>
          </w:p>
        </w:tc>
        <w:tc>
          <w:tcPr>
            <w:tcW w:w="14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7/8/2022</w:t>
            </w:r>
          </w:p>
        </w:tc>
        <w:tc>
          <w:tcPr>
            <w:tcW w:w="618"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95"/>
        <w:gridCol w:w="1555"/>
        <w:gridCol w:w="949"/>
        <w:gridCol w:w="697"/>
        <w:gridCol w:w="534"/>
        <w:gridCol w:w="534"/>
        <w:gridCol w:w="146"/>
        <w:gridCol w:w="436"/>
        <w:gridCol w:w="146"/>
        <w:gridCol w:w="146"/>
        <w:gridCol w:w="146"/>
        <w:gridCol w:w="436"/>
        <w:gridCol w:w="146"/>
        <w:gridCol w:w="146"/>
        <w:gridCol w:w="146"/>
        <w:gridCol w:w="436"/>
        <w:gridCol w:w="146"/>
        <w:gridCol w:w="146"/>
        <w:gridCol w:w="166"/>
        <w:gridCol w:w="353"/>
      </w:tblGrid>
      <w:tr>
        <w:trPr/>
        <w:tc>
          <w:tcPr>
            <w:tcW w:w="279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CFF0FC" w:val="clear"/>
            <w:vAlign w:val="center"/>
          </w:tcPr>
          <w:p>
            <w:pPr>
              <w:pStyle w:val="TableContents"/>
              <w:bidi w:val="0"/>
              <w:spacing w:before="0" w:after="283"/>
              <w:jc w:val="left"/>
              <w:rPr>
                <w:sz w:val="4"/>
                <w:szCs w:val="4"/>
              </w:rPr>
            </w:pPr>
            <w:r>
              <w:rPr>
                <w:sz w:val="4"/>
                <w:szCs w:val="4"/>
              </w:rPr>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10,793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11,036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AOM Intermediate Holdco, LLC (dba AllOver Media)</w:t>
            </w:r>
          </w:p>
        </w:tc>
        <w:tc>
          <w:tcPr>
            <w:tcW w:w="15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(1,232</w:t>
            </w:r>
            <w:r>
              <w:rPr>
                <w:rFonts w:ascii="Times New Roman" w:hAnsi="Times New Roman"/>
                <w:color w:val="000000"/>
                <w:sz w:val="20"/>
              </w:rPr>
              <w:t> </w:t>
            </w:r>
            <w:r>
              <w:rPr>
                <w:rFonts w:ascii="Times New Roman" w:hAnsi="Times New Roman"/>
                <w:color w:val="000000"/>
                <w:sz w:val="12"/>
              </w:rPr>
              <w:t>units) (h)(j)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2/1/2022</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FFFFFF" w:val="clear"/>
            <w:vAlign w:val="center"/>
          </w:tcPr>
          <w:p>
            <w:pPr>
              <w:pStyle w:val="TableContents"/>
              <w:bidi w:val="0"/>
              <w:spacing w:before="0" w:after="283"/>
              <w:jc w:val="left"/>
              <w:rPr>
                <w:sz w:val="4"/>
                <w:szCs w:val="4"/>
              </w:rPr>
            </w:pPr>
            <w:r>
              <w:rPr>
                <w:sz w:val="4"/>
                <w:szCs w:val="4"/>
              </w:rPr>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r>
      <w:tr>
        <w:trPr/>
        <w:tc>
          <w:tcPr>
            <w:tcW w:w="2795"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APM Intermediate Holdings, LLC (dba Artistic Paver Manufacturing, Inc.)</w:t>
            </w:r>
          </w:p>
        </w:tc>
        <w:tc>
          <w:tcPr>
            <w:tcW w:w="15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 Manufacturing</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(ai)</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(2.00%)</w:t>
            </w:r>
          </w:p>
        </w:tc>
        <w:tc>
          <w:tcPr>
            <w:tcW w:w="69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12.39%/0.00%</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11/8/2022</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18,047</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(1,200</w:t>
            </w:r>
            <w:r>
              <w:rPr>
                <w:rFonts w:ascii="Times New Roman" w:hAnsi="Times New Roman"/>
                <w:color w:val="000000"/>
                <w:sz w:val="20"/>
              </w:rPr>
              <w:t> </w:t>
            </w:r>
            <w:r>
              <w:rPr>
                <w:rFonts w:ascii="Times New Roman" w:hAnsi="Times New Roman"/>
                <w:color w:val="000000"/>
                <w:sz w:val="12"/>
              </w:rPr>
              <w:t>units) (h)(j)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11/8/2022</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Applied Data Corporation</w:t>
            </w:r>
          </w:p>
        </w:tc>
        <w:tc>
          <w:tcPr>
            <w:tcW w:w="15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(k)(v)</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(1.50%)</w:t>
            </w:r>
          </w:p>
        </w:tc>
        <w:tc>
          <w:tcPr>
            <w:tcW w:w="69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11.84%/0.00%</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11/6/2020</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11/6/2025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21,505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(24</w:t>
            </w:r>
            <w:r>
              <w:rPr>
                <w:rFonts w:ascii="Times New Roman" w:hAnsi="Times New Roman"/>
                <w:color w:val="000000"/>
                <w:sz w:val="20"/>
              </w:rPr>
              <w:t> </w:t>
            </w:r>
            <w:r>
              <w:rPr>
                <w:rFonts w:ascii="Times New Roman" w:hAnsi="Times New Roman"/>
                <w:color w:val="000000"/>
                <w:sz w:val="12"/>
              </w:rPr>
              <w:t>units)</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11/6/2020</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(1,184,711</w:t>
            </w:r>
            <w:r>
              <w:rPr>
                <w:rFonts w:ascii="Times New Roman" w:hAnsi="Times New Roman"/>
                <w:color w:val="000000"/>
                <w:sz w:val="20"/>
              </w:rPr>
              <w:t> </w:t>
            </w:r>
            <w:r>
              <w:rPr>
                <w:rFonts w:ascii="Times New Roman" w:hAnsi="Times New Roman"/>
                <w:color w:val="000000"/>
                <w:sz w:val="12"/>
              </w:rPr>
              <w:t>units)</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11/6/2020</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r>
      <w:tr>
        <w:trPr/>
        <w:tc>
          <w:tcPr>
            <w:tcW w:w="2795" w:type="dxa"/>
            <w:tcBorders/>
            <w:shd w:fill="CFF0FC" w:val="clear"/>
            <w:vAlign w:val="center"/>
          </w:tcPr>
          <w:p>
            <w:pPr>
              <w:pStyle w:val="TableContents"/>
              <w:bidi w:val="0"/>
              <w:spacing w:before="0" w:after="283"/>
              <w:jc w:val="left"/>
              <w:rPr>
                <w:sz w:val="4"/>
                <w:szCs w:val="4"/>
              </w:rPr>
            </w:pPr>
            <w:r>
              <w:rPr>
                <w:sz w:val="4"/>
                <w:szCs w:val="4"/>
              </w:rPr>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Auto CRM LLC (dba Dealer Holdings)</w:t>
            </w:r>
          </w:p>
        </w:tc>
        <w:tc>
          <w:tcPr>
            <w:tcW w:w="15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(am)</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 + 5.50%) / (3.25%)</w:t>
            </w:r>
          </w:p>
        </w:tc>
        <w:tc>
          <w:tcPr>
            <w:tcW w:w="69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14.00%/0.85%</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10/1/2021</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7,647</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0.00%/14.50%</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10/1/2021</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677</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(500</w:t>
            </w:r>
            <w:r>
              <w:rPr>
                <w:rFonts w:ascii="Times New Roman" w:hAnsi="Times New Roman"/>
                <w:color w:val="000000"/>
                <w:sz w:val="20"/>
              </w:rPr>
              <w:t> </w:t>
            </w:r>
            <w:r>
              <w:rPr>
                <w:rFonts w:ascii="Times New Roman" w:hAnsi="Times New Roman"/>
                <w:color w:val="000000"/>
                <w:sz w:val="12"/>
              </w:rPr>
              <w:t>units) (j)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10/1/2021</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sz w:val="4"/>
                <w:szCs w:val="4"/>
              </w:rPr>
            </w:pPr>
            <w:r>
              <w:rPr>
                <w:sz w:val="4"/>
                <w:szCs w:val="4"/>
              </w:rPr>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Bad Boy Mowers JV Acquisition, LLC</w:t>
            </w:r>
          </w:p>
        </w:tc>
        <w:tc>
          <w:tcPr>
            <w:tcW w:w="15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Products</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 (k)</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9.00%/4.50%</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11/9/2023</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11/9/2030</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13,007</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(13,000</w:t>
            </w:r>
            <w:r>
              <w:rPr>
                <w:rFonts w:ascii="Times New Roman" w:hAnsi="Times New Roman"/>
                <w:color w:val="000000"/>
                <w:sz w:val="20"/>
              </w:rPr>
              <w:t> </w:t>
            </w:r>
            <w:r>
              <w:rPr>
                <w:rFonts w:ascii="Times New Roman" w:hAnsi="Times New Roman"/>
                <w:color w:val="000000"/>
                <w:sz w:val="12"/>
              </w:rPr>
              <w:t>units) (j)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11/9/2023</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Barefoot Mosquito and Pest Control, LLC</w:t>
            </w:r>
          </w:p>
        </w:tc>
        <w:tc>
          <w:tcPr>
            <w:tcW w:w="15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Services</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(k)</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(2.00%)</w:t>
            </w:r>
          </w:p>
        </w:tc>
        <w:tc>
          <w:tcPr>
            <w:tcW w:w="69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12.37%/0.00%</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12/22/2023</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28,822</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Revolving Loan ($1,500</w:t>
            </w:r>
            <w:r>
              <w:rPr>
                <w:rFonts w:ascii="Times New Roman" w:hAnsi="Times New Roman"/>
                <w:color w:val="000000"/>
                <w:sz w:val="20"/>
              </w:rPr>
              <w:t> </w:t>
            </w:r>
            <w:r>
              <w:rPr>
                <w:rFonts w:ascii="Times New Roman" w:hAnsi="Times New Roman"/>
                <w:color w:val="000000"/>
                <w:sz w:val="12"/>
              </w:rPr>
              <w:t>unfunded commitment) (i)(j)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(2.00%)</w:t>
            </w:r>
          </w:p>
        </w:tc>
        <w:tc>
          <w:tcPr>
            <w:tcW w:w="69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12.37%/0.00%</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12/22/2023</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(3,974</w:t>
            </w:r>
            <w:r>
              <w:rPr>
                <w:rFonts w:ascii="Times New Roman" w:hAnsi="Times New Roman"/>
                <w:color w:val="000000"/>
                <w:sz w:val="20"/>
              </w:rPr>
              <w:t> </w:t>
            </w:r>
            <w:r>
              <w:rPr>
                <w:rFonts w:ascii="Times New Roman" w:hAnsi="Times New Roman"/>
                <w:color w:val="000000"/>
                <w:sz w:val="12"/>
              </w:rPr>
              <w:t>units) (h)(j)</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12/22/2023</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(15,000</w:t>
            </w:r>
            <w:r>
              <w:rPr>
                <w:rFonts w:ascii="Times New Roman" w:hAnsi="Times New Roman"/>
                <w:color w:val="000000"/>
                <w:sz w:val="20"/>
              </w:rPr>
              <w:t> </w:t>
            </w:r>
            <w:r>
              <w:rPr>
                <w:rFonts w:ascii="Times New Roman" w:hAnsi="Times New Roman"/>
                <w:color w:val="000000"/>
                <w:sz w:val="12"/>
              </w:rPr>
              <w:t>units) (h)(j)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12/22/2023</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sz w:val="4"/>
                <w:szCs w:val="4"/>
              </w:rPr>
            </w:pPr>
            <w:r>
              <w:rPr>
                <w:sz w:val="4"/>
                <w:szCs w:val="4"/>
              </w:rPr>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3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BCM One Group Holdings, Inc.</w:t>
            </w:r>
          </w:p>
        </w:tc>
        <w:tc>
          <w:tcPr>
            <w:tcW w:w="15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 (j)</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11.75%/0.00%</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11/17/2021</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11/17/2028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CFF0FC" w:val="clear"/>
            <w:vAlign w:val="center"/>
          </w:tcPr>
          <w:p>
            <w:pPr>
              <w:pStyle w:val="TableContents"/>
              <w:bidi w:val="0"/>
              <w:spacing w:before="0" w:after="283"/>
              <w:jc w:val="left"/>
              <w:rPr>
                <w:sz w:val="4"/>
                <w:szCs w:val="4"/>
              </w:rPr>
            </w:pPr>
            <w:r>
              <w:rPr>
                <w:sz w:val="4"/>
                <w:szCs w:val="4"/>
              </w:rPr>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Bedford Precision Parts LLC</w:t>
            </w:r>
          </w:p>
        </w:tc>
        <w:tc>
          <w:tcPr>
            <w:tcW w:w="15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(500,000</w:t>
            </w:r>
            <w:r>
              <w:rPr>
                <w:rFonts w:ascii="Times New Roman" w:hAnsi="Times New Roman"/>
                <w:color w:val="000000"/>
                <w:sz w:val="20"/>
              </w:rPr>
              <w:t> </w:t>
            </w:r>
            <w:r>
              <w:rPr>
                <w:rFonts w:ascii="Times New Roman" w:hAnsi="Times New Roman"/>
                <w:color w:val="000000"/>
                <w:sz w:val="12"/>
              </w:rPr>
              <w:t>units) (h)(j)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3/12/2019</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FFFFFF" w:val="clear"/>
            <w:vAlign w:val="center"/>
          </w:tcPr>
          <w:p>
            <w:pPr>
              <w:pStyle w:val="TableContents"/>
              <w:bidi w:val="0"/>
              <w:spacing w:before="0" w:after="283"/>
              <w:jc w:val="left"/>
              <w:rPr>
                <w:sz w:val="4"/>
                <w:szCs w:val="4"/>
              </w:rPr>
            </w:pPr>
            <w:r>
              <w:rPr>
                <w:sz w:val="4"/>
                <w:szCs w:val="4"/>
              </w:rPr>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r>
      <w:tr>
        <w:trPr/>
        <w:tc>
          <w:tcPr>
            <w:tcW w:w="2795"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BP Thrift Buyer, LLC (dba myUnique and Ecothrift)</w:t>
            </w:r>
          </w:p>
        </w:tc>
        <w:tc>
          <w:tcPr>
            <w:tcW w:w="15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Retail</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(j)(al)</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(1.50%)</w:t>
            </w:r>
          </w:p>
        </w:tc>
        <w:tc>
          <w:tcPr>
            <w:tcW w:w="69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11.14%/0.00%</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9/13/2022</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9/13/2027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(1.50%)</w:t>
            </w:r>
          </w:p>
        </w:tc>
        <w:tc>
          <w:tcPr>
            <w:tcW w:w="69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8.89%/0.00%</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5/12/2023</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9/13/2027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1,911</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(1,000</w:t>
            </w:r>
            <w:r>
              <w:rPr>
                <w:rFonts w:ascii="Times New Roman" w:hAnsi="Times New Roman"/>
                <w:color w:val="000000"/>
                <w:sz w:val="20"/>
              </w:rPr>
              <w:t> </w:t>
            </w:r>
            <w:r>
              <w:rPr>
                <w:rFonts w:ascii="Times New Roman" w:hAnsi="Times New Roman"/>
                <w:color w:val="000000"/>
                <w:sz w:val="12"/>
              </w:rPr>
              <w:t>units) (j)</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9/13/2022</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r>
      <w:tr>
        <w:trPr/>
        <w:tc>
          <w:tcPr>
            <w:tcW w:w="2795" w:type="dxa"/>
            <w:tcBorders/>
            <w:shd w:fill="CFF0FC" w:val="clear"/>
            <w:vAlign w:val="center"/>
          </w:tcPr>
          <w:p>
            <w:pPr>
              <w:pStyle w:val="TableContents"/>
              <w:bidi w:val="0"/>
              <w:spacing w:before="0" w:after="283"/>
              <w:jc w:val="left"/>
              <w:rPr>
                <w:sz w:val="4"/>
                <w:szCs w:val="4"/>
              </w:rPr>
            </w:pPr>
            <w:r>
              <w:rPr>
                <w:sz w:val="4"/>
                <w:szCs w:val="4"/>
              </w:rPr>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BurgerFi International, LLC (dba BurgerFi) (ad)</w:t>
            </w:r>
          </w:p>
        </w:tc>
        <w:tc>
          <w:tcPr>
            <w:tcW w:w="15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Restaurants</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(14,201</w:t>
            </w:r>
            <w:r>
              <w:rPr>
                <w:rFonts w:ascii="Times New Roman" w:hAnsi="Times New Roman"/>
                <w:color w:val="000000"/>
                <w:sz w:val="20"/>
              </w:rPr>
              <w:t> </w:t>
            </w:r>
            <w:r>
              <w:rPr>
                <w:rFonts w:ascii="Times New Roman" w:hAnsi="Times New Roman"/>
                <w:color w:val="000000"/>
                <w:sz w:val="12"/>
              </w:rPr>
              <w:t>units) (j)(ao)</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11/3/2022</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(9,787</w:t>
            </w:r>
            <w:r>
              <w:rPr>
                <w:rFonts w:ascii="Times New Roman" w:hAnsi="Times New Roman"/>
                <w:color w:val="000000"/>
                <w:sz w:val="20"/>
              </w:rPr>
              <w:t> </w:t>
            </w:r>
            <w:r>
              <w:rPr>
                <w:rFonts w:ascii="Times New Roman" w:hAnsi="Times New Roman"/>
                <w:color w:val="000000"/>
                <w:sz w:val="12"/>
              </w:rPr>
              <w:t>units) (j)(ao)</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11/3/2022</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r>
      <w:tr>
        <w:trPr/>
        <w:tc>
          <w:tcPr>
            <w:tcW w:w="2795" w:type="dxa"/>
            <w:tcBorders/>
            <w:shd w:fill="CFF0FC" w:val="clear"/>
            <w:vAlign w:val="center"/>
          </w:tcPr>
          <w:p>
            <w:pPr>
              <w:pStyle w:val="TableContents"/>
              <w:bidi w:val="0"/>
              <w:spacing w:before="0" w:after="283"/>
              <w:jc w:val="left"/>
              <w:rPr>
                <w:sz w:val="4"/>
                <w:szCs w:val="4"/>
              </w:rPr>
            </w:pPr>
            <w:r>
              <w:rPr>
                <w:sz w:val="4"/>
                <w:szCs w:val="4"/>
              </w:rPr>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Cardback Intermediate, LLC (dba Chargeback Gurus)</w:t>
            </w:r>
          </w:p>
        </w:tc>
        <w:tc>
          <w:tcPr>
            <w:tcW w:w="15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(j)(ah)</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+ 6.50%) / (0.75%)</w:t>
            </w:r>
          </w:p>
        </w:tc>
        <w:tc>
          <w:tcPr>
            <w:tcW w:w="69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12.16%/0.00%</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8/10/2021</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11,734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(495</w:t>
            </w:r>
            <w:r>
              <w:rPr>
                <w:rFonts w:ascii="Times New Roman" w:hAnsi="Times New Roman"/>
                <w:color w:val="000000"/>
                <w:sz w:val="20"/>
              </w:rPr>
              <w:t> </w:t>
            </w:r>
            <w:r>
              <w:rPr>
                <w:rFonts w:ascii="Times New Roman" w:hAnsi="Times New Roman"/>
                <w:color w:val="000000"/>
                <w:sz w:val="12"/>
              </w:rPr>
              <w:t>shares) (j)</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8/10/2021</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(495</w:t>
            </w:r>
            <w:r>
              <w:rPr>
                <w:rFonts w:ascii="Times New Roman" w:hAnsi="Times New Roman"/>
                <w:color w:val="000000"/>
                <w:sz w:val="20"/>
              </w:rPr>
              <w:t> </w:t>
            </w:r>
            <w:r>
              <w:rPr>
                <w:rFonts w:ascii="Times New Roman" w:hAnsi="Times New Roman"/>
                <w:color w:val="000000"/>
                <w:sz w:val="12"/>
              </w:rPr>
              <w:t>shares) (j)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8/10/2021</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sz w:val="4"/>
                <w:szCs w:val="4"/>
              </w:rPr>
            </w:pPr>
            <w:r>
              <w:rPr>
                <w:sz w:val="4"/>
                <w:szCs w:val="4"/>
              </w:rPr>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Choice Technology Solutions, LLC (dba Choice Merchant Solutions, LLC)</w:t>
            </w:r>
          </w:p>
        </w:tc>
        <w:tc>
          <w:tcPr>
            <w:tcW w:w="15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+ 7.25%) / (1.00%)</w:t>
            </w:r>
          </w:p>
        </w:tc>
        <w:tc>
          <w:tcPr>
            <w:tcW w:w="69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12.89%/0.00%</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4/1/2022</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8,500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Revolving Loan ($1,000</w:t>
            </w:r>
            <w:r>
              <w:rPr>
                <w:rFonts w:ascii="Times New Roman" w:hAnsi="Times New Roman"/>
                <w:color w:val="000000"/>
                <w:sz w:val="20"/>
              </w:rPr>
              <w:t> </w:t>
            </w:r>
            <w:r>
              <w:rPr>
                <w:rFonts w:ascii="Times New Roman" w:hAnsi="Times New Roman"/>
                <w:color w:val="000000"/>
                <w:sz w:val="12"/>
              </w:rPr>
              <w:t>unfunded commitment) (i)(j)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69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11.89%/0.00%</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4/1/2022</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(500,000</w:t>
            </w:r>
            <w:r>
              <w:rPr>
                <w:rFonts w:ascii="Times New Roman" w:hAnsi="Times New Roman"/>
                <w:color w:val="000000"/>
                <w:sz w:val="20"/>
              </w:rPr>
              <w:t> </w:t>
            </w:r>
            <w:r>
              <w:rPr>
                <w:rFonts w:ascii="Times New Roman" w:hAnsi="Times New Roman"/>
                <w:color w:val="000000"/>
                <w:sz w:val="12"/>
              </w:rPr>
              <w:t>units) (h)(j)</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8/21/2023</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r>
      <w:tr>
        <w:trPr/>
        <w:tc>
          <w:tcPr>
            <w:tcW w:w="2795" w:type="dxa"/>
            <w:tcBorders/>
            <w:shd w:fill="CFF0FC" w:val="clear"/>
            <w:vAlign w:val="center"/>
          </w:tcPr>
          <w:p>
            <w:pPr>
              <w:pStyle w:val="TableContents"/>
              <w:bidi w:val="0"/>
              <w:spacing w:before="0" w:after="283"/>
              <w:jc w:val="left"/>
              <w:rPr>
                <w:sz w:val="4"/>
                <w:szCs w:val="4"/>
              </w:rPr>
            </w:pPr>
            <w:r>
              <w:rPr>
                <w:sz w:val="4"/>
                <w:szCs w:val="4"/>
              </w:rPr>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CIH Intermediate, LLC</w:t>
            </w:r>
          </w:p>
        </w:tc>
        <w:tc>
          <w:tcPr>
            <w:tcW w:w="15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 (k)</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10.00%/1.00%</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3/3/2022</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13,891</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(563</w:t>
            </w:r>
            <w:r>
              <w:rPr>
                <w:rFonts w:ascii="Times New Roman" w:hAnsi="Times New Roman"/>
                <w:color w:val="000000"/>
                <w:sz w:val="20"/>
              </w:rPr>
              <w:t> </w:t>
            </w:r>
            <w:r>
              <w:rPr>
                <w:rFonts w:ascii="Times New Roman" w:hAnsi="Times New Roman"/>
                <w:color w:val="000000"/>
                <w:sz w:val="12"/>
              </w:rPr>
              <w:t>shares) (j)</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3/3/2022</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1,396</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(563</w:t>
            </w:r>
            <w:r>
              <w:rPr>
                <w:rFonts w:ascii="Times New Roman" w:hAnsi="Times New Roman"/>
                <w:color w:val="000000"/>
                <w:sz w:val="20"/>
              </w:rPr>
              <w:t> </w:t>
            </w:r>
            <w:r>
              <w:rPr>
                <w:rFonts w:ascii="Times New Roman" w:hAnsi="Times New Roman"/>
                <w:color w:val="000000"/>
                <w:sz w:val="12"/>
              </w:rPr>
              <w:t>shares) (j)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3/3/2022</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sz w:val="4"/>
                <w:szCs w:val="4"/>
              </w:rPr>
            </w:pPr>
            <w:r>
              <w:rPr>
                <w:sz w:val="4"/>
                <w:szCs w:val="4"/>
              </w:rPr>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Comply365, LLC</w:t>
            </w:r>
          </w:p>
        </w:tc>
        <w:tc>
          <w:tcPr>
            <w:tcW w:w="15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 Manufacturing</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(868,922</w:t>
            </w:r>
            <w:r>
              <w:rPr>
                <w:rFonts w:ascii="Times New Roman" w:hAnsi="Times New Roman"/>
                <w:color w:val="000000"/>
                <w:sz w:val="20"/>
              </w:rPr>
              <w:t> </w:t>
            </w:r>
            <w:r>
              <w:rPr>
                <w:rFonts w:ascii="Times New Roman" w:hAnsi="Times New Roman"/>
                <w:color w:val="000000"/>
                <w:sz w:val="12"/>
              </w:rPr>
              <w:t>units)</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12/22/2023</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CFF0FC" w:val="clear"/>
            <w:vAlign w:val="center"/>
          </w:tcPr>
          <w:p>
            <w:pPr>
              <w:pStyle w:val="TableContents"/>
              <w:bidi w:val="0"/>
              <w:spacing w:before="0" w:after="283"/>
              <w:jc w:val="left"/>
              <w:rPr>
                <w:sz w:val="4"/>
                <w:szCs w:val="4"/>
              </w:rPr>
            </w:pPr>
            <w:r>
              <w:rPr>
                <w:sz w:val="4"/>
                <w:szCs w:val="4"/>
              </w:rPr>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CRS Solutions Holdings, LLC (dba CRS Texas)</w:t>
            </w:r>
          </w:p>
        </w:tc>
        <w:tc>
          <w:tcPr>
            <w:tcW w:w="15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(574,929</w:t>
            </w:r>
            <w:r>
              <w:rPr>
                <w:rFonts w:ascii="Times New Roman" w:hAnsi="Times New Roman"/>
                <w:color w:val="000000"/>
                <w:sz w:val="20"/>
              </w:rPr>
              <w:t> </w:t>
            </w:r>
            <w:r>
              <w:rPr>
                <w:rFonts w:ascii="Times New Roman" w:hAnsi="Times New Roman"/>
                <w:color w:val="000000"/>
                <w:sz w:val="12"/>
              </w:rPr>
              <w:t>units) (h)(j)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6/28/2022</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FFFFFF" w:val="clear"/>
            <w:vAlign w:val="center"/>
          </w:tcPr>
          <w:p>
            <w:pPr>
              <w:pStyle w:val="TableContents"/>
              <w:bidi w:val="0"/>
              <w:spacing w:before="0" w:after="283"/>
              <w:jc w:val="left"/>
              <w:rPr>
                <w:sz w:val="4"/>
                <w:szCs w:val="4"/>
              </w:rPr>
            </w:pPr>
            <w:r>
              <w:rPr>
                <w:sz w:val="4"/>
                <w:szCs w:val="4"/>
              </w:rPr>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r>
      <w:tr>
        <w:trPr/>
        <w:tc>
          <w:tcPr>
            <w:tcW w:w="2795"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CTM Group, Inc.</w:t>
            </w:r>
          </w:p>
        </w:tc>
        <w:tc>
          <w:tcPr>
            <w:tcW w:w="15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+ 6.75%) / (1.00%)</w:t>
            </w:r>
          </w:p>
        </w:tc>
        <w:tc>
          <w:tcPr>
            <w:tcW w:w="69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12.29%/0.00%</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11/30/2026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7,940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11.50%/2.00%</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11/30/2027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(400,000</w:t>
            </w:r>
            <w:r>
              <w:rPr>
                <w:rFonts w:ascii="Times New Roman" w:hAnsi="Times New Roman"/>
                <w:color w:val="000000"/>
                <w:sz w:val="20"/>
              </w:rPr>
              <w:t> </w:t>
            </w:r>
            <w:r>
              <w:rPr>
                <w:rFonts w:ascii="Times New Roman" w:hAnsi="Times New Roman"/>
                <w:color w:val="000000"/>
                <w:sz w:val="12"/>
              </w:rPr>
              <w:t>units)</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r>
      <w:tr>
        <w:trPr/>
        <w:tc>
          <w:tcPr>
            <w:tcW w:w="2795" w:type="dxa"/>
            <w:tcBorders/>
            <w:shd w:fill="CFF0FC" w:val="clear"/>
            <w:vAlign w:val="center"/>
          </w:tcPr>
          <w:p>
            <w:pPr>
              <w:pStyle w:val="TableContents"/>
              <w:bidi w:val="0"/>
              <w:spacing w:before="0" w:after="283"/>
              <w:jc w:val="left"/>
              <w:rPr>
                <w:sz w:val="4"/>
                <w:szCs w:val="4"/>
              </w:rPr>
            </w:pPr>
            <w:r>
              <w:rPr>
                <w:sz w:val="4"/>
                <w:szCs w:val="4"/>
              </w:rPr>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Dataguise, Inc.</w:t>
            </w:r>
          </w:p>
        </w:tc>
        <w:tc>
          <w:tcPr>
            <w:tcW w:w="15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 (j)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11.00%/2.00%</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11/23/2027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21,875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(909</w:t>
            </w:r>
            <w:r>
              <w:rPr>
                <w:rFonts w:ascii="Times New Roman" w:hAnsi="Times New Roman"/>
                <w:color w:val="000000"/>
                <w:sz w:val="20"/>
              </w:rPr>
              <w:t> </w:t>
            </w:r>
            <w:r>
              <w:rPr>
                <w:rFonts w:ascii="Times New Roman" w:hAnsi="Times New Roman"/>
                <w:color w:val="000000"/>
                <w:sz w:val="12"/>
              </w:rPr>
              <w:t>shares) (j)</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12/31/2020</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r>
      <w:tr>
        <w:trPr/>
        <w:tc>
          <w:tcPr>
            <w:tcW w:w="2795" w:type="dxa"/>
            <w:tcBorders/>
            <w:shd w:fill="CFF0FC" w:val="clear"/>
            <w:vAlign w:val="center"/>
          </w:tcPr>
          <w:p>
            <w:pPr>
              <w:pStyle w:val="TableContents"/>
              <w:bidi w:val="0"/>
              <w:spacing w:before="0" w:after="283"/>
              <w:jc w:val="left"/>
              <w:rPr>
                <w:sz w:val="4"/>
                <w:szCs w:val="4"/>
              </w:rPr>
            </w:pPr>
            <w:r>
              <w:rPr>
                <w:sz w:val="4"/>
                <w:szCs w:val="4"/>
              </w:rPr>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Dealerbuilt Acquisition, LLC</w:t>
            </w:r>
          </w:p>
        </w:tc>
        <w:tc>
          <w:tcPr>
            <w:tcW w:w="15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(ac)</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(4.00%)</w:t>
            </w:r>
          </w:p>
        </w:tc>
        <w:tc>
          <w:tcPr>
            <w:tcW w:w="69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11.15%/1.00%</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13,048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 (j)</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7.50%/7.50%</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5,145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(1,000</w:t>
            </w:r>
            <w:r>
              <w:rPr>
                <w:rFonts w:ascii="Times New Roman" w:hAnsi="Times New Roman"/>
                <w:color w:val="000000"/>
                <w:sz w:val="20"/>
              </w:rPr>
              <w:t> </w:t>
            </w:r>
            <w:r>
              <w:rPr>
                <w:rFonts w:ascii="Times New Roman" w:hAnsi="Times New Roman"/>
                <w:color w:val="000000"/>
                <w:sz w:val="12"/>
              </w:rPr>
              <w:t>Units) (h)(j)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(1,000</w:t>
            </w:r>
            <w:r>
              <w:rPr>
                <w:rFonts w:ascii="Times New Roman" w:hAnsi="Times New Roman"/>
                <w:color w:val="000000"/>
                <w:sz w:val="20"/>
              </w:rPr>
              <w:t> </w:t>
            </w:r>
            <w:r>
              <w:rPr>
                <w:rFonts w:ascii="Times New Roman" w:hAnsi="Times New Roman"/>
                <w:color w:val="000000"/>
                <w:sz w:val="12"/>
              </w:rPr>
              <w:t>Units) (h)(j)</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r>
      <w:tr>
        <w:trPr/>
        <w:tc>
          <w:tcPr>
            <w:tcW w:w="2795" w:type="dxa"/>
            <w:tcBorders/>
            <w:shd w:fill="CFF0FC" w:val="clear"/>
            <w:vAlign w:val="center"/>
          </w:tcPr>
          <w:p>
            <w:pPr>
              <w:pStyle w:val="TableContents"/>
              <w:bidi w:val="0"/>
              <w:spacing w:before="0" w:after="283"/>
              <w:jc w:val="left"/>
              <w:rPr>
                <w:sz w:val="4"/>
                <w:szCs w:val="4"/>
              </w:rPr>
            </w:pPr>
            <w:r>
              <w:rPr>
                <w:sz w:val="4"/>
                <w:szCs w:val="4"/>
              </w:rPr>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Detechtion Holdings, LLC</w:t>
            </w:r>
          </w:p>
        </w:tc>
        <w:tc>
          <w:tcPr>
            <w:tcW w:w="15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(k)</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(2.25%)</w:t>
            </w:r>
          </w:p>
        </w:tc>
        <w:tc>
          <w:tcPr>
            <w:tcW w:w="69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11.14%/2.00%</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6/21/2023</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17,689</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 (j)</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0.00%/14.00%</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6/21/2023</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2,154</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(500,000</w:t>
            </w:r>
            <w:r>
              <w:rPr>
                <w:rFonts w:ascii="Times New Roman" w:hAnsi="Times New Roman"/>
                <w:color w:val="000000"/>
                <w:sz w:val="20"/>
              </w:rPr>
              <w:t> </w:t>
            </w:r>
            <w:r>
              <w:rPr>
                <w:rFonts w:ascii="Times New Roman" w:hAnsi="Times New Roman"/>
                <w:color w:val="000000"/>
                <w:sz w:val="12"/>
              </w:rPr>
              <w:t>units) (h)(j)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6/21/2023</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sz w:val="4"/>
                <w:szCs w:val="4"/>
              </w:rPr>
            </w:pPr>
            <w:r>
              <w:rPr>
                <w:sz w:val="4"/>
                <w:szCs w:val="4"/>
              </w:rPr>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Diversified Search LLC</w:t>
            </w:r>
          </w:p>
        </w:tc>
        <w:tc>
          <w:tcPr>
            <w:tcW w:w="15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(k)(r)</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+ 6.50%) / (1.00%)</w:t>
            </w:r>
          </w:p>
        </w:tc>
        <w:tc>
          <w:tcPr>
            <w:tcW w:w="69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12.11%/0.00%</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2/7/2019</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9/30/2025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24,155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firstLine="160"/>
              <w:jc w:val="left"/>
              <w:rPr/>
            </w:pPr>
            <w:r>
              <w:rPr/>
              <w:t> </w:t>
            </w:r>
          </w:p>
        </w:tc>
      </w:tr>
      <w:tr>
        <w:trPr/>
        <w:tc>
          <w:tcPr>
            <w:tcW w:w="279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(573</w:t>
            </w:r>
            <w:r>
              <w:rPr>
                <w:rFonts w:ascii="Times New Roman" w:hAnsi="Times New Roman"/>
                <w:color w:val="000000"/>
                <w:sz w:val="20"/>
              </w:rPr>
              <w:t> </w:t>
            </w:r>
            <w:r>
              <w:rPr>
                <w:rFonts w:ascii="Times New Roman" w:hAnsi="Times New Roman"/>
                <w:color w:val="000000"/>
                <w:sz w:val="12"/>
              </w:rPr>
              <w:t>units) (h)(j)</w:t>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2/7/2019</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sz w:val="4"/>
                <w:szCs w:val="4"/>
              </w:rPr>
            </w:pPr>
            <w:r>
              <w:rPr>
                <w:sz w:val="4"/>
                <w:szCs w:val="4"/>
              </w:rPr>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Education Incites, LLC (dba Acceleration Academies)</w:t>
            </w:r>
          </w:p>
        </w:tc>
        <w:tc>
          <w:tcPr>
            <w:tcW w:w="15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ind w:left="0" w:right="0" w:firstLine="160"/>
              <w:jc w:val="left"/>
              <w:rPr/>
            </w:pPr>
            <w:r>
              <w:rPr/>
              <w:t> </w:t>
            </w:r>
          </w:p>
        </w:tc>
      </w:tr>
      <w:tr>
        <w:trPr/>
        <w:tc>
          <w:tcPr>
            <w:tcW w:w="279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Second Lien Debt</w:t>
            </w:r>
          </w:p>
        </w:tc>
        <w:tc>
          <w:tcPr>
            <w:tcW w:w="1555"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12.75%/0.00%</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10/31/2022</w:t>
            </w:r>
          </w:p>
        </w:tc>
        <w:tc>
          <w:tcPr>
            <w:tcW w:w="5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10/29/2027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95" w:type="dxa"/>
            <w:tcBorders/>
            <w:shd w:fill="CFF0FC" w:val="clear"/>
            <w:vAlign w:val="center"/>
          </w:tcPr>
          <w:p>
            <w:pPr>
              <w:pStyle w:val="TableContents"/>
              <w:bidi w:val="0"/>
              <w:spacing w:before="0" w:after="283"/>
              <w:jc w:val="left"/>
              <w:rPr>
                <w:sz w:val="4"/>
                <w:szCs w:val="4"/>
              </w:rPr>
            </w:pPr>
            <w:r>
              <w:rPr>
                <w:sz w:val="4"/>
                <w:szCs w:val="4"/>
              </w:rPr>
            </w:r>
          </w:p>
        </w:tc>
        <w:tc>
          <w:tcPr>
            <w:tcW w:w="1555"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93"/>
        <w:gridCol w:w="1370"/>
        <w:gridCol w:w="976"/>
        <w:gridCol w:w="680"/>
        <w:gridCol w:w="519"/>
        <w:gridCol w:w="519"/>
        <w:gridCol w:w="146"/>
        <w:gridCol w:w="436"/>
        <w:gridCol w:w="146"/>
        <w:gridCol w:w="146"/>
        <w:gridCol w:w="146"/>
        <w:gridCol w:w="436"/>
        <w:gridCol w:w="151"/>
        <w:gridCol w:w="146"/>
        <w:gridCol w:w="146"/>
        <w:gridCol w:w="436"/>
        <w:gridCol w:w="146"/>
        <w:gridCol w:w="146"/>
        <w:gridCol w:w="166"/>
        <w:gridCol w:w="355"/>
      </w:tblGrid>
      <w:tr>
        <w:trPr/>
        <w:tc>
          <w:tcPr>
            <w:tcW w:w="299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993"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Elements Brands, LLC</w:t>
            </w:r>
          </w:p>
        </w:tc>
        <w:tc>
          <w:tcPr>
            <w:tcW w:w="13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Products</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12.25%/0.00%</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12/31/2020</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Revolving Loan (j)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12.25%/0.00%</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12/31/2020</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sz w:val="4"/>
                <w:szCs w:val="4"/>
              </w:rPr>
            </w:pPr>
            <w:r>
              <w:rPr>
                <w:sz w:val="4"/>
                <w:szCs w:val="4"/>
              </w:rPr>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3,014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Fishbowl Solutions, LLC</w:t>
            </w:r>
          </w:p>
        </w:tc>
        <w:tc>
          <w:tcPr>
            <w:tcW w:w="13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(ar)</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(1.00%)</w:t>
            </w:r>
          </w:p>
        </w:tc>
        <w:tc>
          <w:tcPr>
            <w:tcW w:w="68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13.40%/0.00%</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3/25/2022</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3/25/2027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14,103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sz w:val="4"/>
                <w:szCs w:val="4"/>
              </w:rPr>
            </w:pPr>
            <w:r>
              <w:rPr>
                <w:sz w:val="4"/>
                <w:szCs w:val="4"/>
              </w:rPr>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Global Plasma Solutions, Inc.</w:t>
            </w:r>
          </w:p>
        </w:tc>
        <w:tc>
          <w:tcPr>
            <w:tcW w:w="137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 (j)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0.00%/18.80%</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3/31/2023</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3/18/2024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(947</w:t>
            </w:r>
            <w:r>
              <w:rPr>
                <w:rFonts w:ascii="Times New Roman" w:hAnsi="Times New Roman"/>
                <w:color w:val="000000"/>
                <w:sz w:val="20"/>
              </w:rPr>
              <w:t> </w:t>
            </w:r>
            <w:r>
              <w:rPr>
                <w:rFonts w:ascii="Times New Roman" w:hAnsi="Times New Roman"/>
                <w:color w:val="000000"/>
                <w:sz w:val="12"/>
              </w:rPr>
              <w:t>shares) (j)</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9/21/2018</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993" w:type="dxa"/>
            <w:tcBorders/>
            <w:shd w:fill="FFFFFF" w:val="clear"/>
            <w:vAlign w:val="center"/>
          </w:tcPr>
          <w:p>
            <w:pPr>
              <w:pStyle w:val="TableContents"/>
              <w:bidi w:val="0"/>
              <w:spacing w:before="0" w:after="283"/>
              <w:jc w:val="left"/>
              <w:rPr>
                <w:sz w:val="4"/>
                <w:szCs w:val="4"/>
              </w:rPr>
            </w:pPr>
            <w:r>
              <w:rPr>
                <w:sz w:val="4"/>
                <w:szCs w:val="4"/>
              </w:rPr>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GMP HVAC, LLC (dba McGee Heating &amp; Air, LLC)</w:t>
            </w:r>
          </w:p>
        </w:tc>
        <w:tc>
          <w:tcPr>
            <w:tcW w:w="137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(2.00%)</w:t>
            </w:r>
          </w:p>
        </w:tc>
        <w:tc>
          <w:tcPr>
            <w:tcW w:w="68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12.38%/0.00%</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12/8/2023</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2,983</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Revolving Loan ($1,000</w:t>
            </w:r>
            <w:r>
              <w:rPr>
                <w:rFonts w:ascii="Times New Roman" w:hAnsi="Times New Roman"/>
                <w:color w:val="000000"/>
                <w:sz w:val="20"/>
              </w:rPr>
              <w:t> </w:t>
            </w:r>
            <w:r>
              <w:rPr>
                <w:rFonts w:ascii="Times New Roman" w:hAnsi="Times New Roman"/>
                <w:color w:val="000000"/>
                <w:sz w:val="12"/>
              </w:rPr>
              <w:t>unfunded commitment) (i)(j)</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(2.00%)</w:t>
            </w:r>
          </w:p>
        </w:tc>
        <w:tc>
          <w:tcPr>
            <w:tcW w:w="68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12.38%/0.00%</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12/8/2023</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(1,000</w:t>
            </w:r>
            <w:r>
              <w:rPr>
                <w:rFonts w:ascii="Times New Roman" w:hAnsi="Times New Roman"/>
                <w:color w:val="000000"/>
                <w:sz w:val="20"/>
              </w:rPr>
              <w:t> </w:t>
            </w:r>
            <w:r>
              <w:rPr>
                <w:rFonts w:ascii="Times New Roman" w:hAnsi="Times New Roman"/>
                <w:color w:val="000000"/>
                <w:sz w:val="12"/>
              </w:rPr>
              <w:t>units) (h)(j)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12/8/2023</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sz w:val="4"/>
                <w:szCs w:val="4"/>
              </w:rPr>
            </w:pPr>
            <w:r>
              <w:rPr>
                <w:sz w:val="4"/>
                <w:szCs w:val="4"/>
              </w:rPr>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3,977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GP&amp;C Operations, LLC (dba Garlock Printing and Converting)</w:t>
            </w:r>
          </w:p>
        </w:tc>
        <w:tc>
          <w:tcPr>
            <w:tcW w:w="13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(515,625</w:t>
            </w:r>
            <w:r>
              <w:rPr>
                <w:rFonts w:ascii="Times New Roman" w:hAnsi="Times New Roman"/>
                <w:color w:val="000000"/>
                <w:sz w:val="20"/>
              </w:rPr>
              <w:t> </w:t>
            </w:r>
            <w:r>
              <w:rPr>
                <w:rFonts w:ascii="Times New Roman" w:hAnsi="Times New Roman"/>
                <w:color w:val="000000"/>
                <w:sz w:val="12"/>
              </w:rPr>
              <w:t>units) (h)(j)</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1/22/2021</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sz w:val="4"/>
                <w:szCs w:val="4"/>
              </w:rPr>
            </w:pPr>
            <w:r>
              <w:rPr>
                <w:sz w:val="4"/>
                <w:szCs w:val="4"/>
              </w:rPr>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Green Cubes Technology, LLC (dba Green Cubes)</w:t>
            </w:r>
          </w:p>
        </w:tc>
        <w:tc>
          <w:tcPr>
            <w:tcW w:w="137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+ 13.00%) / (0.00%)</w:t>
            </w:r>
          </w:p>
        </w:tc>
        <w:tc>
          <w:tcPr>
            <w:tcW w:w="68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18.53%/0.00%</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12/17/2021</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11,977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CFF0FC" w:val="clear"/>
            <w:vAlign w:val="center"/>
          </w:tcPr>
          <w:p>
            <w:pPr>
              <w:pStyle w:val="TableContents"/>
              <w:bidi w:val="0"/>
              <w:spacing w:before="0" w:after="283"/>
              <w:jc w:val="left"/>
              <w:rPr>
                <w:sz w:val="4"/>
                <w:szCs w:val="4"/>
              </w:rPr>
            </w:pPr>
            <w:r>
              <w:rPr>
                <w:sz w:val="4"/>
                <w:szCs w:val="4"/>
              </w:rPr>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993"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Gurobi Optimization, LLC</w:t>
            </w:r>
          </w:p>
        </w:tc>
        <w:tc>
          <w:tcPr>
            <w:tcW w:w="13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(3</w:t>
            </w:r>
            <w:r>
              <w:rPr>
                <w:rFonts w:ascii="Times New Roman" w:hAnsi="Times New Roman"/>
                <w:color w:val="000000"/>
                <w:sz w:val="20"/>
              </w:rPr>
              <w:t> </w:t>
            </w:r>
            <w:r>
              <w:rPr>
                <w:rFonts w:ascii="Times New Roman" w:hAnsi="Times New Roman"/>
                <w:color w:val="000000"/>
                <w:sz w:val="12"/>
              </w:rPr>
              <w:t>shares)</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12/19/2017</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sz w:val="4"/>
                <w:szCs w:val="4"/>
              </w:rPr>
            </w:pPr>
            <w:r>
              <w:rPr>
                <w:sz w:val="4"/>
                <w:szCs w:val="4"/>
              </w:rPr>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Haematologic Technologies, Inc.</w:t>
            </w:r>
          </w:p>
        </w:tc>
        <w:tc>
          <w:tcPr>
            <w:tcW w:w="137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(x)</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+ 8.25%) / (2.00%)</w:t>
            </w:r>
          </w:p>
        </w:tc>
        <w:tc>
          <w:tcPr>
            <w:tcW w:w="68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13.85%/0.00%</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10/11/2019</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5,329</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(630</w:t>
            </w:r>
            <w:r>
              <w:rPr>
                <w:rFonts w:ascii="Times New Roman" w:hAnsi="Times New Roman"/>
                <w:color w:val="000000"/>
                <w:sz w:val="20"/>
              </w:rPr>
              <w:t> </w:t>
            </w:r>
            <w:r>
              <w:rPr>
                <w:rFonts w:ascii="Times New Roman" w:hAnsi="Times New Roman"/>
                <w:color w:val="000000"/>
                <w:sz w:val="12"/>
              </w:rPr>
              <w:t>units) (h)(j)</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10/11/2019</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(89</w:t>
            </w:r>
            <w:r>
              <w:rPr>
                <w:rFonts w:ascii="Times New Roman" w:hAnsi="Times New Roman"/>
                <w:color w:val="000000"/>
                <w:sz w:val="20"/>
              </w:rPr>
              <w:t> </w:t>
            </w:r>
            <w:r>
              <w:rPr>
                <w:rFonts w:ascii="Times New Roman" w:hAnsi="Times New Roman"/>
                <w:color w:val="000000"/>
                <w:sz w:val="12"/>
              </w:rPr>
              <w:t>units) (h)(j)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6/26/2023</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sz w:val="4"/>
                <w:szCs w:val="4"/>
              </w:rPr>
            </w:pPr>
            <w:r>
              <w:rPr>
                <w:sz w:val="4"/>
                <w:szCs w:val="4"/>
              </w:rPr>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6,097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Hallmark Health Care Solutions, Inc.</w:t>
            </w:r>
          </w:p>
        </w:tc>
        <w:tc>
          <w:tcPr>
            <w:tcW w:w="13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Common Equity (3,645,752units) (j)</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9/18/2023</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sz w:val="4"/>
                <w:szCs w:val="4"/>
              </w:rPr>
            </w:pPr>
            <w:r>
              <w:rPr>
                <w:sz w:val="4"/>
                <w:szCs w:val="4"/>
              </w:rPr>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Healthfuse, LLC</w:t>
            </w:r>
          </w:p>
        </w:tc>
        <w:tc>
          <w:tcPr>
            <w:tcW w:w="137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(197,980</w:t>
            </w:r>
            <w:r>
              <w:rPr>
                <w:rFonts w:ascii="Times New Roman" w:hAnsi="Times New Roman"/>
                <w:color w:val="000000"/>
                <w:sz w:val="20"/>
              </w:rPr>
              <w:t> </w:t>
            </w:r>
            <w:r>
              <w:rPr>
                <w:rFonts w:ascii="Times New Roman" w:hAnsi="Times New Roman"/>
                <w:color w:val="000000"/>
                <w:sz w:val="12"/>
              </w:rPr>
              <w:t>units)</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11/13/2020</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CFF0FC" w:val="clear"/>
            <w:vAlign w:val="center"/>
          </w:tcPr>
          <w:p>
            <w:pPr>
              <w:pStyle w:val="TableContents"/>
              <w:bidi w:val="0"/>
              <w:spacing w:before="0" w:after="283"/>
              <w:jc w:val="left"/>
              <w:rPr>
                <w:sz w:val="4"/>
                <w:szCs w:val="4"/>
              </w:rPr>
            </w:pPr>
            <w:r>
              <w:rPr>
                <w:sz w:val="4"/>
                <w:szCs w:val="4"/>
              </w:rPr>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993"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Hub Acquisition Sub, LLC (dba Hub Pen)</w:t>
            </w:r>
          </w:p>
        </w:tc>
        <w:tc>
          <w:tcPr>
            <w:tcW w:w="13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Promotional products</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Second Lien Debt (k)</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12.50%/1.00%</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4/25/2023</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19,880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20,140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(5,837</w:t>
            </w:r>
            <w:r>
              <w:rPr>
                <w:rFonts w:ascii="Times New Roman" w:hAnsi="Times New Roman"/>
                <w:color w:val="000000"/>
                <w:sz w:val="20"/>
              </w:rPr>
              <w:t> </w:t>
            </w:r>
            <w:r>
              <w:rPr>
                <w:rFonts w:ascii="Times New Roman" w:hAnsi="Times New Roman"/>
                <w:color w:val="000000"/>
                <w:sz w:val="12"/>
              </w:rPr>
              <w:t>units)</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3/23/2016</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(637</w:t>
            </w:r>
            <w:r>
              <w:rPr>
                <w:rFonts w:ascii="Times New Roman" w:hAnsi="Times New Roman"/>
                <w:color w:val="000000"/>
                <w:sz w:val="20"/>
              </w:rPr>
              <w:t> </w:t>
            </w:r>
            <w:r>
              <w:rPr>
                <w:rFonts w:ascii="Times New Roman" w:hAnsi="Times New Roman"/>
                <w:color w:val="000000"/>
                <w:sz w:val="12"/>
              </w:rPr>
              <w:t>units) (j)</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8/7/2023</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(868</w:t>
            </w:r>
            <w:r>
              <w:rPr>
                <w:rFonts w:ascii="Times New Roman" w:hAnsi="Times New Roman"/>
                <w:color w:val="000000"/>
                <w:sz w:val="20"/>
              </w:rPr>
              <w:t> </w:t>
            </w:r>
            <w:r>
              <w:rPr>
                <w:rFonts w:ascii="Times New Roman" w:hAnsi="Times New Roman"/>
                <w:color w:val="000000"/>
                <w:sz w:val="12"/>
              </w:rPr>
              <w:t>units) (j)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10/16/2020</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sz w:val="4"/>
                <w:szCs w:val="4"/>
              </w:rPr>
            </w:pPr>
            <w:r>
              <w:rPr>
                <w:sz w:val="4"/>
                <w:szCs w:val="4"/>
              </w:rPr>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IBH Holdings, LLC (fka Inflexxion, Inc.)</w:t>
            </w:r>
          </w:p>
        </w:tc>
        <w:tc>
          <w:tcPr>
            <w:tcW w:w="13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(150,000</w:t>
            </w:r>
            <w:r>
              <w:rPr>
                <w:rFonts w:ascii="Times New Roman" w:hAnsi="Times New Roman"/>
                <w:color w:val="000000"/>
                <w:sz w:val="20"/>
              </w:rPr>
              <w:t> </w:t>
            </w:r>
            <w:r>
              <w:rPr>
                <w:rFonts w:ascii="Times New Roman" w:hAnsi="Times New Roman"/>
                <w:color w:val="000000"/>
                <w:sz w:val="12"/>
              </w:rPr>
              <w:t>units)</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6/20/2018</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sz w:val="4"/>
                <w:szCs w:val="4"/>
              </w:rPr>
            </w:pPr>
            <w:r>
              <w:rPr>
                <w:sz w:val="4"/>
                <w:szCs w:val="4"/>
              </w:rPr>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ISI PSG Holdings, LLC (dba Incentive Solutions, Inc.)</w:t>
            </w:r>
          </w:p>
        </w:tc>
        <w:tc>
          <w:tcPr>
            <w:tcW w:w="137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(j)(aj)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(0.50%)</w:t>
            </w:r>
          </w:p>
        </w:tc>
        <w:tc>
          <w:tcPr>
            <w:tcW w:w="68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13.00%/0.00%</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4/5/2021</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11,517</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(j)(an)</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(0.50%)</w:t>
            </w:r>
          </w:p>
        </w:tc>
        <w:tc>
          <w:tcPr>
            <w:tcW w:w="68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9.50%/0.00%</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6/30/2021</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12,221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12,168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(256,964</w:t>
            </w:r>
            <w:r>
              <w:rPr>
                <w:rFonts w:ascii="Times New Roman" w:hAnsi="Times New Roman"/>
                <w:color w:val="000000"/>
                <w:sz w:val="20"/>
              </w:rPr>
              <w:t> </w:t>
            </w:r>
            <w:r>
              <w:rPr>
                <w:rFonts w:ascii="Times New Roman" w:hAnsi="Times New Roman"/>
                <w:color w:val="000000"/>
                <w:sz w:val="12"/>
              </w:rPr>
              <w:t>units) (h)(j)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4/5/2021</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sz w:val="4"/>
                <w:szCs w:val="4"/>
              </w:rPr>
            </w:pPr>
            <w:r>
              <w:rPr>
                <w:sz w:val="4"/>
                <w:szCs w:val="4"/>
              </w:rPr>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24,191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The Kyjen Company, LLC (dba Outward Hound)</w:t>
            </w:r>
          </w:p>
        </w:tc>
        <w:tc>
          <w:tcPr>
            <w:tcW w:w="13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Products</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(855</w:t>
            </w:r>
            <w:r>
              <w:rPr>
                <w:rFonts w:ascii="Times New Roman" w:hAnsi="Times New Roman"/>
                <w:color w:val="000000"/>
                <w:sz w:val="20"/>
              </w:rPr>
              <w:t> </w:t>
            </w:r>
            <w:r>
              <w:rPr>
                <w:rFonts w:ascii="Times New Roman" w:hAnsi="Times New Roman"/>
                <w:color w:val="000000"/>
                <w:sz w:val="12"/>
              </w:rPr>
              <w:t>shares) (j)</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12/8/2017</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sz w:val="4"/>
                <w:szCs w:val="4"/>
              </w:rPr>
            </w:pPr>
            <w:r>
              <w:rPr>
                <w:sz w:val="4"/>
                <w:szCs w:val="4"/>
              </w:rPr>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Level Education Group, LLC (dba CE4Less)</w:t>
            </w:r>
          </w:p>
        </w:tc>
        <w:tc>
          <w:tcPr>
            <w:tcW w:w="137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(ak)</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(2.00%)</w:t>
            </w:r>
          </w:p>
        </w:tc>
        <w:tc>
          <w:tcPr>
            <w:tcW w:w="68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11.41%/0.00%</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4/1/2021</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4,622</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(1,000,000</w:t>
            </w:r>
            <w:r>
              <w:rPr>
                <w:rFonts w:ascii="Times New Roman" w:hAnsi="Times New Roman"/>
                <w:color w:val="000000"/>
                <w:sz w:val="20"/>
              </w:rPr>
              <w:t> </w:t>
            </w:r>
            <w:r>
              <w:rPr>
                <w:rFonts w:ascii="Times New Roman" w:hAnsi="Times New Roman"/>
                <w:color w:val="000000"/>
                <w:sz w:val="12"/>
              </w:rPr>
              <w:t>units) (j)</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4/1/2021</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993" w:type="dxa"/>
            <w:tcBorders/>
            <w:shd w:fill="FFFFFF" w:val="clear"/>
            <w:vAlign w:val="center"/>
          </w:tcPr>
          <w:p>
            <w:pPr>
              <w:pStyle w:val="TableContents"/>
              <w:bidi w:val="0"/>
              <w:spacing w:before="0" w:after="283"/>
              <w:jc w:val="left"/>
              <w:rPr>
                <w:sz w:val="4"/>
                <w:szCs w:val="4"/>
              </w:rPr>
            </w:pPr>
            <w:r>
              <w:rPr>
                <w:sz w:val="4"/>
                <w:szCs w:val="4"/>
              </w:rPr>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5,604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LifeSpan Biosciences, Inc.</w:t>
            </w:r>
          </w:p>
        </w:tc>
        <w:tc>
          <w:tcPr>
            <w:tcW w:w="137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 (j)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11.50%/0.00%</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3/19/2021</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9/19/2026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15,102</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(100</w:t>
            </w:r>
            <w:r>
              <w:rPr>
                <w:rFonts w:ascii="Times New Roman" w:hAnsi="Times New Roman"/>
                <w:color w:val="000000"/>
                <w:sz w:val="20"/>
              </w:rPr>
              <w:t> </w:t>
            </w:r>
            <w:r>
              <w:rPr>
                <w:rFonts w:ascii="Times New Roman" w:hAnsi="Times New Roman"/>
                <w:color w:val="000000"/>
                <w:sz w:val="12"/>
              </w:rPr>
              <w:t>shares) (j)</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3/19/2021</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993" w:type="dxa"/>
            <w:tcBorders/>
            <w:shd w:fill="FFFFFF" w:val="clear"/>
            <w:vAlign w:val="center"/>
          </w:tcPr>
          <w:p>
            <w:pPr>
              <w:pStyle w:val="TableContents"/>
              <w:bidi w:val="0"/>
              <w:spacing w:before="0" w:after="283"/>
              <w:jc w:val="left"/>
              <w:rPr>
                <w:sz w:val="4"/>
                <w:szCs w:val="4"/>
              </w:rPr>
            </w:pPr>
            <w:r>
              <w:rPr>
                <w:sz w:val="4"/>
                <w:szCs w:val="4"/>
              </w:rPr>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Magenta Buyer LLC (dba Trellix)</w:t>
            </w:r>
          </w:p>
        </w:tc>
        <w:tc>
          <w:tcPr>
            <w:tcW w:w="137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Second Lien Debt (j)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+ 8.25%) / (0.75%)</w:t>
            </w:r>
          </w:p>
        </w:tc>
        <w:tc>
          <w:tcPr>
            <w:tcW w:w="68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13.89%/0.00%</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7/19/2022</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7/27/2029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CFF0FC" w:val="clear"/>
            <w:vAlign w:val="center"/>
          </w:tcPr>
          <w:p>
            <w:pPr>
              <w:pStyle w:val="TableContents"/>
              <w:bidi w:val="0"/>
              <w:spacing w:before="0" w:after="283"/>
              <w:jc w:val="left"/>
              <w:rPr>
                <w:sz w:val="4"/>
                <w:szCs w:val="4"/>
              </w:rPr>
            </w:pPr>
            <w:r>
              <w:rPr>
                <w:sz w:val="4"/>
                <w:szCs w:val="4"/>
              </w:rPr>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993"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MBS Opco, LLC (dba Marketron)</w:t>
            </w:r>
          </w:p>
        </w:tc>
        <w:tc>
          <w:tcPr>
            <w:tcW w:w="13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+ 8.50%) / (1.50%)</w:t>
            </w:r>
          </w:p>
        </w:tc>
        <w:tc>
          <w:tcPr>
            <w:tcW w:w="68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14.16%/0.00%</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9/29/2022</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9/28/2026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26,907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MDME Holding Corp.</w:t>
            </w:r>
          </w:p>
        </w:tc>
        <w:tc>
          <w:tcPr>
            <w:tcW w:w="13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68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11.75%/0.00%</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8/31/2023</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11,806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11,806</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(4,735</w:t>
            </w:r>
            <w:r>
              <w:rPr>
                <w:rFonts w:ascii="Times New Roman" w:hAnsi="Times New Roman"/>
                <w:color w:val="000000"/>
                <w:sz w:val="20"/>
              </w:rPr>
              <w:t> </w:t>
            </w:r>
            <w:r>
              <w:rPr>
                <w:rFonts w:ascii="Times New Roman" w:hAnsi="Times New Roman"/>
                <w:color w:val="000000"/>
                <w:sz w:val="12"/>
              </w:rPr>
              <w:t>units) (j)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9/18/2023</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(12,500</w:t>
            </w:r>
            <w:r>
              <w:rPr>
                <w:rFonts w:ascii="Times New Roman" w:hAnsi="Times New Roman"/>
                <w:color w:val="000000"/>
                <w:sz w:val="20"/>
              </w:rPr>
              <w:t> </w:t>
            </w:r>
            <w:r>
              <w:rPr>
                <w:rFonts w:ascii="Times New Roman" w:hAnsi="Times New Roman"/>
                <w:color w:val="000000"/>
                <w:sz w:val="12"/>
              </w:rPr>
              <w:t>units) (j)</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9/18/2023</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993" w:type="dxa"/>
            <w:tcBorders/>
            <w:shd w:fill="FFFFFF" w:val="clear"/>
            <w:vAlign w:val="center"/>
          </w:tcPr>
          <w:p>
            <w:pPr>
              <w:pStyle w:val="TableContents"/>
              <w:bidi w:val="0"/>
              <w:spacing w:before="0" w:after="283"/>
              <w:jc w:val="left"/>
              <w:rPr>
                <w:sz w:val="4"/>
                <w:szCs w:val="4"/>
              </w:rPr>
            </w:pPr>
            <w:r>
              <w:rPr>
                <w:sz w:val="4"/>
                <w:szCs w:val="4"/>
              </w:rPr>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13,056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Micronics Filtration Holdings, Inc. (dba Micronics Engineered Filtration Group, Inc.)</w:t>
            </w:r>
          </w:p>
        </w:tc>
        <w:tc>
          <w:tcPr>
            <w:tcW w:w="137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(j)(as)</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+ 5.50%) / (0.50%)</w:t>
            </w:r>
          </w:p>
        </w:tc>
        <w:tc>
          <w:tcPr>
            <w:tcW w:w="68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10.84%/0.00%</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2/17/2022</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2/17/2027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19,873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20,636</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(au)</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+ 5.50%) / (0.50%)</w:t>
            </w:r>
          </w:p>
        </w:tc>
        <w:tc>
          <w:tcPr>
            <w:tcW w:w="68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10.84%/0.00%</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2/17/2022</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2/17/2027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9,314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9,364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(14,400</w:t>
            </w:r>
            <w:r>
              <w:rPr>
                <w:rFonts w:ascii="Times New Roman" w:hAnsi="Times New Roman"/>
                <w:color w:val="000000"/>
                <w:sz w:val="20"/>
              </w:rPr>
              <w:t> </w:t>
            </w:r>
            <w:r>
              <w:rPr>
                <w:rFonts w:ascii="Times New Roman" w:hAnsi="Times New Roman"/>
                <w:color w:val="000000"/>
                <w:sz w:val="12"/>
              </w:rPr>
              <w:t>units) (j)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2/17/2022</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sz w:val="4"/>
                <w:szCs w:val="4"/>
              </w:rPr>
            </w:pPr>
            <w:r>
              <w:rPr>
                <w:sz w:val="4"/>
                <w:szCs w:val="4"/>
              </w:rPr>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30,627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Netbase Solutions, Inc. (dba Netbase Quid)</w:t>
            </w:r>
          </w:p>
        </w:tc>
        <w:tc>
          <w:tcPr>
            <w:tcW w:w="13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(k)(ap)</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 + 4.00%) / (3.25%)</w:t>
            </w:r>
          </w:p>
        </w:tc>
        <w:tc>
          <w:tcPr>
            <w:tcW w:w="68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12.50%/0.00%</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11/18/2021</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11/18/2025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16,650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sz w:val="4"/>
                <w:szCs w:val="4"/>
              </w:rPr>
            </w:pPr>
            <w:r>
              <w:rPr>
                <w:sz w:val="4"/>
                <w:szCs w:val="4"/>
              </w:rPr>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NWS Technologies, LLC</w:t>
            </w:r>
          </w:p>
        </w:tc>
        <w:tc>
          <w:tcPr>
            <w:tcW w:w="137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(u)</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+ 8.00%) / (2.50%)</w:t>
            </w:r>
          </w:p>
        </w:tc>
        <w:tc>
          <w:tcPr>
            <w:tcW w:w="68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13.39%/0.00%</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6/20/2023</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6/16/2028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16,773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w:t>
            </w:r>
            <w:r>
              <w:rPr>
                <w:rFonts w:ascii="Times New Roman" w:hAnsi="Times New Roman"/>
                <w:color w:val="000000"/>
                <w:sz w:val="20"/>
              </w:rPr>
              <w:t> </w:t>
            </w:r>
            <w:r>
              <w:rPr>
                <w:rFonts w:ascii="Times New Roman" w:hAnsi="Times New Roman"/>
                <w:color w:val="000000"/>
                <w:sz w:val="12"/>
              </w:rPr>
              <w:t>unit) (h)(j)</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6/20/2023</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(0.375</w:t>
            </w:r>
            <w:r>
              <w:rPr>
                <w:rFonts w:ascii="Times New Roman" w:hAnsi="Times New Roman"/>
                <w:color w:val="000000"/>
                <w:sz w:val="20"/>
              </w:rPr>
              <w:t> </w:t>
            </w:r>
            <w:r>
              <w:rPr>
                <w:rFonts w:ascii="Times New Roman" w:hAnsi="Times New Roman"/>
                <w:color w:val="000000"/>
                <w:sz w:val="12"/>
              </w:rPr>
              <w:t>units) (h)(j)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6/20/2023</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sz w:val="4"/>
                <w:szCs w:val="4"/>
              </w:rPr>
            </w:pPr>
            <w:r>
              <w:rPr>
                <w:sz w:val="4"/>
                <w:szCs w:val="4"/>
              </w:rPr>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18,273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OnePath Systems, LLC</w:t>
            </w:r>
          </w:p>
        </w:tc>
        <w:tc>
          <w:tcPr>
            <w:tcW w:w="13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(s)</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(1.00%)</w:t>
            </w:r>
          </w:p>
        </w:tc>
        <w:tc>
          <w:tcPr>
            <w:tcW w:w="68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12.83%/0.00%</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9/30/2022</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9/30/2027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(732,542</w:t>
            </w:r>
            <w:r>
              <w:rPr>
                <w:rFonts w:ascii="Times New Roman" w:hAnsi="Times New Roman"/>
                <w:color w:val="000000"/>
                <w:sz w:val="20"/>
              </w:rPr>
              <w:t> </w:t>
            </w:r>
            <w:r>
              <w:rPr>
                <w:rFonts w:ascii="Times New Roman" w:hAnsi="Times New Roman"/>
                <w:color w:val="000000"/>
                <w:sz w:val="12"/>
              </w:rPr>
              <w:t>shares) (j)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9/30/2022</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sz w:val="4"/>
                <w:szCs w:val="4"/>
              </w:rPr>
            </w:pPr>
            <w:r>
              <w:rPr>
                <w:sz w:val="4"/>
                <w:szCs w:val="4"/>
              </w:rPr>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Palmetto Moon, LLC</w:t>
            </w:r>
          </w:p>
        </w:tc>
        <w:tc>
          <w:tcPr>
            <w:tcW w:w="13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Retail</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993"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(499</w:t>
            </w:r>
            <w:r>
              <w:rPr>
                <w:rFonts w:ascii="Times New Roman" w:hAnsi="Times New Roman"/>
                <w:color w:val="000000"/>
                <w:sz w:val="20"/>
              </w:rPr>
              <w:t> </w:t>
            </w:r>
            <w:r>
              <w:rPr>
                <w:rFonts w:ascii="Times New Roman" w:hAnsi="Times New Roman"/>
                <w:color w:val="000000"/>
                <w:sz w:val="12"/>
              </w:rPr>
              <w:t>units) (j)</w:t>
            </w:r>
          </w:p>
        </w:tc>
        <w:tc>
          <w:tcPr>
            <w:tcW w:w="1370"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11/3/2016</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93" w:type="dxa"/>
            <w:tcBorders/>
            <w:shd w:fill="FFFFFF" w:val="clear"/>
            <w:vAlign w:val="center"/>
          </w:tcPr>
          <w:p>
            <w:pPr>
              <w:pStyle w:val="TableContents"/>
              <w:bidi w:val="0"/>
              <w:spacing w:before="0" w:after="283"/>
              <w:jc w:val="left"/>
              <w:rPr>
                <w:sz w:val="4"/>
                <w:szCs w:val="4"/>
              </w:rPr>
            </w:pPr>
            <w:r>
              <w:rPr>
                <w:sz w:val="4"/>
                <w:szCs w:val="4"/>
              </w:rPr>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993"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Pinnergy, Ltd.</w:t>
            </w:r>
          </w:p>
        </w:tc>
        <w:tc>
          <w:tcPr>
            <w:tcW w:w="137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Oil &amp; Gas Services</w:t>
            </w:r>
          </w:p>
        </w:tc>
        <w:tc>
          <w:tcPr>
            <w:tcW w:w="97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993"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 (j)</w:t>
            </w:r>
          </w:p>
        </w:tc>
        <w:tc>
          <w:tcPr>
            <w:tcW w:w="1370"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9.00%/0.00%</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6/30/2022</w:t>
            </w:r>
          </w:p>
        </w:tc>
        <w:tc>
          <w:tcPr>
            <w:tcW w:w="5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12,798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58"/>
        <w:gridCol w:w="1403"/>
        <w:gridCol w:w="1000"/>
        <w:gridCol w:w="693"/>
        <w:gridCol w:w="530"/>
        <w:gridCol w:w="530"/>
        <w:gridCol w:w="146"/>
        <w:gridCol w:w="436"/>
        <w:gridCol w:w="146"/>
        <w:gridCol w:w="146"/>
        <w:gridCol w:w="166"/>
        <w:gridCol w:w="496"/>
        <w:gridCol w:w="151"/>
        <w:gridCol w:w="146"/>
        <w:gridCol w:w="166"/>
        <w:gridCol w:w="496"/>
        <w:gridCol w:w="146"/>
        <w:gridCol w:w="146"/>
        <w:gridCol w:w="286"/>
        <w:gridCol w:w="418"/>
      </w:tblGrid>
      <w:tr>
        <w:trPr/>
        <w:tc>
          <w:tcPr>
            <w:tcW w:w="255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558" w:type="dxa"/>
            <w:tcBorders/>
            <w:shd w:fill="CFF0FC" w:val="clear"/>
            <w:vAlign w:val="center"/>
          </w:tcPr>
          <w:p>
            <w:pPr>
              <w:pStyle w:val="TableContents"/>
              <w:bidi w:val="0"/>
              <w:spacing w:before="0" w:after="283"/>
              <w:jc w:val="left"/>
              <w:rPr>
                <w:sz w:val="4"/>
                <w:szCs w:val="4"/>
              </w:rPr>
            </w:pPr>
            <w:r>
              <w:rPr>
                <w:sz w:val="4"/>
                <w:szCs w:val="4"/>
              </w:rPr>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Pool &amp; Electrical Products, LLC</w:t>
            </w:r>
          </w:p>
        </w:tc>
        <w:tc>
          <w:tcPr>
            <w:tcW w:w="14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(15,000</w:t>
            </w:r>
            <w:r>
              <w:rPr>
                <w:rFonts w:ascii="Times New Roman" w:hAnsi="Times New Roman"/>
                <w:color w:val="000000"/>
                <w:sz w:val="20"/>
              </w:rPr>
              <w:t> </w:t>
            </w:r>
            <w:r>
              <w:rPr>
                <w:rFonts w:ascii="Times New Roman" w:hAnsi="Times New Roman"/>
                <w:color w:val="000000"/>
                <w:sz w:val="12"/>
              </w:rPr>
              <w:t>units) (h)(j)</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10/28/2020</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558"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PowerGrid Services Acquisition, LLC</w:t>
            </w:r>
          </w:p>
        </w:tc>
        <w:tc>
          <w:tcPr>
            <w:tcW w:w="14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Second Lien Debt (j)</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+ 9.50%) / (1.00%)</w:t>
            </w:r>
          </w:p>
        </w:tc>
        <w:tc>
          <w:tcPr>
            <w:tcW w:w="69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15.15%/0.00%</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9/21/2021</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3/21/2029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10,793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10,831</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(5,341</w:t>
            </w:r>
            <w:r>
              <w:rPr>
                <w:rFonts w:ascii="Times New Roman" w:hAnsi="Times New Roman"/>
                <w:color w:val="000000"/>
                <w:sz w:val="20"/>
              </w:rPr>
              <w:t> </w:t>
            </w:r>
            <w:r>
              <w:rPr>
                <w:rFonts w:ascii="Times New Roman" w:hAnsi="Times New Roman"/>
                <w:color w:val="000000"/>
                <w:sz w:val="12"/>
              </w:rPr>
              <w:t>units) (h)(j)</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9/21/2021</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Prime AE Group, Inc.</w:t>
            </w:r>
          </w:p>
        </w:tc>
        <w:tc>
          <w:tcPr>
            <w:tcW w:w="14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(j)(ab)</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+ 7.25%) / (2.00%)</w:t>
            </w:r>
          </w:p>
        </w:tc>
        <w:tc>
          <w:tcPr>
            <w:tcW w:w="69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12.72%/0.00%</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11/25/2019</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11/25/2024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5,798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5,833</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(900,000</w:t>
            </w:r>
            <w:r>
              <w:rPr>
                <w:rFonts w:ascii="Times New Roman" w:hAnsi="Times New Roman"/>
                <w:color w:val="000000"/>
                <w:sz w:val="20"/>
              </w:rPr>
              <w:t> </w:t>
            </w:r>
            <w:r>
              <w:rPr>
                <w:rFonts w:ascii="Times New Roman" w:hAnsi="Times New Roman"/>
                <w:color w:val="000000"/>
                <w:sz w:val="12"/>
              </w:rPr>
              <w:t>shares) (j)</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11/25/2019</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6,698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Puget Collision, LLC</w:t>
            </w:r>
          </w:p>
        </w:tc>
        <w:tc>
          <w:tcPr>
            <w:tcW w:w="14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Retail</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(k)</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+ 8.50%) / (1.00%)</w:t>
            </w:r>
          </w:p>
        </w:tc>
        <w:tc>
          <w:tcPr>
            <w:tcW w:w="69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13.84%/0.00%</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4/28/2023</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9/12/2027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4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CFF0FC" w:val="clear"/>
            <w:vAlign w:val="center"/>
          </w:tcPr>
          <w:p>
            <w:pPr>
              <w:pStyle w:val="TableContents"/>
              <w:bidi w:val="0"/>
              <w:spacing w:before="0" w:after="283"/>
              <w:jc w:val="left"/>
              <w:rPr>
                <w:sz w:val="4"/>
                <w:szCs w:val="4"/>
              </w:rPr>
            </w:pPr>
            <w:r>
              <w:rPr>
                <w:sz w:val="4"/>
                <w:szCs w:val="4"/>
              </w:rPr>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QED Technologies International, Inc.</w:t>
            </w:r>
          </w:p>
        </w:tc>
        <w:tc>
          <w:tcPr>
            <w:tcW w:w="14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(q)</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(1.50%)</w:t>
            </w:r>
          </w:p>
        </w:tc>
        <w:tc>
          <w:tcPr>
            <w:tcW w:w="69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11.14%/0.50%</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3/1/2023</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17,348</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(140</w:t>
            </w:r>
            <w:r>
              <w:rPr>
                <w:rFonts w:ascii="Times New Roman" w:hAnsi="Times New Roman"/>
                <w:color w:val="000000"/>
                <w:sz w:val="20"/>
              </w:rPr>
              <w:t> </w:t>
            </w:r>
            <w:r>
              <w:rPr>
                <w:rFonts w:ascii="Times New Roman" w:hAnsi="Times New Roman"/>
                <w:color w:val="000000"/>
                <w:sz w:val="12"/>
              </w:rPr>
              <w:t>shares) (j)</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558" w:type="dxa"/>
            <w:tcBorders/>
            <w:shd w:fill="CFF0FC" w:val="clear"/>
            <w:vAlign w:val="center"/>
          </w:tcPr>
          <w:p>
            <w:pPr>
              <w:pStyle w:val="TableContents"/>
              <w:bidi w:val="0"/>
              <w:spacing w:before="0" w:after="283"/>
              <w:jc w:val="left"/>
              <w:rPr>
                <w:sz w:val="4"/>
                <w:szCs w:val="4"/>
              </w:rPr>
            </w:pPr>
            <w:r>
              <w:rPr>
                <w:sz w:val="4"/>
                <w:szCs w:val="4"/>
              </w:rPr>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18,642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Quest Software US Holdings Inc.</w:t>
            </w:r>
          </w:p>
        </w:tc>
        <w:tc>
          <w:tcPr>
            <w:tcW w:w="14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Second Lien Debt (j)</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(0.50%)</w:t>
            </w:r>
          </w:p>
        </w:tc>
        <w:tc>
          <w:tcPr>
            <w:tcW w:w="69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13.03%/0.00%</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3/1/2022</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2/1/2030</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19,450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18" w:type="dxa"/>
            <w:tcBorders/>
            <w:shd w:fill="CFF0FC" w:val="cle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FFFFFF" w:val="clear"/>
            <w:vAlign w:val="center"/>
          </w:tcPr>
          <w:p>
            <w:pPr>
              <w:pStyle w:val="TableContents"/>
              <w:bidi w:val="0"/>
              <w:spacing w:before="0" w:after="283"/>
              <w:ind w:left="160" w:right="0" w:firstLine="160"/>
              <w:jc w:val="left"/>
              <w:rPr/>
            </w:pPr>
            <w:r>
              <w:rPr/>
              <w:t> </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558"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R1 Holdings, LLC (dba RoadOne IntermodaLogistics)</w:t>
            </w:r>
          </w:p>
        </w:tc>
        <w:tc>
          <w:tcPr>
            <w:tcW w:w="14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services</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First Lien Debt ($1,596</w:t>
            </w:r>
            <w:r>
              <w:rPr>
                <w:rFonts w:ascii="Times New Roman" w:hAnsi="Times New Roman"/>
                <w:color w:val="000000"/>
                <w:sz w:val="20"/>
              </w:rPr>
              <w:t> </w:t>
            </w:r>
            <w:r>
              <w:rPr>
                <w:rFonts w:ascii="Times New Roman" w:hAnsi="Times New Roman"/>
                <w:color w:val="000000"/>
                <w:sz w:val="12"/>
              </w:rPr>
              <w:t>unfunded commitment) (j)(w)</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69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11.72%/0.00%</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6,343</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Subordinated Debt ($417</w:t>
            </w:r>
            <w:r>
              <w:rPr>
                <w:rFonts w:ascii="Times New Roman" w:hAnsi="Times New Roman"/>
                <w:color w:val="000000"/>
                <w:sz w:val="20"/>
              </w:rPr>
              <w:t> </w:t>
            </w:r>
            <w:r>
              <w:rPr>
                <w:rFonts w:ascii="Times New Roman" w:hAnsi="Times New Roman"/>
                <w:color w:val="000000"/>
                <w:sz w:val="12"/>
              </w:rPr>
              <w:t>unfunded commitment) (j)(w)</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8.75%/5.00%</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1,403</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(280,000</w:t>
            </w:r>
            <w:r>
              <w:rPr>
                <w:rFonts w:ascii="Times New Roman" w:hAnsi="Times New Roman"/>
                <w:color w:val="000000"/>
                <w:sz w:val="20"/>
              </w:rPr>
              <w:t> </w:t>
            </w:r>
            <w:r>
              <w:rPr>
                <w:rFonts w:ascii="Times New Roman" w:hAnsi="Times New Roman"/>
                <w:color w:val="000000"/>
                <w:sz w:val="12"/>
              </w:rPr>
              <w:t>units) ($70</w:t>
            </w:r>
            <w:r>
              <w:rPr>
                <w:rFonts w:ascii="Times New Roman" w:hAnsi="Times New Roman"/>
                <w:color w:val="000000"/>
                <w:sz w:val="20"/>
              </w:rPr>
              <w:t> </w:t>
            </w:r>
            <w:r>
              <w:rPr>
                <w:rFonts w:ascii="Times New Roman" w:hAnsi="Times New Roman"/>
                <w:color w:val="000000"/>
                <w:sz w:val="12"/>
              </w:rPr>
              <w:t>unfunded commitment) (j)</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558" w:type="dxa"/>
            <w:tcBorders/>
            <w:shd w:fill="CFF0FC" w:val="clear"/>
            <w:vAlign w:val="center"/>
          </w:tcPr>
          <w:p>
            <w:pPr>
              <w:pStyle w:val="TableContents"/>
              <w:bidi w:val="0"/>
              <w:spacing w:before="0" w:after="283"/>
              <w:jc w:val="left"/>
              <w:rPr>
                <w:sz w:val="4"/>
                <w:szCs w:val="4"/>
              </w:rPr>
            </w:pPr>
            <w:r>
              <w:rPr>
                <w:sz w:val="4"/>
                <w:szCs w:val="4"/>
              </w:rPr>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7,805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Sonicwall US Holdings, Inc.</w:t>
            </w:r>
          </w:p>
        </w:tc>
        <w:tc>
          <w:tcPr>
            <w:tcW w:w="14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Second Lien Debt (j)</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(0.00%)</w:t>
            </w:r>
          </w:p>
        </w:tc>
        <w:tc>
          <w:tcPr>
            <w:tcW w:w="69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13.01%/0.00%</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9/6/2022</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5/18/2026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3,391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558"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Suited Connector LLC</w:t>
            </w:r>
          </w:p>
        </w:tc>
        <w:tc>
          <w:tcPr>
            <w:tcW w:w="14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center"/>
              <w:rPr/>
            </w:pPr>
            <w:r>
              <w:rPr/>
              <w:t> </w:t>
            </w:r>
          </w:p>
        </w:tc>
        <w:tc>
          <w:tcPr>
            <w:tcW w:w="418" w:type="dxa"/>
            <w:tcBorders/>
            <w:shd w:fill="CFF0FC" w:val="clear"/>
            <w:vAlign w:val="center"/>
          </w:tcPr>
          <w:p>
            <w:pPr>
              <w:pStyle w:val="TableContents"/>
              <w:bidi w:val="0"/>
              <w:spacing w:before="0" w:after="283"/>
              <w:ind w:left="0" w:right="0" w:firstLine="160"/>
              <w:jc w:val="center"/>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Second Lien Debt (j)(y)</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0.00%/12.00%</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10/29/2021</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15,933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4,324</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(56,382</w:t>
            </w:r>
            <w:r>
              <w:rPr>
                <w:rFonts w:ascii="Times New Roman" w:hAnsi="Times New Roman"/>
                <w:color w:val="000000"/>
                <w:sz w:val="20"/>
              </w:rPr>
              <w:t> </w:t>
            </w:r>
            <w:r>
              <w:rPr>
                <w:rFonts w:ascii="Times New Roman" w:hAnsi="Times New Roman"/>
                <w:color w:val="000000"/>
                <w:sz w:val="12"/>
              </w:rPr>
              <w:t>units) (h)(j)</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12/1/2021</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16,769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Tedia Company, LLC</w:t>
            </w:r>
          </w:p>
        </w:tc>
        <w:tc>
          <w:tcPr>
            <w:tcW w:w="14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(1.00%)</w:t>
            </w:r>
          </w:p>
        </w:tc>
        <w:tc>
          <w:tcPr>
            <w:tcW w:w="69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13.41%/0.00%</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15,545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15,600</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Revolving Loan ($2,400</w:t>
            </w:r>
            <w:r>
              <w:rPr>
                <w:rFonts w:ascii="Times New Roman" w:hAnsi="Times New Roman"/>
                <w:color w:val="000000"/>
                <w:sz w:val="20"/>
              </w:rPr>
              <w:t> </w:t>
            </w:r>
            <w:r>
              <w:rPr>
                <w:rFonts w:ascii="Times New Roman" w:hAnsi="Times New Roman"/>
                <w:color w:val="000000"/>
                <w:sz w:val="12"/>
              </w:rPr>
              <w:t>unfunded commitment) (j)(i)</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(1.00%)</w:t>
            </w:r>
          </w:p>
        </w:tc>
        <w:tc>
          <w:tcPr>
            <w:tcW w:w="69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13.41%/0.00%</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7.25%/7.25%</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9/4/2027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2,727</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(1,000</w:t>
            </w:r>
            <w:r>
              <w:rPr>
                <w:rFonts w:ascii="Times New Roman" w:hAnsi="Times New Roman"/>
                <w:color w:val="000000"/>
                <w:sz w:val="20"/>
              </w:rPr>
              <w:t> </w:t>
            </w:r>
            <w:r>
              <w:rPr>
                <w:rFonts w:ascii="Times New Roman" w:hAnsi="Times New Roman"/>
                <w:color w:val="000000"/>
                <w:sz w:val="12"/>
              </w:rPr>
              <w:t>units) (h)(j)</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19,378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Tiger Calcium Services Inc. (aq)</w:t>
            </w:r>
          </w:p>
        </w:tc>
        <w:tc>
          <w:tcPr>
            <w:tcW w:w="14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services</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Second Lien Debt (j) (ao)</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12.50%/0.00%</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12/21/2022</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5/31/2025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CFF0FC" w:val="clear"/>
            <w:vAlign w:val="center"/>
          </w:tcPr>
          <w:p>
            <w:pPr>
              <w:pStyle w:val="TableContents"/>
              <w:bidi w:val="0"/>
              <w:spacing w:before="0" w:after="283"/>
              <w:jc w:val="left"/>
              <w:rPr>
                <w:sz w:val="4"/>
                <w:szCs w:val="4"/>
              </w:rPr>
            </w:pPr>
            <w:r>
              <w:rPr>
                <w:sz w:val="4"/>
                <w:szCs w:val="4"/>
              </w:rPr>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UBEO, LLC</w:t>
            </w:r>
          </w:p>
        </w:tc>
        <w:tc>
          <w:tcPr>
            <w:tcW w:w="14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(705,000</w:t>
            </w:r>
            <w:r>
              <w:rPr>
                <w:rFonts w:ascii="Times New Roman" w:hAnsi="Times New Roman"/>
                <w:color w:val="000000"/>
                <w:sz w:val="20"/>
              </w:rPr>
              <w:t> </w:t>
            </w:r>
            <w:r>
              <w:rPr>
                <w:rFonts w:ascii="Times New Roman" w:hAnsi="Times New Roman"/>
                <w:color w:val="000000"/>
                <w:sz w:val="12"/>
              </w:rPr>
              <w:t>units) (h)(j)</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4/3/2018</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558"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United Biologics, LLC</w:t>
            </w:r>
          </w:p>
        </w:tc>
        <w:tc>
          <w:tcPr>
            <w:tcW w:w="14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(98,377</w:t>
            </w:r>
            <w:r>
              <w:rPr>
                <w:rFonts w:ascii="Times New Roman" w:hAnsi="Times New Roman"/>
                <w:color w:val="000000"/>
                <w:sz w:val="20"/>
              </w:rPr>
              <w:t> </w:t>
            </w:r>
            <w:r>
              <w:rPr>
                <w:rFonts w:ascii="Times New Roman" w:hAnsi="Times New Roman"/>
                <w:color w:val="000000"/>
                <w:sz w:val="12"/>
              </w:rPr>
              <w:t>units) (h)(j)</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4/1/2012</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Warrant (57,469</w:t>
            </w:r>
            <w:r>
              <w:rPr>
                <w:rFonts w:ascii="Times New Roman" w:hAnsi="Times New Roman"/>
                <w:color w:val="000000"/>
                <w:sz w:val="20"/>
              </w:rPr>
              <w:t> </w:t>
            </w:r>
            <w:r>
              <w:rPr>
                <w:rFonts w:ascii="Times New Roman" w:hAnsi="Times New Roman"/>
                <w:color w:val="000000"/>
                <w:sz w:val="12"/>
              </w:rPr>
              <w:t>units) (j)(m)</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3/5/2012</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US Fertility Enterprises, LLC</w:t>
            </w:r>
          </w:p>
        </w:tc>
        <w:tc>
          <w:tcPr>
            <w:tcW w:w="14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0.00%/13.75%</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5/19/2023</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13,284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CFF0FC" w:val="clear"/>
            <w:vAlign w:val="center"/>
          </w:tcPr>
          <w:p>
            <w:pPr>
              <w:pStyle w:val="TableContents"/>
              <w:bidi w:val="0"/>
              <w:spacing w:before="0" w:after="283"/>
              <w:jc w:val="left"/>
              <w:rPr>
                <w:sz w:val="4"/>
                <w:szCs w:val="4"/>
              </w:rPr>
            </w:pPr>
            <w:r>
              <w:rPr>
                <w:sz w:val="4"/>
                <w:szCs w:val="4"/>
              </w:rPr>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USG AS Holdings, LLC</w:t>
            </w:r>
          </w:p>
        </w:tc>
        <w:tc>
          <w:tcPr>
            <w:tcW w:w="14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center"/>
              <w:rPr/>
            </w:pPr>
            <w:r>
              <w:rPr/>
              <w:t> </w:t>
            </w:r>
          </w:p>
        </w:tc>
        <w:tc>
          <w:tcPr>
            <w:tcW w:w="418" w:type="dxa"/>
            <w:tcBorders/>
            <w:shd w:fill="FFFFFF" w:val="clear"/>
            <w:vAlign w:val="center"/>
          </w:tcPr>
          <w:p>
            <w:pPr>
              <w:pStyle w:val="TableContents"/>
              <w:bidi w:val="0"/>
              <w:spacing w:before="0" w:after="283"/>
              <w:ind w:left="0" w:right="0" w:firstLine="160"/>
              <w:jc w:val="center"/>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+ 8.50%) / (2.50%)</w:t>
            </w:r>
          </w:p>
        </w:tc>
        <w:tc>
          <w:tcPr>
            <w:tcW w:w="69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14.04%/0.00%</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2/23/2023</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9,917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Common Equity (Units N/A) (j)</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2/21/2023</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558" w:type="dxa"/>
            <w:tcBorders/>
            <w:shd w:fill="CFF0FC" w:val="clear"/>
            <w:vAlign w:val="center"/>
          </w:tcPr>
          <w:p>
            <w:pPr>
              <w:pStyle w:val="TableContents"/>
              <w:bidi w:val="0"/>
              <w:spacing w:before="0" w:after="283"/>
              <w:jc w:val="left"/>
              <w:rPr>
                <w:sz w:val="4"/>
                <w:szCs w:val="4"/>
              </w:rPr>
            </w:pPr>
            <w:r>
              <w:rPr>
                <w:sz w:val="4"/>
                <w:szCs w:val="4"/>
              </w:rPr>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10,372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Virginia Tile Company, LLC</w:t>
            </w:r>
          </w:p>
        </w:tc>
        <w:tc>
          <w:tcPr>
            <w:tcW w:w="14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(17</w:t>
            </w:r>
            <w:r>
              <w:rPr>
                <w:rFonts w:ascii="Times New Roman" w:hAnsi="Times New Roman"/>
                <w:color w:val="000000"/>
                <w:sz w:val="20"/>
              </w:rPr>
              <w:t> </w:t>
            </w:r>
            <w:r>
              <w:rPr>
                <w:rFonts w:ascii="Times New Roman" w:hAnsi="Times New Roman"/>
                <w:color w:val="000000"/>
                <w:sz w:val="12"/>
              </w:rPr>
              <w:t>units) (j)</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12/19/2014</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558"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Virtex Enterprises, LP</w:t>
            </w:r>
          </w:p>
        </w:tc>
        <w:tc>
          <w:tcPr>
            <w:tcW w:w="14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Second Lien Debt (y)</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+ 9.75%) / (2.50%)</w:t>
            </w:r>
          </w:p>
        </w:tc>
        <w:tc>
          <w:tcPr>
            <w:tcW w:w="69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5.46%/9.75%</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4/13/2022</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5,340</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Subordinated Debt</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+ 4.00%) / (2.50%)</w:t>
            </w:r>
          </w:p>
        </w:tc>
        <w:tc>
          <w:tcPr>
            <w:tcW w:w="69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9.46%/0.00%</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9/20/2023</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11,263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White Label Communication, LLC</w:t>
            </w:r>
          </w:p>
        </w:tc>
        <w:tc>
          <w:tcPr>
            <w:tcW w:w="14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69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11.66%/0.00%</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10/11/2023</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17,405</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Common Equity (536units) (h)(j)</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10/11/2023</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Preferred Equity (5,000</w:t>
            </w:r>
            <w:r>
              <w:rPr>
                <w:rFonts w:ascii="Times New Roman" w:hAnsi="Times New Roman"/>
                <w:color w:val="000000"/>
                <w:sz w:val="20"/>
              </w:rPr>
              <w:t> </w:t>
            </w:r>
            <w:r>
              <w:rPr>
                <w:rFonts w:ascii="Times New Roman" w:hAnsi="Times New Roman"/>
                <w:color w:val="000000"/>
                <w:sz w:val="12"/>
              </w:rPr>
              <w:t>units) (h)(j)</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10/11/2023</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558" w:type="dxa"/>
            <w:tcBorders/>
            <w:shd w:fill="CFF0FC" w:val="clear"/>
            <w:vAlign w:val="center"/>
          </w:tcPr>
          <w:p>
            <w:pPr>
              <w:pStyle w:val="TableContents"/>
              <w:bidi w:val="0"/>
              <w:spacing w:before="0" w:after="283"/>
              <w:jc w:val="left"/>
              <w:rPr>
                <w:sz w:val="4"/>
                <w:szCs w:val="4"/>
              </w:rPr>
            </w:pPr>
            <w:r>
              <w:rPr>
                <w:sz w:val="4"/>
                <w:szCs w:val="4"/>
              </w:rPr>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17,905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Winona Foods, Inc.</w:t>
            </w:r>
          </w:p>
        </w:tc>
        <w:tc>
          <w:tcPr>
            <w:tcW w:w="14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+ 11.00%) / (6.00%)</w:t>
            </w:r>
          </w:p>
        </w:tc>
        <w:tc>
          <w:tcPr>
            <w:tcW w:w="69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12.00%/5.00%</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12/13/2023</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6/13/2027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1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r>
        <w:trPr/>
        <w:tc>
          <w:tcPr>
            <w:tcW w:w="2558"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Wonderware Holdings, LLC (dba CORE Business Technologies)</w:t>
            </w:r>
          </w:p>
        </w:tc>
        <w:tc>
          <w:tcPr>
            <w:tcW w:w="14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(k)(z)</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(1.00%)</w:t>
            </w:r>
          </w:p>
        </w:tc>
        <w:tc>
          <w:tcPr>
            <w:tcW w:w="69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12.59%/0.00%</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2/10/2021</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2/9/2026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8,291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CFF0FC" w:val="clear"/>
            <w:vAlign w:val="center"/>
          </w:tcPr>
          <w:p>
            <w:pPr>
              <w:pStyle w:val="TableContents"/>
              <w:bidi w:val="0"/>
              <w:spacing w:before="0" w:after="283"/>
              <w:jc w:val="left"/>
              <w:rPr>
                <w:sz w:val="4"/>
                <w:szCs w:val="4"/>
              </w:rPr>
            </w:pPr>
            <w:r>
              <w:rPr>
                <w:sz w:val="4"/>
                <w:szCs w:val="4"/>
              </w:rPr>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Worldwide Express Operations, LLC</w:t>
            </w:r>
          </w:p>
        </w:tc>
        <w:tc>
          <w:tcPr>
            <w:tcW w:w="14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services</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Second Lien Debt (j)</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(0.75%)</w:t>
            </w:r>
          </w:p>
        </w:tc>
        <w:tc>
          <w:tcPr>
            <w:tcW w:w="69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12.61%/0.00%</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8/2/2021</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7/26/2029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26,562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27,116</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Common Equity (795,000units) (j)</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7/21/2021</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776</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(752,380</w:t>
            </w:r>
            <w:r>
              <w:rPr>
                <w:rFonts w:ascii="Times New Roman" w:hAnsi="Times New Roman"/>
                <w:color w:val="000000"/>
                <w:sz w:val="20"/>
              </w:rPr>
              <w:t> </w:t>
            </w:r>
            <w:r>
              <w:rPr>
                <w:rFonts w:ascii="Times New Roman" w:hAnsi="Times New Roman"/>
                <w:color w:val="000000"/>
                <w:sz w:val="12"/>
              </w:rPr>
              <w:t>units) (h)(j)</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7/26/2021</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4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CFF0FC" w:val="cle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Zonkd, LLC</w:t>
            </w:r>
          </w:p>
        </w:tc>
        <w:tc>
          <w:tcPr>
            <w:tcW w:w="14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ind w:left="0" w:right="0" w:firstLine="160"/>
              <w:jc w:val="left"/>
              <w:rPr/>
            </w:pPr>
            <w:r>
              <w:rPr/>
              <w:t> </w:t>
            </w:r>
          </w:p>
        </w:tc>
      </w:tr>
      <w:tr>
        <w:trPr/>
        <w:tc>
          <w:tcPr>
            <w:tcW w:w="2558"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First Lien Debt (j)</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+ 10.00%) / (1.00%)</w:t>
            </w:r>
          </w:p>
        </w:tc>
        <w:tc>
          <w:tcPr>
            <w:tcW w:w="69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16.63%/0.00%</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3/18/2022</w:t>
            </w:r>
          </w:p>
        </w:tc>
        <w:tc>
          <w:tcPr>
            <w:tcW w:w="5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3/18/2027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4,152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4,300</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ind w:left="0" w:right="0" w:firstLine="160"/>
              <w:jc w:val="left"/>
              <w:rPr/>
            </w:pPr>
            <w:r>
              <w:rPr/>
              <w:t> </w:t>
            </w:r>
          </w:p>
        </w:tc>
      </w:tr>
      <w:tr>
        <w:trPr/>
        <w:tc>
          <w:tcPr>
            <w:tcW w:w="2558"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2"/>
              </w:rPr>
              <w:t>Common Equity (4,987</w:t>
            </w:r>
            <w:r>
              <w:rPr>
                <w:rFonts w:ascii="Times New Roman" w:hAnsi="Times New Roman"/>
                <w:color w:val="000000"/>
                <w:sz w:val="20"/>
              </w:rPr>
              <w:t> </w:t>
            </w:r>
            <w:r>
              <w:rPr>
                <w:rFonts w:ascii="Times New Roman" w:hAnsi="Times New Roman"/>
                <w:color w:val="000000"/>
                <w:sz w:val="12"/>
              </w:rPr>
              <w:t>units) (h)(j)</w:t>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3/18/2022</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CFF0FC" w:val="clear"/>
            <w:vAlign w:val="center"/>
          </w:tcPr>
          <w:p>
            <w:pPr>
              <w:pStyle w:val="TableContents"/>
              <w:bidi w:val="0"/>
              <w:spacing w:before="0" w:after="283"/>
              <w:jc w:val="left"/>
              <w:rPr>
                <w:sz w:val="4"/>
                <w:szCs w:val="4"/>
              </w:rPr>
            </w:pPr>
            <w:r>
              <w:rPr>
                <w:sz w:val="4"/>
                <w:szCs w:val="4"/>
              </w:rPr>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Non-control/Non-affiliate Investments</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883,312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874,030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w:t>
            </w:r>
          </w:p>
        </w:tc>
        <w:tc>
          <w:tcPr>
            <w:tcW w:w="4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CFF0FC" w:val="clear"/>
            <w:vAlign w:val="center"/>
          </w:tcPr>
          <w:p>
            <w:pPr>
              <w:pStyle w:val="TableContents"/>
              <w:bidi w:val="0"/>
              <w:spacing w:before="0" w:after="283"/>
              <w:jc w:val="left"/>
              <w:rPr>
                <w:sz w:val="4"/>
                <w:szCs w:val="4"/>
              </w:rPr>
            </w:pPr>
            <w:r>
              <w:rPr>
                <w:sz w:val="4"/>
                <w:szCs w:val="4"/>
              </w:rPr>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936,629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957,906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w:t>
            </w:r>
          </w:p>
        </w:tc>
        <w:tc>
          <w:tcPr>
            <w:tcW w:w="41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58" w:type="dxa"/>
            <w:tcBorders/>
            <w:shd w:fill="CFF0FC" w:val="clear"/>
            <w:vAlign w:val="center"/>
          </w:tcPr>
          <w:p>
            <w:pPr>
              <w:pStyle w:val="TableContents"/>
              <w:bidi w:val="0"/>
              <w:spacing w:before="0" w:after="283"/>
              <w:jc w:val="left"/>
              <w:rPr>
                <w:sz w:val="4"/>
                <w:szCs w:val="4"/>
              </w:rPr>
            </w:pPr>
            <w:r>
              <w:rPr>
                <w:sz w:val="4"/>
                <w:szCs w:val="4"/>
              </w:rPr>
            </w:r>
          </w:p>
        </w:tc>
        <w:tc>
          <w:tcPr>
            <w:tcW w:w="1403"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r>
      <w:tr>
        <w:trPr/>
        <w:tc>
          <w:tcPr>
            <w:tcW w:w="2558"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Money market funds (included in cash and cash equivalents)</w:t>
            </w:r>
          </w:p>
        </w:tc>
        <w:tc>
          <w:tcPr>
            <w:tcW w:w="1403"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89" w:type="dxa"/>
        <w:jc w:val="left"/>
        <w:tblInd w:w="0" w:type="dxa"/>
        <w:tblLayout w:type="fixed"/>
        <w:tblCellMar>
          <w:top w:w="28" w:type="dxa"/>
          <w:left w:w="28" w:type="dxa"/>
          <w:bottom w:w="28" w:type="dxa"/>
          <w:right w:w="28" w:type="dxa"/>
        </w:tblCellMar>
      </w:tblPr>
      <w:tblGrid>
        <w:gridCol w:w="4751"/>
        <w:gridCol w:w="146"/>
        <w:gridCol w:w="146"/>
        <w:gridCol w:w="146"/>
        <w:gridCol w:w="146"/>
        <w:gridCol w:w="146"/>
        <w:gridCol w:w="146"/>
        <w:gridCol w:w="146"/>
        <w:gridCol w:w="146"/>
        <w:gridCol w:w="166"/>
        <w:gridCol w:w="586"/>
        <w:gridCol w:w="146"/>
        <w:gridCol w:w="146"/>
        <w:gridCol w:w="166"/>
        <w:gridCol w:w="586"/>
        <w:gridCol w:w="146"/>
        <w:gridCol w:w="146"/>
        <w:gridCol w:w="286"/>
        <w:gridCol w:w="496"/>
      </w:tblGrid>
      <w:tr>
        <w:trPr/>
        <w:tc>
          <w:tcPr>
            <w:tcW w:w="4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475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2"/>
              </w:rPr>
            </w:pPr>
            <w:r>
              <w:rPr>
                <w:rFonts w:ascii="Times New Roman" w:hAnsi="Times New Roman"/>
                <w:color w:val="000000"/>
                <w:sz w:val="12"/>
              </w:rPr>
              <w:t>Goldman Sachs Financial Square Treasury Obligation Institution CUSIP (38141W323) (ad)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496" w:type="dxa"/>
            <w:tcBorders/>
            <w:shd w:fill="CFF0FC" w:val="clear"/>
            <w:vAlign w:val="center"/>
          </w:tcPr>
          <w:p>
            <w:pPr>
              <w:pStyle w:val="TableContents"/>
              <w:bidi w:val="0"/>
              <w:spacing w:before="0" w:after="283"/>
              <w:ind w:left="0" w:right="0" w:firstLine="240"/>
              <w:jc w:val="left"/>
              <w:rPr>
                <w:rFonts w:ascii="Times New Roman" w:hAnsi="Times New Roman"/>
                <w:color w:val="000000"/>
                <w:sz w:val="12"/>
              </w:rPr>
            </w:pPr>
            <w:r>
              <w:rPr>
                <w:rFonts w:ascii="Times New Roman" w:hAnsi="Times New Roman"/>
                <w:color w:val="000000"/>
                <w:sz w:val="12"/>
              </w:rPr>
              <w:t>%</w:t>
            </w:r>
          </w:p>
        </w:tc>
      </w:tr>
      <w:tr>
        <w:trPr/>
        <w:tc>
          <w:tcPr>
            <w:tcW w:w="4751" w:type="dxa"/>
            <w:tcBorders/>
            <w:shd w:fill="FFFFFF" w:val="clear"/>
            <w:vAlign w:val="center"/>
          </w:tcPr>
          <w:p>
            <w:pPr>
              <w:pStyle w:val="TableContents"/>
              <w:bidi w:val="0"/>
              <w:spacing w:before="0" w:after="283"/>
              <w:ind w:left="240" w:right="0" w:firstLine="240"/>
              <w:jc w:val="left"/>
              <w:rPr>
                <w:rFonts w:ascii="Times New Roman" w:hAnsi="Times New Roman"/>
                <w:b/>
                <w:color w:val="000000"/>
                <w:sz w:val="12"/>
              </w:rPr>
            </w:pPr>
            <w:r>
              <w:rPr>
                <w:rFonts w:ascii="Times New Roman" w:hAnsi="Times New Roman"/>
                <w:b/>
                <w:color w:val="000000"/>
                <w:sz w:val="12"/>
              </w:rPr>
              <w:t>Total money market funds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114,556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114,556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4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4751"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Money Market Funds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1,051,185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1,072,462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49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(a) See Note 3 to the consolidated financial statements for portfolio composition by geographic location.</w:t>
      </w:r>
    </w:p>
    <w:p>
      <w:pPr>
        <w:pStyle w:val="TextBody"/>
        <w:bidi w:val="0"/>
        <w:jc w:val="left"/>
        <w:rPr>
          <w:rFonts w:ascii="Times New Roman" w:hAnsi="Times New Roman"/>
          <w:color w:val="000000"/>
          <w:sz w:val="12"/>
        </w:rPr>
      </w:pPr>
      <w:r>
        <w:rPr>
          <w:rFonts w:ascii="Times New Roman" w:hAnsi="Times New Roman"/>
          <w:color w:val="000000"/>
          <w:sz w:val="12"/>
        </w:rPr>
        <w:t>(b) Equity ownership may be held in shares or units of companies related to the portfolio companies.</w:t>
      </w:r>
    </w:p>
    <w:p>
      <w:pPr>
        <w:pStyle w:val="TextBody"/>
        <w:bidi w:val="0"/>
        <w:jc w:val="left"/>
        <w:rPr>
          <w:rFonts w:ascii="Times New Roman" w:hAnsi="Times New Roman"/>
          <w:color w:val="000000"/>
          <w:sz w:val="12"/>
        </w:rPr>
      </w:pPr>
      <w:r>
        <w:rPr>
          <w:rFonts w:ascii="Times New Roman" w:hAnsi="Times New Roman"/>
          <w:color w:val="000000"/>
          <w:sz w:val="12"/>
        </w:rPr>
        <w:t>(c) All debt investments are income producing, unless otherwise indicated.</w:t>
      </w:r>
    </w:p>
    <w:p>
      <w:pPr>
        <w:pStyle w:val="TextBody"/>
        <w:bidi w:val="0"/>
        <w:jc w:val="left"/>
        <w:rPr>
          <w:rFonts w:ascii="Times New Roman" w:hAnsi="Times New Roman"/>
          <w:color w:val="000000"/>
          <w:sz w:val="12"/>
        </w:rPr>
      </w:pPr>
      <w:r>
        <w:rPr>
          <w:rFonts w:ascii="Times New Roman" w:hAnsi="Times New Roman"/>
          <w:color w:val="000000"/>
          <w:sz w:val="12"/>
        </w:rPr>
        <w:t>Equity investments are non-income producing unless otherwise noted.</w:t>
      </w:r>
    </w:p>
    <w:p>
      <w:pPr>
        <w:pStyle w:val="TextBody"/>
        <w:bidi w:val="0"/>
        <w:jc w:val="left"/>
        <w:rPr>
          <w:rFonts w:ascii="Times New Roman" w:hAnsi="Times New Roman"/>
          <w:color w:val="000000"/>
          <w:sz w:val="12"/>
        </w:rPr>
      </w:pPr>
      <w:r>
        <w:rPr>
          <w:rFonts w:ascii="Times New Roman" w:hAnsi="Times New Roman"/>
          <w:color w:val="000000"/>
          <w:sz w:val="12"/>
        </w:rPr>
        <w:t>(d) 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December 31, 2023.</w:t>
      </w:r>
    </w:p>
    <w:p>
      <w:pPr>
        <w:pStyle w:val="TextBody"/>
        <w:bidi w:val="0"/>
        <w:jc w:val="left"/>
        <w:rPr>
          <w:rFonts w:ascii="Times New Roman" w:hAnsi="Times New Roman"/>
          <w:color w:val="000000"/>
          <w:sz w:val="12"/>
        </w:rPr>
      </w:pPr>
      <w:r>
        <w:rPr>
          <w:rFonts w:ascii="Times New Roman" w:hAnsi="Times New Roman"/>
          <w:color w:val="000000"/>
          <w:sz w:val="12"/>
        </w:rPr>
        <w:t>(e) Rate includes the cash interest or dividend rate and paid-in-kind interest or dividend rate, if any, as of December 31, 2023. Generally, payment-in-kind interest can be paid-in-kind or all in cash.</w:t>
      </w:r>
    </w:p>
    <w:p>
      <w:pPr>
        <w:pStyle w:val="TextBody"/>
        <w:bidi w:val="0"/>
        <w:jc w:val="left"/>
        <w:rPr>
          <w:rFonts w:ascii="Times New Roman" w:hAnsi="Times New Roman"/>
          <w:color w:val="000000"/>
          <w:sz w:val="12"/>
        </w:rPr>
      </w:pPr>
      <w:r>
        <w:rPr>
          <w:rFonts w:ascii="Times New Roman" w:hAnsi="Times New Roman"/>
          <w:color w:val="000000"/>
          <w:sz w:val="12"/>
        </w:rPr>
        <w:t>(f) Investment date represents the date of the initial investment in the security.</w:t>
      </w:r>
    </w:p>
    <w:p>
      <w:pPr>
        <w:pStyle w:val="TextBody"/>
        <w:bidi w:val="0"/>
        <w:jc w:val="left"/>
        <w:rPr>
          <w:rFonts w:ascii="Times New Roman" w:hAnsi="Times New Roman"/>
          <w:color w:val="000000"/>
          <w:sz w:val="12"/>
        </w:rPr>
      </w:pPr>
      <w:r>
        <w:rPr>
          <w:rFonts w:ascii="Times New Roman" w:hAnsi="Times New Roman"/>
          <w:color w:val="000000"/>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bidi w:val="0"/>
        <w:jc w:val="left"/>
        <w:rPr>
          <w:rFonts w:ascii="Times New Roman" w:hAnsi="Times New Roman"/>
          <w:color w:val="000000"/>
          <w:sz w:val="12"/>
        </w:rPr>
      </w:pPr>
      <w:r>
        <w:rPr>
          <w:rFonts w:ascii="Times New Roman" w:hAnsi="Times New Roman"/>
          <w:color w:val="000000"/>
          <w:sz w:val="12"/>
        </w:rPr>
        <w:t>(h) Investment is held by a taxable subsidiary of the Company.</w:t>
      </w:r>
    </w:p>
    <w:p>
      <w:pPr>
        <w:pStyle w:val="TextBody"/>
        <w:bidi w:val="0"/>
        <w:jc w:val="left"/>
        <w:rPr>
          <w:rFonts w:ascii="Times New Roman" w:hAnsi="Times New Roman"/>
          <w:color w:val="000000"/>
          <w:sz w:val="12"/>
        </w:rPr>
      </w:pPr>
      <w:r>
        <w:rPr>
          <w:rFonts w:ascii="Times New Roman" w:hAnsi="Times New Roman"/>
          <w:color w:val="000000"/>
          <w:sz w:val="12"/>
        </w:rPr>
        <w:t>(i) The disclosed commitment represents the unfunded amount as of December 31, 2023. The Company is earning 0.50% interest on the unfunded balance of the commitment. The interest rate disclosed represents the rate which will be earned if the commitment is funded.</w:t>
      </w:r>
    </w:p>
    <w:p>
      <w:pPr>
        <w:pStyle w:val="TextBody"/>
        <w:bidi w:val="0"/>
        <w:jc w:val="left"/>
        <w:rPr>
          <w:rFonts w:ascii="Times New Roman" w:hAnsi="Times New Roman"/>
          <w:color w:val="000000"/>
          <w:sz w:val="12"/>
        </w:rPr>
      </w:pPr>
      <w:r>
        <w:rPr>
          <w:rFonts w:ascii="Times New Roman" w:hAnsi="Times New Roman"/>
          <w:color w:val="000000"/>
          <w:sz w:val="12"/>
        </w:rPr>
        <w:t>(j) 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(k) 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bidi w:val="0"/>
        <w:jc w:val="left"/>
        <w:rPr>
          <w:rFonts w:ascii="Times New Roman" w:hAnsi="Times New Roman"/>
          <w:color w:val="000000"/>
          <w:sz w:val="12"/>
        </w:rPr>
      </w:pPr>
      <w:r>
        <w:rPr>
          <w:rFonts w:ascii="Times New Roman" w:hAnsi="Times New Roman"/>
          <w:color w:val="000000"/>
          <w:sz w:val="12"/>
        </w:rPr>
        <w:t>(n) Investment in portfolio company that has sold its operations and is in the process of winding down.</w:t>
      </w:r>
    </w:p>
    <w:p>
      <w:pPr>
        <w:pStyle w:val="TextBody"/>
        <w:bidi w:val="0"/>
        <w:jc w:val="left"/>
        <w:rPr>
          <w:rFonts w:ascii="Times New Roman" w:hAnsi="Times New Roman"/>
          <w:sz w:val="20"/>
        </w:rPr>
      </w:pPr>
      <w:r>
        <w:rPr>
          <w:rFonts w:ascii="Times New Roman" w:hAnsi="Times New Roman"/>
          <w:color w:val="000000"/>
          <w:sz w:val="12"/>
        </w:rPr>
        <w:t>(o) The Company sold a participating interest of approximately $0.3</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(p)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(q) In addition to the interest earned based on the stated interest rate of this security, the Company is entitled to receive an additional interest amount of 3.09%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(r) In addition to the interest earned based on the stated interest rate of this security, the Company is entitled to receive an additional interest amount of 3.22%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(s) In addition to the interest earned based on the stated interest rate of this security, the Company is entitled to receive an additional interest amount of 2.19%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(u) In addition to the interest earned based on the stated interest rate of this security, the Company is entitled to receive an additional interest amount of 2.33%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(v) In addition to the interest earned based on the stated interest rate of this security, the Company is entitled to receive an additional interest amount of 2.63%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(w) The disclosed commitment represents the unfunded amount as of December 31, 2023. The Company is earning 1.00%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2"/>
        </w:rPr>
      </w:pPr>
      <w:r>
        <w:rPr>
          <w:rFonts w:ascii="Times New Roman" w:hAnsi="Times New Roman"/>
          <w:color w:val="000000"/>
          <w:sz w:val="12"/>
        </w:rPr>
        <w:t>(x) In addition to the interest earned based on the stated interest rate of this security, the Company is entitled to receive an additional interest amount of 2.37%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(y) Investment was on non-accrual status as of December 31, 2023.</w:t>
      </w:r>
    </w:p>
    <w:p>
      <w:pPr>
        <w:pStyle w:val="TextBody"/>
        <w:bidi w:val="0"/>
        <w:jc w:val="left"/>
        <w:rPr>
          <w:rFonts w:ascii="Times New Roman" w:hAnsi="Times New Roman"/>
          <w:color w:val="000000"/>
          <w:sz w:val="12"/>
        </w:rPr>
      </w:pPr>
      <w:r>
        <w:rPr>
          <w:rFonts w:ascii="Times New Roman" w:hAnsi="Times New Roman"/>
          <w:color w:val="000000"/>
          <w:sz w:val="12"/>
        </w:rPr>
        <w:t>(z) In addition to the interest earned based on the stated interest rate of this security, the Company is entitled to receive an additional interest amount of 4.60%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(aa) The Company sold a participating interest of approximately $4.0</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(ab) In addition to the interest earned based on the stated interest rate of this security, the Company is entitled to receive an additional interest amount of 7.72%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(ac) In addition to the interest earned based on the stated interest rate of this security, the Company is entitled to receive an additional cash interest amount of 3.75% and PIK interest amount of 0.82%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(ad) This investment is classified as a Level 1 investment. For further detail on the fair value measurements, see Note 4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(ae) In addition to the interest earned based on the stated interest rate of this security, the Company is entitled to receive an additional interest amount of 1.20%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(ag) In addition to the interest earned based on the stated interest rate of this security, the Company is entitled to receive an additional interest amount of 4.44%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(ah) In addition to the interest earned based on the stated interest rate of this security, the Company is entitled to receive an additional interest amount of 1.62%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(ai) In addition to the interest earned based on the stated interest rate of this security, the Company is entitled to receive an additional interest amount of 3.36%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(ak) In addition to the interest earned based on the stated interest rate of this security, the Company is entitled to receive an additional interest amount of 3.47%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(al) In addition to the interest earned based on the stated interest rate of this security, the Company is entitled to receive an additional interest amount of 5.04%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(am) In addition to the interest earned based on the stated interest rate of this security, the Company is entitled to receive an additional interest amount of 3.23%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(an) The Company sold a participating interest of approximately $13.5</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2023, total non-qualifying assets at fair value represented 1.17% of the Company's total assets calculated in accordance with the 1940 Act.</w:t>
      </w:r>
    </w:p>
    <w:p>
      <w:pPr>
        <w:pStyle w:val="TextBody"/>
        <w:bidi w:val="0"/>
        <w:jc w:val="left"/>
        <w:rPr>
          <w:rFonts w:ascii="Times New Roman" w:hAnsi="Times New Roman"/>
          <w:color w:val="000000"/>
          <w:sz w:val="12"/>
        </w:rPr>
      </w:pPr>
      <w:r>
        <w:rPr>
          <w:rFonts w:ascii="Times New Roman" w:hAnsi="Times New Roman"/>
          <w:color w:val="000000"/>
          <w:sz w:val="12"/>
        </w:rPr>
        <w:t>(ap) In addition to the interest earned based on the stated interest rate of this security, the Company is entitled to receive an additional cash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(aq) The headquarters of this portfolio company is located in Canada.</w:t>
      </w:r>
    </w:p>
    <w:p>
      <w:pPr>
        <w:pStyle w:val="TextBody"/>
        <w:bidi w:val="0"/>
        <w:jc w:val="left"/>
        <w:rPr>
          <w:rFonts w:ascii="Times New Roman" w:hAnsi="Times New Roman"/>
          <w:color w:val="000000"/>
          <w:sz w:val="12"/>
        </w:rPr>
      </w:pPr>
      <w:r>
        <w:rPr>
          <w:rFonts w:ascii="Times New Roman" w:hAnsi="Times New Roman"/>
          <w:color w:val="000000"/>
          <w:sz w:val="12"/>
        </w:rPr>
        <w:t>(ar) 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(as) In addition to the interest earned based on the stated interest rate of this security, the Company is entitled to receive an additional interest amount of 2.80%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(at) In addition to the interest earned based on the stated interest rate of this security, the Company is entitled to receive an additional interest amount of 2.55%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(au) In addition to the interest earned based on the stated interest rate of this security, the Company is entitled to receive an additional interest amount of 2.80%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center"/>
        <w:rPr>
          <w:rFonts w:ascii="Times New Roman" w:hAnsi="Times New Roman"/>
          <w:i/>
          <w:color w:val="000000"/>
          <w:sz w:val="12"/>
        </w:rPr>
      </w:pPr>
      <w:r>
        <w:rPr>
          <w:rFonts w:ascii="Times New Roman" w:hAnsi="Times New Roman"/>
          <w:i/>
          <w:color w:val="000000"/>
          <w:sz w:val="12"/>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b/>
          <w:color w:val="000000"/>
          <w:sz w:val="20"/>
        </w:rPr>
      </w:pPr>
      <w:bookmarkStart w:id="9" w:name="notes_consolidated_financial_statements"/>
      <w:bookmarkEnd w:id="9"/>
      <w:r>
        <w:rPr>
          <w:rFonts w:ascii="Times New Roman" w:hAnsi="Times New Roman"/>
          <w:b/>
          <w:color w:val="000000"/>
          <w:sz w:val="20"/>
        </w:rPr>
        <w:t>Note 1. Organization and Nature of Business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Fund III is licensed by the U.S. Small Business Administration (the “SBA”) as a small business investment company (“SBIC”). The SBIC license allows Fund III to obtain leverage by issuing SBA-guaranteed debentures (“SBA debentures”), subject to the issuance of leverage commitments by the SBA and other customary procedures. As a SBIC, Fund III is subject to regulations of and oversight by the SBA under the Small Business Investment Act of 1958, as amended (the “SBIC Act”), concerning, among other things, the size and nature of the companies in which they may invest and the structure of those investments. Fund II completed its wind-down plan, can no longer issue additional SBA debentures, and relinquished its SBIC license on March 7, 2024, which remains subject to the SBA's approval.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believe that utilizing both FIC and Fund III as investment vehicles provides us with access to a broader array of investment opportunities. Given our access to lower cost capital through the SBA’s SBIC debenture program, we expect that we will continue to make investments through Fund III until the earlier of the end of Fund III's investment period, if applicable, or Fund III reaches their borrowing limit under the SBA program. For two or more SBICs under common control, the maximum amount of outstanding SBA debentures cannot exceed $350,000.</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Fund II and Fund III are not registered under the 1940 Act and rely on the exclusion from the definition of investment company contained in Section 3(c)(7) of the 1940 Act.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pays a quarterly base management fee and an incentive fee to Fidus Investment Advisors, LLC, our investment advisor (the “Investment Advisor” or “Fidus Investment Advisors”) under an investment advisory agreement (the “Investment Advisory Agreement”).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spacing w:before="180" w:after="283"/>
        <w:jc w:val="both"/>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The accompanying consolidated financial statements of the Company have been prepared in accordance with generally accepted accounting principles in the United States of America (“GAAP”) pursuant to the requirements for reporting on Form 10-Q, Accounting Standards Codification (“ASC”) 946, </w:t>
      </w:r>
      <w:r>
        <w:rPr>
          <w:rFonts w:ascii="Times New Roman" w:hAnsi="Times New Roman"/>
          <w:i/>
          <w:color w:val="000000"/>
          <w:sz w:val="20"/>
        </w:rPr>
        <w:t xml:space="preserve">Financial Services – Investment Companies </w:t>
      </w:r>
      <w:r>
        <w:rPr>
          <w:rFonts w:ascii="Times New Roman" w:hAnsi="Times New Roman"/>
          <w:color w:val="000000"/>
          <w:sz w:val="20"/>
        </w:rPr>
        <w:t>(“ASC 946”), and Articles 6 and 10 of Regulation S-X. In the opinion of management, the consolidated financial statements reflect all adjustments and reclassifications consisting solely of normal accruals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2023.</w:t>
      </w:r>
    </w:p>
    <w:p>
      <w:pPr>
        <w:pStyle w:val="TextBody"/>
        <w:bidi w:val="0"/>
        <w:spacing w:before="180" w:after="283"/>
        <w:jc w:val="both"/>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180" w:after="283"/>
        <w:jc w:val="both"/>
        <w:rPr>
          <w:rFonts w:ascii="Times New Roman" w:hAnsi="Times New Roman"/>
          <w:sz w:val="20"/>
        </w:rPr>
      </w:pPr>
      <w:r>
        <w:rPr>
          <w:rFonts w:ascii="Times New Roman" w:hAnsi="Times New Roman"/>
          <w:i/>
          <w:color w:val="000000"/>
          <w:sz w:val="20"/>
        </w:rPr>
        <w:t>Consolidation:</w:t>
      </w:r>
      <w:r>
        <w:rPr>
          <w:rFonts w:ascii="Times New Roman" w:hAnsi="Times New Roman"/>
          <w:color w:val="000000"/>
          <w:sz w:val="20"/>
        </w:rPr>
        <w:t xml:space="preserve"> Pursuant to Article 6 of Regulation S-X and ASC 946, the Company will generally not consolidate its investments in a company 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Fund III. All significant intercompany balances and transactions have been eliminated.</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risks:</w:t>
      </w:r>
      <w:r>
        <w:rPr>
          <w:rFonts w:ascii="Times New Roman" w:hAnsi="Times New Roman"/>
          <w:color w:val="000000"/>
          <w:sz w:val="20"/>
        </w:rPr>
        <w:t xml:space="preserve"> The Company’s investments are subject to a variety of risks. These risks may include, but are not limited to the following: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0"/>
        </w:rPr>
      </w:pPr>
      <w:r>
        <w:rPr>
          <w:rFonts w:ascii="Times New Roman" w:hAnsi="Times New Roman"/>
          <w:i/>
          <w:color w:val="000000"/>
          <w:sz w:val="20"/>
        </w:rPr>
        <w:t xml:space="preserve">Market risk - </w:t>
      </w:r>
      <w:r>
        <w:rPr>
          <w:rFonts w:ascii="Times New Roman" w:hAnsi="Times New Roman"/>
          <w:color w:val="000000"/>
          <w:sz w:val="20"/>
        </w:rPr>
        <w:t>In contrast to investment-grade bonds (the market prices of which change primarily as a reaction to changes in interest 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Credit risk - </w:t>
      </w:r>
      <w:r>
        <w:rPr>
          <w:rFonts w:ascii="Times New Roman" w:hAnsi="Times New Roman"/>
          <w:color w:val="000000"/>
          <w:sz w:val="20"/>
        </w:rPr>
        <w:t xml:space="preserve">Credit risk represents the risk that the Company would incur if the counterparties failed to perform pursuant to the terms of their agreements with the Company. Issues of high-yield debt securities in which the Company invests are more likely to default on interest or principal than are issues of investment-grade securities.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Liquidity risk - </w:t>
      </w:r>
      <w:r>
        <w:rPr>
          <w:rFonts w:ascii="Times New Roman" w:hAnsi="Times New Roman"/>
          <w:color w:val="000000"/>
          <w:sz w:val="20"/>
        </w:rPr>
        <w:t xml:space="preserve">Liquidity risk represents the possibility that the Company may not be able to sell its investments quickly or at a reasonable price (given the lack of an established market).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Interest rate risk - </w:t>
      </w:r>
      <w:r>
        <w:rPr>
          <w:rFonts w:ascii="Times New Roman" w:hAnsi="Times New Roman"/>
          <w:color w:val="000000"/>
          <w:sz w:val="20"/>
        </w:rPr>
        <w:t xml:space="preserve">Interest rate risk represents the likelihood that a change in interest rates could have an adverse impact on the fair value of an interest-bearing financial instrument.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Prepayment risk - </w:t>
      </w:r>
      <w:r>
        <w:rPr>
          <w:rFonts w:ascii="Times New Roman" w:hAnsi="Times New Roman"/>
          <w:color w:val="000000"/>
          <w:sz w:val="20"/>
        </w:rPr>
        <w:t>Certain of the Company’s debt investments allow for prepayment of principal without penalty. Downward changes 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Off-Balance sheet risk - </w:t>
      </w:r>
      <w:r>
        <w:rPr>
          <w:rFonts w:ascii="Times New Roman" w:hAnsi="Times New Roman"/>
          <w:color w:val="000000"/>
          <w:sz w:val="20"/>
        </w:rPr>
        <w:t>Some of the Company’s financial instruments contain off-balance sheet risk. Generally, these financial instruments represent future commitments to purchase other financial instruments at defined terms at defined future dates. See Note 7 for further details.</w:t>
      </w:r>
    </w:p>
    <w:p>
      <w:pPr>
        <w:pStyle w:val="TextBody"/>
        <w:bidi w:val="0"/>
        <w:spacing w:before="180" w:after="283"/>
        <w:jc w:val="both"/>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The Company measures and discloses fair value with respect to substantially all of its financial instruments in accordance with ASC Topic 820 — </w:t>
      </w:r>
      <w:r>
        <w:rPr>
          <w:rFonts w:ascii="Times New Roman" w:hAnsi="Times New Roman"/>
          <w:i/>
          <w:color w:val="000000"/>
          <w:sz w:val="20"/>
        </w:rPr>
        <w:t>Fair Value Measurements and Disclosures</w:t>
      </w:r>
      <w:r>
        <w:rPr>
          <w:rFonts w:ascii="Times New Roman" w:hAnsi="Times New Roman"/>
          <w:color w:val="000000"/>
          <w:sz w:val="20"/>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classification:</w:t>
      </w:r>
      <w:r>
        <w:rPr>
          <w:rFonts w:ascii="Times New Roman" w:hAnsi="Times New Roman"/>
          <w:color w:val="000000"/>
          <w:sz w:val="20"/>
        </w:rPr>
        <w:t xml:space="preserve"> The Company classifies its investments in accordance with the requirements of the 1940 Act. Under the 1940 Act, “Control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 </w:t>
      </w:r>
    </w:p>
    <w:p>
      <w:pPr>
        <w:pStyle w:val="TextBody"/>
        <w:bidi w:val="0"/>
        <w:spacing w:before="180" w:after="283"/>
        <w:jc w:val="both"/>
        <w:rPr>
          <w:rFonts w:ascii="Times New Roman" w:hAnsi="Times New Roman"/>
          <w:sz w:val="20"/>
        </w:rPr>
      </w:pPr>
      <w:r>
        <w:rPr>
          <w:rFonts w:ascii="Times New Roman" w:hAnsi="Times New Roman"/>
          <w:i/>
          <w:color w:val="000000"/>
          <w:sz w:val="20"/>
        </w:rPr>
        <w:t>Segments:</w:t>
      </w:r>
      <w:r>
        <w:rPr>
          <w:rFonts w:ascii="Times New Roman" w:hAnsi="Times New Roman"/>
          <w:color w:val="000000"/>
          <w:sz w:val="20"/>
        </w:rPr>
        <w:t xml:space="preserve"> In accordance with ASC Topic 280 — </w:t>
      </w:r>
      <w:r>
        <w:rPr>
          <w:rFonts w:ascii="Times New Roman" w:hAnsi="Times New Roman"/>
          <w:i/>
          <w:color w:val="000000"/>
          <w:sz w:val="20"/>
        </w:rPr>
        <w:t>Segment Reporting</w:t>
      </w:r>
      <w:r>
        <w:rPr>
          <w:rFonts w:ascii="Times New Roman" w:hAnsi="Times New Roman"/>
          <w:color w:val="000000"/>
          <w:sz w:val="20"/>
        </w:rPr>
        <w:t>, the Company has determined that it has a single reporting segment and operating unit structure.</w:t>
      </w:r>
    </w:p>
    <w:p>
      <w:pPr>
        <w:pStyle w:val="TextBody"/>
        <w:bidi w:val="0"/>
        <w:spacing w:before="180" w:after="283"/>
        <w:jc w:val="both"/>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Cash and cash equivalents are highly liquid investments with an original maturity of three months or less at the date of acquisition. The Company places its cash in financial institutions and, at times, such balances may be in excess of the Federal Deposit Insurance Corporation insurance limits. The Company does not believe its cash balances are exposed to any significant credit risk.</w:t>
      </w:r>
    </w:p>
    <w:p>
      <w:pPr>
        <w:pStyle w:val="TextBody"/>
        <w:bidi w:val="0"/>
        <w:spacing w:before="180" w:after="283"/>
        <w:jc w:val="both"/>
        <w:rPr>
          <w:rFonts w:ascii="Times New Roman" w:hAnsi="Times New Roman"/>
          <w:sz w:val="20"/>
        </w:rPr>
      </w:pPr>
      <w:r>
        <w:rPr>
          <w:rFonts w:ascii="Times New Roman" w:hAnsi="Times New Roman"/>
          <w:i/>
          <w:color w:val="000000"/>
          <w:sz w:val="20"/>
        </w:rPr>
        <w:t>Deferred financing costs:</w:t>
      </w:r>
      <w:r>
        <w:rPr>
          <w:rFonts w:ascii="Times New Roman" w:hAnsi="Times New Roman"/>
          <w:color w:val="000000"/>
          <w:sz w:val="20"/>
        </w:rPr>
        <w:t xml:space="preserve"> Deferred financing costs consist of fees and expenses paid in connection with the SBA debentures, the Credit Facility and 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sz w:val="20"/>
        </w:rPr>
      </w:pPr>
      <w:r>
        <w:rPr>
          <w:rFonts w:ascii="Times New Roman" w:hAnsi="Times New Roman"/>
          <w:i/>
          <w:color w:val="000000"/>
          <w:sz w:val="20"/>
        </w:rPr>
        <w:t>Realized losses on extinguishment of debt:</w:t>
      </w:r>
      <w:r>
        <w:rPr>
          <w:rFonts w:ascii="Times New Roman" w:hAnsi="Times New Roman"/>
          <w:color w:val="000000"/>
          <w:sz w:val="20"/>
        </w:rPr>
        <w:t xml:space="preserve"> Upon the repayment of debt obligations which are deemed to be extinguishments, the difference between the principal amount due at maturity, adjusted for any unamortized deferred financing costs, is recognized as a loss (i.e., the unamortized deferred financing costs are recognized as a loss upon extinguishment of the underlying debt obligation).</w:t>
      </w:r>
    </w:p>
    <w:p>
      <w:pPr>
        <w:pStyle w:val="TextBody"/>
        <w:bidi w:val="0"/>
        <w:spacing w:before="180" w:after="283"/>
        <w:jc w:val="both"/>
        <w:rPr>
          <w:rFonts w:ascii="Times New Roman" w:hAnsi="Times New Roman"/>
          <w:sz w:val="20"/>
        </w:rPr>
      </w:pPr>
      <w:r>
        <w:rPr>
          <w:rFonts w:ascii="Times New Roman" w:hAnsi="Times New Roman"/>
          <w:i/>
          <w:color w:val="000000"/>
          <w:sz w:val="20"/>
        </w:rPr>
        <w:t>Deferred offering costs:</w:t>
      </w:r>
      <w:r>
        <w:rPr>
          <w:rFonts w:ascii="Times New Roman" w:hAnsi="Times New Roman"/>
          <w:color w:val="000000"/>
          <w:sz w:val="20"/>
        </w:rPr>
        <w:t xml:space="preserve"> Deferred offering costs include registration expenses related to the shelf registration statement filing pursuant to which the Company may offer its securities, from time to time, in one or more offerings. These expenses primarily consist of 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Realized gains or losses and unrealized appreciation or depreciation on investments: </w:t>
      </w:r>
      <w:r>
        <w:rPr>
          <w:rFonts w:ascii="Times New Roman" w:hAnsi="Times New Roman"/>
          <w:color w:val="000000"/>
          <w:sz w:val="20"/>
        </w:rPr>
        <w:t>Realized gains or losses on investments are recorded 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pStyle w:val="TextBody"/>
        <w:bidi w:val="0"/>
        <w:spacing w:before="180" w:after="283"/>
        <w:jc w:val="both"/>
        <w:rPr>
          <w:rFonts w:ascii="Times New Roman" w:hAnsi="Times New Roman"/>
          <w:sz w:val="20"/>
        </w:rPr>
      </w:pPr>
      <w:r>
        <w:rPr>
          <w:rFonts w:ascii="Times New Roman" w:hAnsi="Times New Roman"/>
          <w:i/>
          <w:color w:val="000000"/>
          <w:sz w:val="20"/>
        </w:rPr>
        <w:t>Interest and dividend income:</w:t>
      </w:r>
      <w:r>
        <w:rPr>
          <w:rFonts w:ascii="Times New Roman" w:hAnsi="Times New Roman"/>
          <w:color w:val="000000"/>
          <w:sz w:val="20"/>
        </w:rPr>
        <w:t xml:space="preserve"> Interest and dividend income are recorded on the accrual basis to the extent that the Company expects to 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PIK income: </w:t>
      </w:r>
      <w:r>
        <w:rPr>
          <w:rFonts w:ascii="Times New Roman" w:hAnsi="Times New Roman"/>
          <w:color w:val="000000"/>
          <w:sz w:val="20"/>
        </w:rPr>
        <w:t xml:space="preserve">Certain of the Company’s investments contain a payment-in-kind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even though the Company has not yet collected the cash.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Non-accrual: </w:t>
      </w:r>
      <w:r>
        <w:rPr>
          <w:rFonts w:ascii="Times New Roman" w:hAnsi="Times New Roman"/>
          <w:color w:val="000000"/>
          <w:sz w:val="20"/>
        </w:rPr>
        <w:t>Debt investments or preferred equity investments (for which the Company is accruing PIK dividends) are placed 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Origination and closing fees: </w:t>
      </w:r>
      <w:r>
        <w:rPr>
          <w:rFonts w:ascii="Times New Roman" w:hAnsi="Times New Roman"/>
          <w:color w:val="000000"/>
          <w:sz w:val="20"/>
        </w:rPr>
        <w:t>The Company also typically receives debt investment origination or closing fees in connection with such 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pStyle w:val="TextBody"/>
        <w:bidi w:val="0"/>
        <w:spacing w:before="180" w:after="283"/>
        <w:jc w:val="both"/>
        <w:rPr>
          <w:rFonts w:ascii="Times New Roman" w:hAnsi="Times New Roman"/>
          <w:sz w:val="20"/>
        </w:rPr>
      </w:pPr>
      <w:r>
        <w:rPr>
          <w:rFonts w:ascii="Times New Roman" w:hAnsi="Times New Roman"/>
          <w:i/>
          <w:color w:val="000000"/>
          <w:sz w:val="20"/>
        </w:rPr>
        <w:t>Warrants</w:t>
      </w:r>
      <w:r>
        <w:rPr>
          <w:rFonts w:ascii="Times New Roman" w:hAnsi="Times New Roman"/>
          <w:color w:val="000000"/>
          <w:sz w:val="20"/>
        </w:rPr>
        <w:t>: In connection with the Company’s debt investments, the Company will sometimes receive warrants or other equity-related securities 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sz w:val="20"/>
        </w:rPr>
      </w:pPr>
      <w:r>
        <w:rPr>
          <w:rFonts w:ascii="Times New Roman" w:hAnsi="Times New Roman"/>
          <w:i/>
          <w:color w:val="000000"/>
          <w:sz w:val="20"/>
        </w:rPr>
        <w:t>Fee income</w:t>
      </w:r>
      <w:r>
        <w:rPr>
          <w:rFonts w:ascii="Times New Roman" w:hAnsi="Times New Roman"/>
          <w:color w:val="000000"/>
          <w:sz w:val="20"/>
        </w:rPr>
        <w:t>: Transaction fees earned in connection with the Company’s investments are recognized as fee income and are generally non-recurring. 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Partial loan and equity sales: </w:t>
      </w:r>
      <w:r>
        <w:rPr>
          <w:rFonts w:ascii="Times New Roman" w:hAnsi="Times New Roman"/>
          <w:color w:val="000000"/>
          <w:sz w:val="20"/>
        </w:rPr>
        <w:t xml:space="preserve">The Company follows the guidance in ASC 860, </w:t>
      </w:r>
      <w:r>
        <w:rPr>
          <w:rFonts w:ascii="Times New Roman" w:hAnsi="Times New Roman"/>
          <w:i/>
          <w:color w:val="000000"/>
          <w:sz w:val="20"/>
        </w:rPr>
        <w:t>Transfers and Servicing</w:t>
      </w:r>
      <w:r>
        <w:rPr>
          <w:rFonts w:ascii="Times New Roman" w:hAnsi="Times New Roman"/>
          <w:color w:val="000000"/>
          <w:sz w:val="20"/>
        </w:rPr>
        <w:t xml:space="preserve"> (“ASC 860”)</w:t>
      </w:r>
      <w:r>
        <w:rPr>
          <w:rFonts w:ascii="Times New Roman" w:hAnsi="Times New Roman"/>
          <w:i/>
          <w:color w:val="000000"/>
          <w:sz w:val="20"/>
        </w:rPr>
        <w:t xml:space="preserve">, </w:t>
      </w:r>
      <w:r>
        <w:rPr>
          <w:rFonts w:ascii="Times New Roman" w:hAnsi="Times New Roman"/>
          <w:color w:val="000000"/>
          <w:sz w:val="20"/>
        </w:rPr>
        <w:t>when accounting 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The Company has elected, and intends to qualify annually, to be treated for U.S. federal income tax purposes as a RIC under Subchapter M of the Code, which will generally relieve the Company from U.S. federal income taxes with respect to all income distributed to stockholders. To maintain the tax treatment of a RIC, the Company generally is required to timely distribute to its stockholders at least 90%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 excise tax if it does not distribute at least 98% of the current year’s ordinary taxable income. Any such carryover taxable income must be distributed through a dividend declared prior to the later of the date on which the final tax return related to the year in which the Company generated such taxable income is filed or the 15th day of the 10th month following the close of such taxable year. In addition, the Company will be subject to U.S. federal excise tax if it does not distribute at least 98.2% of its net capital gains realized, computed for any one year period ending October 31.</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future, Fund III may be limited by provisions of the SBIC Act and SBA regulations governing SBICs from making certain distributions to FIC that may be necessary to enable FIC to make the minimum distributions required to maintain the tax treatment of a RIC.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certain wholly-owned subsidiaries (the “Taxable Subsidiaries”) that have elected to be treated as corporations for U.S. federal income tax purposes and are thus subject to U.S. federal income tax at corporate rates,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U.S. federal income taxes. Temporary differences arise when certain items of income, expense, gain or loss are recognized at some time in the future.</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ASC Topic 740 — </w:t>
      </w:r>
      <w:r>
        <w:rPr>
          <w:rFonts w:ascii="Times New Roman" w:hAnsi="Times New Roman"/>
          <w:i/>
          <w:color w:val="000000"/>
          <w:sz w:val="20"/>
        </w:rPr>
        <w:t>Accounting for Uncertainty in Income Taxes</w:t>
      </w:r>
      <w:r>
        <w:rPr>
          <w:rFonts w:ascii="Times New Roman" w:hAnsi="Times New Roman"/>
          <w:color w:val="000000"/>
          <w:sz w:val="20"/>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March 31, 2024 and December 31, 2023. The Company’s tax returns are generally subject to examination by U.S. federal and most state tax authorities for a period of three years from the date the respective returns are filed, and, accordingly, the Company’s 2020 through 2022 tax years remain subject to examination.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sz w:val="20"/>
        </w:rPr>
      </w:pPr>
      <w:r>
        <w:rPr>
          <w:rFonts w:ascii="Times New Roman" w:hAnsi="Times New Roman"/>
          <w:i/>
          <w:color w:val="000000"/>
          <w:sz w:val="20"/>
        </w:rPr>
        <w:t>Dividends to stockholders:</w:t>
      </w:r>
      <w:r>
        <w:rPr>
          <w:rFonts w:ascii="Times New Roman" w:hAnsi="Times New Roman"/>
          <w:color w:val="000000"/>
          <w:sz w:val="20"/>
        </w:rPr>
        <w:t xml:space="preserve"> Dividends to stockholders are recorded on the record date with respect to such distributions. The amount, if any, to be 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pStyle w:val="TextBody"/>
        <w:bidi w:val="0"/>
        <w:spacing w:before="180" w:after="283"/>
        <w:jc w:val="both"/>
        <w:rPr>
          <w:rFonts w:ascii="Times New Roman" w:hAnsi="Times New Roman"/>
          <w:sz w:val="20"/>
        </w:rPr>
      </w:pPr>
      <w:r>
        <w:rPr>
          <w:rFonts w:ascii="Times New Roman" w:hAnsi="Times New Roman"/>
          <w:i/>
          <w:color w:val="000000"/>
          <w:sz w:val="20"/>
        </w:rPr>
        <w:t>Earnings and net asset value per share:</w:t>
      </w:r>
      <w:r>
        <w:rPr>
          <w:rFonts w:ascii="Times New Roman" w:hAnsi="Times New Roman"/>
          <w:color w:val="000000"/>
          <w:sz w:val="20"/>
        </w:rPr>
        <w:t xml:space="preserve"> The earnings per share calculations for the three months ended March 31, 2024 and 2023 are computed utilizing the weighted average shares outstanding for the period. Net asset value per share is calculated using the number of shares outstanding as of the end of the period.</w:t>
      </w:r>
    </w:p>
    <w:p>
      <w:pPr>
        <w:pStyle w:val="TextBody"/>
        <w:bidi w:val="0"/>
        <w:spacing w:before="180" w:after="283"/>
        <w:jc w:val="both"/>
        <w:rPr>
          <w:rFonts w:ascii="Times New Roman" w:hAnsi="Times New Roman"/>
          <w:sz w:val="20"/>
        </w:rPr>
      </w:pPr>
      <w:r>
        <w:rPr>
          <w:rFonts w:ascii="Times New Roman" w:hAnsi="Times New Roman"/>
          <w:i/>
          <w:color w:val="000000"/>
          <w:sz w:val="20"/>
        </w:rPr>
        <w:t>Stock Repurchase Program:</w:t>
      </w:r>
      <w:r>
        <w:rPr>
          <w:rFonts w:ascii="Times New Roman" w:hAnsi="Times New Roman"/>
          <w:color w:val="000000"/>
          <w:sz w:val="20"/>
        </w:rPr>
        <w:t xml:space="preserve"> The Company has an open market stock repurchase program (the “Stock Repurchase Program”) under which the 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Most recently, on October 30, 2023, the Board extended the Stock Repurchase Program through December 31, 2024,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months ended March 31, 2024 and 2023. Refer to Note 8 for additional information concerning stock repurchases.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Recent accounting pronouncement: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and may be applied on a prospective or retrospective basis. We are currently evaluating the impact this ASU will have on our consolidated financial position or disclosures, but we do not expect the impact to be material.</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3. Portfolio Company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makes equity investments in portfolio companies organized as LLCs or other forms of pass-through entities through Taxable Subsidiaries. In both situations, the investment is generally reported under the name of the operating company on the consolidated schedules of investments.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March 31, 2024, the Company had active investments in 87 portfolio companies and residual investments in four portfolio companies that have sold their underlying operations. The aggregate fair value of the total portfolio was $1,048,071 and the weighted average yield on the Company’s debt investments was 14.0% as of such date. As of March 31, 2024, the Company held equity investments in 81.3% of its portfolio companies and the average fully diluted equity ownership in those portfolio companies was 3.5%.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December 31, 2023, the Company had active investments in 81 portfolio companies and residual investments in one portfolio company that has sold its underlying operations. The aggregate fair value of the total portfolio was $957,906 and the weighted average yield on the Company’s debt investments was 14.2% as of such date. As of December 31, 2023, the Company held equity investments in 79.3% of its portfolio companies and the average fully diluted equity ownership in those portfolio companies was 3.0%. </w:t>
      </w:r>
    </w:p>
    <w:p>
      <w:pPr>
        <w:pStyle w:val="TextBody"/>
        <w:bidi w:val="0"/>
        <w:spacing w:before="180" w:after="283"/>
        <w:jc w:val="both"/>
        <w:rPr>
          <w:rFonts w:ascii="Times New Roman" w:hAnsi="Times New Roman"/>
          <w:sz w:val="20"/>
        </w:rPr>
      </w:pPr>
      <w:r>
        <w:rPr>
          <w:rFonts w:ascii="Times New Roman" w:hAnsi="Times New Roman"/>
          <w:color w:val="000000"/>
          <w:sz w:val="20"/>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w:t>
      </w:r>
      <w:r>
        <w:rPr>
          <w:rFonts w:ascii="Times New Roman" w:hAnsi="Times New Roman"/>
          <w:color w:val="0070C0"/>
          <w:sz w:val="20"/>
        </w:rPr>
        <w:t xml:space="preserve"> </w:t>
      </w:r>
      <w:r>
        <w:rPr>
          <w:rFonts w:ascii="Times New Roman" w:hAnsi="Times New Roman"/>
          <w:color w:val="000000"/>
          <w:sz w:val="20"/>
        </w:rPr>
        <w:t>The weighted average yields were computed using the effective interest rates for debt investments at cost as of March 31, 2024 and December 31, 2023, including accretion of OID and debt investment origination fees, but excluding investments on non-accrual status and investments recorded as a secured borrowing.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Purchases of debt and equity investments for the three months ended March 31, 2024 and 2023 totaled $145,861 and $51,521, respectively. Proceeds from sales and repayments, including principal, return of capital distributions and realized gains, of portfolio investments for the three months ended March 31, 2024 and 2023 totaled $60,247 and $15,918, respectively. </w:t>
      </w:r>
    </w:p>
    <w:p>
      <w:pPr>
        <w:pStyle w:val="TextBody"/>
        <w:bidi w:val="0"/>
        <w:spacing w:before="180" w:after="283"/>
        <w:jc w:val="both"/>
        <w:rPr>
          <w:rFonts w:ascii="Times New Roman" w:hAnsi="Times New Roman"/>
          <w:color w:val="000000"/>
          <w:sz w:val="20"/>
        </w:rPr>
      </w:pPr>
      <w:bookmarkStart w:id="10" w:name="fis_unidentified_table_8"/>
      <w:bookmarkEnd w:id="10"/>
      <w:r>
        <w:rPr>
          <w:rFonts w:ascii="Times New Roman" w:hAnsi="Times New Roman"/>
          <w:color w:val="000000"/>
          <w:sz w:val="20"/>
        </w:rPr>
        <w:t>Investments by type with corresponding percentage of total portfolio investments consisted of the following:</w:t>
      </w:r>
    </w:p>
    <w:tbl>
      <w:tblPr>
        <w:tblW w:w="10842" w:type="dxa"/>
        <w:jc w:val="left"/>
        <w:tblInd w:w="0" w:type="dxa"/>
        <w:tblLayout w:type="fixed"/>
        <w:tblCellMar>
          <w:top w:w="28" w:type="dxa"/>
          <w:left w:w="28" w:type="dxa"/>
          <w:bottom w:w="28" w:type="dxa"/>
          <w:right w:w="28" w:type="dxa"/>
        </w:tblCellMar>
      </w:tblPr>
      <w:tblGrid>
        <w:gridCol w:w="1051"/>
        <w:gridCol w:w="146"/>
        <w:gridCol w:w="196"/>
        <w:gridCol w:w="826"/>
        <w:gridCol w:w="146"/>
        <w:gridCol w:w="146"/>
        <w:gridCol w:w="146"/>
        <w:gridCol w:w="511"/>
        <w:gridCol w:w="241"/>
        <w:gridCol w:w="146"/>
        <w:gridCol w:w="146"/>
        <w:gridCol w:w="196"/>
        <w:gridCol w:w="691"/>
        <w:gridCol w:w="146"/>
        <w:gridCol w:w="146"/>
        <w:gridCol w:w="146"/>
        <w:gridCol w:w="511"/>
        <w:gridCol w:w="241"/>
        <w:gridCol w:w="146"/>
        <w:gridCol w:w="146"/>
        <w:gridCol w:w="196"/>
        <w:gridCol w:w="826"/>
        <w:gridCol w:w="146"/>
        <w:gridCol w:w="146"/>
        <w:gridCol w:w="146"/>
        <w:gridCol w:w="511"/>
        <w:gridCol w:w="241"/>
        <w:gridCol w:w="146"/>
        <w:gridCol w:w="146"/>
        <w:gridCol w:w="196"/>
        <w:gridCol w:w="691"/>
        <w:gridCol w:w="146"/>
        <w:gridCol w:w="146"/>
        <w:gridCol w:w="146"/>
        <w:gridCol w:w="511"/>
        <w:gridCol w:w="24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7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633,290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577,684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134,749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163,541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148,387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148,736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24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5"/>
        <w:gridCol w:w="9910"/>
      </w:tblGrid>
      <w:tr>
        <w:trPr/>
        <w:tc>
          <w:tcPr>
            <w:tcW w:w="295" w:type="dxa"/>
            <w:tcBorders/>
            <w:vAlign w:val="center"/>
          </w:tcPr>
          <w:p>
            <w:pPr>
              <w:pStyle w:val="TableContents"/>
              <w:bidi w:val="0"/>
              <w:spacing w:before="0" w:after="283"/>
              <w:jc w:val="left"/>
              <w:rPr>
                <w:sz w:val="4"/>
                <w:szCs w:val="4"/>
              </w:rPr>
            </w:pPr>
            <w:r>
              <w:rPr>
                <w:sz w:val="4"/>
                <w:szCs w:val="4"/>
              </w:rPr>
            </w:r>
          </w:p>
        </w:tc>
        <w:tc>
          <w:tcPr>
            <w:tcW w:w="9910" w:type="dxa"/>
            <w:tcBorders/>
            <w:vAlign w:val="center"/>
          </w:tcPr>
          <w:p>
            <w:pPr>
              <w:pStyle w:val="TableContents"/>
              <w:bidi w:val="0"/>
              <w:spacing w:before="0" w:after="283"/>
              <w:jc w:val="left"/>
              <w:rPr>
                <w:sz w:val="4"/>
                <w:szCs w:val="4"/>
              </w:rPr>
            </w:pPr>
            <w:r>
              <w:rPr>
                <w:sz w:val="4"/>
                <w:szCs w:val="4"/>
              </w:rPr>
            </w:r>
          </w:p>
        </w:tc>
      </w:tr>
      <w:tr>
        <w:trPr/>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Includes unitranche investments, which account for 37.3% and 38.0% of the Company's portfolio on a fair value and cost basis as of March 31, 2024, respectively. Includes unitranche investments, which account for 37.6% and 38.5% of the Company's portfolio on a fair value and cost basis as of December 31, 2023, respectively.</w:t>
            </w:r>
          </w:p>
        </w:tc>
      </w:tr>
    </w:tbl>
    <w:p>
      <w:pPr>
        <w:pStyle w:val="TextBody"/>
        <w:bidi w:val="0"/>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817" w:type="dxa"/>
        <w:jc w:val="left"/>
        <w:tblInd w:w="0" w:type="dxa"/>
        <w:tblLayout w:type="fixed"/>
        <w:tblCellMar>
          <w:top w:w="28" w:type="dxa"/>
          <w:left w:w="28" w:type="dxa"/>
          <w:bottom w:w="28" w:type="dxa"/>
          <w:right w:w="28" w:type="dxa"/>
        </w:tblCellMar>
      </w:tblPr>
      <w:tblGrid>
        <w:gridCol w:w="926"/>
        <w:gridCol w:w="146"/>
        <w:gridCol w:w="196"/>
        <w:gridCol w:w="826"/>
        <w:gridCol w:w="146"/>
        <w:gridCol w:w="146"/>
        <w:gridCol w:w="146"/>
        <w:gridCol w:w="511"/>
        <w:gridCol w:w="241"/>
        <w:gridCol w:w="146"/>
        <w:gridCol w:w="146"/>
        <w:gridCol w:w="196"/>
        <w:gridCol w:w="691"/>
        <w:gridCol w:w="146"/>
        <w:gridCol w:w="146"/>
        <w:gridCol w:w="146"/>
        <w:gridCol w:w="511"/>
        <w:gridCol w:w="241"/>
        <w:gridCol w:w="146"/>
        <w:gridCol w:w="146"/>
        <w:gridCol w:w="196"/>
        <w:gridCol w:w="826"/>
        <w:gridCol w:w="146"/>
        <w:gridCol w:w="146"/>
        <w:gridCol w:w="146"/>
        <w:gridCol w:w="511"/>
        <w:gridCol w:w="241"/>
        <w:gridCol w:w="146"/>
        <w:gridCol w:w="146"/>
        <w:gridCol w:w="196"/>
        <w:gridCol w:w="691"/>
        <w:gridCol w:w="146"/>
        <w:gridCol w:w="146"/>
        <w:gridCol w:w="146"/>
        <w:gridCol w:w="511"/>
        <w:gridCol w:w="241"/>
        <w:gridCol w:w="291"/>
      </w:tblGrid>
      <w:tr>
        <w:trPr/>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7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9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9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24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24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9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292,408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315,567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286,329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24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9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181,412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190,630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24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9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172,705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210,156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191,545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24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9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24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9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9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1,048,071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1,025,576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portfolio composition by type and by geographic region at fair value as a percentage of net assets.</w:t>
      </w:r>
    </w:p>
    <w:p>
      <w:pPr>
        <w:pStyle w:val="TextBody"/>
        <w:bidi w:val="0"/>
        <w:jc w:val="both"/>
        <w:rPr/>
      </w:pPr>
      <w:r>
        <w:rPr/>
        <w:t> </w:t>
      </w:r>
    </w:p>
    <w:tbl>
      <w:tblPr>
        <w:tblW w:w="8609" w:type="dxa"/>
        <w:jc w:val="left"/>
        <w:tblInd w:w="0" w:type="dxa"/>
        <w:tblLayout w:type="fixed"/>
        <w:tblCellMar>
          <w:top w:w="28" w:type="dxa"/>
          <w:left w:w="28" w:type="dxa"/>
          <w:bottom w:w="28" w:type="dxa"/>
          <w:right w:w="28" w:type="dxa"/>
        </w:tblCellMar>
      </w:tblPr>
      <w:tblGrid>
        <w:gridCol w:w="1426"/>
        <w:gridCol w:w="146"/>
        <w:gridCol w:w="190"/>
        <w:gridCol w:w="665"/>
        <w:gridCol w:w="241"/>
        <w:gridCol w:w="146"/>
        <w:gridCol w:w="146"/>
        <w:gridCol w:w="242"/>
        <w:gridCol w:w="853"/>
        <w:gridCol w:w="241"/>
        <w:gridCol w:w="146"/>
        <w:gridCol w:w="246"/>
        <w:gridCol w:w="1006"/>
        <w:gridCol w:w="146"/>
        <w:gridCol w:w="190"/>
        <w:gridCol w:w="665"/>
        <w:gridCol w:w="241"/>
        <w:gridCol w:w="146"/>
        <w:gridCol w:w="146"/>
        <w:gridCol w:w="242"/>
        <w:gridCol w:w="853"/>
        <w:gridCol w:w="28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05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Type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63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Geographic Region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86" w:type="dxa"/>
            <w:tcBorders/>
            <w:shd w:fill="FFFFFF" w:val="clear"/>
            <w:vAlign w:val="center"/>
          </w:tcPr>
          <w:p>
            <w:pPr>
              <w:pStyle w:val="TableContents"/>
              <w:bidi w:val="0"/>
              <w:spacing w:before="0" w:after="283"/>
              <w:jc w:val="center"/>
              <w:rPr/>
            </w:pPr>
            <w:r>
              <w:rPr/>
              <w:t> </w:t>
            </w:r>
          </w:p>
        </w:tc>
      </w:tr>
      <w:tr>
        <w:trPr/>
        <w:tc>
          <w:tcPr>
            <w:tcW w:w="1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w:t>
            </w:r>
          </w:p>
        </w:tc>
        <w:tc>
          <w:tcPr>
            <w:tcW w:w="24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w:t>
            </w:r>
          </w:p>
        </w:tc>
        <w:tc>
          <w:tcPr>
            <w:tcW w:w="24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CCEEFF" w:val="clear"/>
            <w:vAlign w:val="center"/>
          </w:tcPr>
          <w:p>
            <w:pPr>
              <w:pStyle w:val="TableContents"/>
              <w:bidi w:val="0"/>
              <w:spacing w:before="0" w:after="283"/>
              <w:jc w:val="left"/>
              <w:rPr/>
            </w:pPr>
            <w:r>
              <w:rPr/>
              <w:t> </w:t>
            </w:r>
          </w:p>
        </w:tc>
        <w:tc>
          <w:tcPr>
            <w:tcW w:w="855" w:type="dxa"/>
            <w:gridSpan w:val="2"/>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95" w:type="dxa"/>
            <w:gridSpan w:val="2"/>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0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241" w:type="dxa"/>
            <w:tcBorders/>
            <w:shd w:fill="CCEE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00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0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286" w:type="dxa"/>
            <w:tcBorders/>
            <w:shd w:fill="FFFFFF" w:val="clear"/>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CEEFF" w:val="clear"/>
            <w:vAlign w:val="center"/>
          </w:tcPr>
          <w:p>
            <w:pPr>
              <w:pStyle w:val="TableContents"/>
              <w:bidi w:val="0"/>
              <w:spacing w:before="0" w:after="283"/>
              <w:jc w:val="lef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006"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172.4</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0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286" w:type="dxa"/>
            <w:tcBorders/>
            <w:shd w:fill="FFFF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CCEEFF" w:val="clear"/>
            <w:vAlign w:val="center"/>
          </w:tcPr>
          <w:p>
            <w:pPr>
              <w:pStyle w:val="TableContents"/>
              <w:bidi w:val="0"/>
              <w:spacing w:before="0" w:after="283"/>
              <w:jc w:val="lef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172.4</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As of March 31, 2024 and December 31, 2023, the Company had no portfolio company investments that represented more than 10% of the total investment portfolio on a fair value or cost basis. As of March 31, 2024 and December 31, 2023, the Company had no investments that exceeded 5% of total assets.</w:t>
      </w:r>
    </w:p>
    <w:p>
      <w:pPr>
        <w:pStyle w:val="TextBody"/>
        <w:bidi w:val="0"/>
        <w:jc w:val="both"/>
        <w:rPr>
          <w:rFonts w:ascii="Times New Roman" w:hAnsi="Times New Roman"/>
          <w:color w:val="000000"/>
          <w:sz w:val="20"/>
        </w:rPr>
      </w:pPr>
      <w:r>
        <w:rPr>
          <w:rFonts w:ascii="Times New Roman" w:hAnsi="Times New Roman"/>
          <w:color w:val="000000"/>
          <w:sz w:val="20"/>
        </w:rPr>
        <w:t>As of March 31, 2024 and December 31, 2023, the Company had debt investments in three portfolio companies on non-accrual status.</w:t>
      </w:r>
    </w:p>
    <w:p>
      <w:pPr>
        <w:pStyle w:val="TextBody"/>
        <w:bidi w:val="0"/>
        <w:jc w:val="both"/>
        <w:rPr/>
      </w:pPr>
      <w:r>
        <w:rPr/>
        <w:t> </w:t>
      </w:r>
    </w:p>
    <w:tbl>
      <w:tblPr>
        <w:tblW w:w="5448" w:type="dxa"/>
        <w:jc w:val="left"/>
        <w:tblInd w:w="0" w:type="dxa"/>
        <w:tblLayout w:type="fixed"/>
        <w:tblCellMar>
          <w:top w:w="28" w:type="dxa"/>
          <w:left w:w="28" w:type="dxa"/>
          <w:bottom w:w="28" w:type="dxa"/>
          <w:right w:w="28" w:type="dxa"/>
        </w:tblCellMar>
      </w:tblPr>
      <w:tblGrid>
        <w:gridCol w:w="1396"/>
        <w:gridCol w:w="146"/>
        <w:gridCol w:w="181"/>
        <w:gridCol w:w="511"/>
        <w:gridCol w:w="146"/>
        <w:gridCol w:w="146"/>
        <w:gridCol w:w="181"/>
        <w:gridCol w:w="511"/>
        <w:gridCol w:w="146"/>
        <w:gridCol w:w="146"/>
        <w:gridCol w:w="181"/>
        <w:gridCol w:w="436"/>
        <w:gridCol w:w="146"/>
        <w:gridCol w:w="146"/>
        <w:gridCol w:w="181"/>
        <w:gridCol w:w="511"/>
        <w:gridCol w:w="146"/>
        <w:gridCol w:w="19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US GreenFiber, LLC</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5,223</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9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Suited Connector LLC</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15,933</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13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Virtex Enterprises, LP</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9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10,083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32,062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32,062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80"/>
        <w:jc w:val="both"/>
        <w:rPr/>
      </w:pPr>
      <w:r>
        <w:rPr/>
        <w:t> </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Consolidated Schedule of Investments In and Advances To Affiliates</w:t>
      </w:r>
    </w:p>
    <w:p>
      <w:pPr>
        <w:pStyle w:val="TextBody"/>
        <w:bidi w:val="0"/>
        <w:jc w:val="both"/>
        <w:rPr>
          <w:rFonts w:ascii="Times New Roman" w:hAnsi="Times New Roman"/>
          <w:color w:val="000000"/>
          <w:sz w:val="20"/>
        </w:rPr>
      </w:pPr>
      <w:r>
        <w:rPr>
          <w:rFonts w:ascii="Times New Roman" w:hAnsi="Times New Roman"/>
          <w:color w:val="000000"/>
          <w:sz w:val="20"/>
        </w:rPr>
        <w:t>The table below represents the fair value of control and affiliate investments as of December 31, 2023 and any additions and reductions made to such investments during the three months ended March 31, 2024, the ending fair value as of March 31, 2024, and the total investment income earned on such investments during the period.</w:t>
      </w:r>
    </w:p>
    <w:tbl>
      <w:tblPr>
        <w:tblW w:w="10205" w:type="dxa"/>
        <w:jc w:val="left"/>
        <w:tblInd w:w="0" w:type="dxa"/>
        <w:tblLayout w:type="fixed"/>
        <w:tblCellMar>
          <w:top w:w="28" w:type="dxa"/>
          <w:left w:w="28" w:type="dxa"/>
          <w:bottom w:w="28" w:type="dxa"/>
          <w:right w:w="28" w:type="dxa"/>
        </w:tblCellMar>
      </w:tblPr>
      <w:tblGrid>
        <w:gridCol w:w="661"/>
        <w:gridCol w:w="146"/>
        <w:gridCol w:w="146"/>
        <w:gridCol w:w="173"/>
        <w:gridCol w:w="418"/>
        <w:gridCol w:w="146"/>
        <w:gridCol w:w="146"/>
        <w:gridCol w:w="153"/>
        <w:gridCol w:w="366"/>
        <w:gridCol w:w="146"/>
        <w:gridCol w:w="146"/>
        <w:gridCol w:w="153"/>
        <w:gridCol w:w="350"/>
        <w:gridCol w:w="146"/>
        <w:gridCol w:w="146"/>
        <w:gridCol w:w="161"/>
        <w:gridCol w:w="372"/>
        <w:gridCol w:w="146"/>
        <w:gridCol w:w="146"/>
        <w:gridCol w:w="155"/>
        <w:gridCol w:w="371"/>
        <w:gridCol w:w="146"/>
        <w:gridCol w:w="146"/>
        <w:gridCol w:w="156"/>
        <w:gridCol w:w="358"/>
        <w:gridCol w:w="146"/>
        <w:gridCol w:w="146"/>
        <w:gridCol w:w="206"/>
        <w:gridCol w:w="474"/>
        <w:gridCol w:w="146"/>
        <w:gridCol w:w="146"/>
        <w:gridCol w:w="152"/>
        <w:gridCol w:w="349"/>
        <w:gridCol w:w="146"/>
        <w:gridCol w:w="146"/>
        <w:gridCol w:w="232"/>
        <w:gridCol w:w="532"/>
        <w:gridCol w:w="146"/>
        <w:gridCol w:w="146"/>
        <w:gridCol w:w="152"/>
        <w:gridCol w:w="350"/>
        <w:gridCol w:w="146"/>
        <w:gridCol w:w="146"/>
        <w:gridCol w:w="151"/>
        <w:gridCol w:w="347"/>
        <w:gridCol w:w="201"/>
      </w:tblGrid>
      <w:tr>
        <w:trPr/>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3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1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Three Months Ended March 31, 2024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9"/>
              </w:rPr>
            </w:pPr>
            <w:r>
              <w:rPr>
                <w:rFonts w:ascii="Times New Roman" w:hAnsi="Times New Roman"/>
                <w:b/>
                <w:color w:val="000000"/>
                <w:sz w:val="9"/>
              </w:rPr>
              <w:t xml:space="preserve">Portfolio Company </w:t>
            </w:r>
            <w:r>
              <w:rPr>
                <w:rFonts w:ascii="Times New Roman" w:hAnsi="Times New Roman"/>
                <w:b/>
                <w:color w:val="000000"/>
                <w:sz w:val="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March 31, 2024 Principal Amount - Debt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December 31, 2023</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9"/>
              </w:rPr>
            </w:pPr>
            <w:r>
              <w:rPr>
                <w:rFonts w:ascii="Times New Roman" w:hAnsi="Times New Roman"/>
                <w:b/>
                <w:color w:val="000000"/>
                <w:sz w:val="9"/>
              </w:rPr>
              <w:t xml:space="preserve">Gross Additions </w:t>
            </w:r>
            <w:r>
              <w:rPr>
                <w:rFonts w:ascii="Times New Roman" w:hAnsi="Times New Roman"/>
                <w:b/>
                <w:color w:val="000000"/>
                <w:sz w:val="6"/>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9"/>
              </w:rPr>
            </w:pPr>
            <w:r>
              <w:rPr>
                <w:rFonts w:ascii="Times New Roman" w:hAnsi="Times New Roman"/>
                <w:b/>
                <w:color w:val="000000"/>
                <w:sz w:val="9"/>
              </w:rPr>
              <w:t xml:space="preserve">Gross Reductions </w:t>
            </w:r>
            <w:r>
              <w:rPr>
                <w:rFonts w:ascii="Times New Roman" w:hAnsi="Times New Roman"/>
                <w:b/>
                <w:color w:val="000000"/>
                <w:sz w:val="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March 31, 2024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9"/>
              </w:rPr>
            </w:pPr>
            <w:r>
              <w:rPr>
                <w:rFonts w:ascii="Times New Roman" w:hAnsi="Times New Roman"/>
                <w:b/>
                <w:color w:val="000000"/>
                <w:sz w:val="9"/>
              </w:rPr>
              <w:t xml:space="preserve">Net Realized Gains (Losses) </w:t>
            </w:r>
            <w:r>
              <w:rPr>
                <w:rFonts w:ascii="Times New Roman" w:hAnsi="Times New Roman"/>
                <w:b/>
                <w:color w:val="000000"/>
                <w:sz w:val="6"/>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Net Change in 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Payment-in-kind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Fee Income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 w:type="dxa"/>
            <w:tcBorders/>
            <w:shd w:fill="CCEEFF" w:val="cle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Control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9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19"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03"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33"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26"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14"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80"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0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764"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498" w:type="dxa"/>
            <w:gridSpan w:val="2"/>
            <w:tcBorders/>
            <w:shd w:fill="CCEEFF" w:val="clear"/>
            <w:vAlign w:val="center"/>
          </w:tcPr>
          <w:p>
            <w:pPr>
              <w:pStyle w:val="TableContents"/>
              <w:bidi w:val="0"/>
              <w:spacing w:before="0" w:after="283"/>
              <w:jc w:val="center"/>
              <w:rPr/>
            </w:pPr>
            <w:r>
              <w:rPr/>
              <w:t> </w:t>
            </w:r>
          </w:p>
        </w:tc>
        <w:tc>
          <w:tcPr>
            <w:tcW w:w="201" w:type="dxa"/>
            <w:tcBorders/>
            <w:shd w:fill="CCEEFF" w:val="clear"/>
            <w:vAlign w:val="center"/>
          </w:tcPr>
          <w:p>
            <w:pPr>
              <w:pStyle w:val="TableContents"/>
              <w:bidi w:val="0"/>
              <w:spacing w:before="0" w:after="283"/>
              <w:jc w:val="center"/>
              <w:rPr/>
            </w:pPr>
            <w:r>
              <w:rPr/>
              <w:t> </w:t>
            </w:r>
          </w:p>
        </w:tc>
      </w:tr>
      <w:tr>
        <w:trPr/>
        <w:tc>
          <w:tcPr>
            <w:tcW w:w="66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US GreenFiber,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 w:type="dxa"/>
            <w:tcBorders/>
            <w:shd w:fill="CCEEFF" w:val="cle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Total Control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1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5,226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7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7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3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3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61" w:type="dxa"/>
            <w:tcBorders/>
            <w:shd w:fill="FFFFFF" w:val="cle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Affiliate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9"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3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8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8" w:type="dxa"/>
            <w:gridSpan w:val="2"/>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center"/>
              <w:rPr/>
            </w:pPr>
            <w:r>
              <w:rPr/>
              <w:t> </w:t>
            </w:r>
          </w:p>
        </w:tc>
      </w:tr>
      <w:tr>
        <w:trPr/>
        <w:tc>
          <w:tcPr>
            <w:tcW w:w="661"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Applegate Greenfiber Intermediate Inc. (fka US GreenFiber, LLC)</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18" w:type="dxa"/>
            <w:tcBorders/>
            <w:shd w:fill="CCEE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9,602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3"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6" w:type="dxa"/>
            <w:tcBorders/>
            <w:shd w:fill="CCEE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24,590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3"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50" w:type="dxa"/>
            <w:tcBorders/>
            <w:shd w:fill="CCEE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265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1"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72"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5"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71" w:type="dxa"/>
            <w:tcBorders/>
            <w:shd w:fill="CCEE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24,855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6"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58"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06"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74" w:type="dxa"/>
            <w:tcBorders/>
            <w:shd w:fill="CCEE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266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2"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9" w:type="dxa"/>
            <w:tcBorders/>
            <w:shd w:fill="CCEE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267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32"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32"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2"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50"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7" w:type="dxa"/>
            <w:tcBorders/>
            <w:shd w:fill="CCEEFF" w:val="clear"/>
            <w:vAlign w:val="center"/>
          </w:tcPr>
          <w:p>
            <w:pPr>
              <w:pStyle w:val="TableContents"/>
              <w:bidi w:val="0"/>
              <w:spacing w:before="0" w:after="283"/>
              <w:jc w:val="right"/>
              <w:rPr>
                <w:color w:val="000000"/>
              </w:rPr>
            </w:pPr>
            <w:r>
              <w:rPr>
                <w:color w:val="000000"/>
              </w:rPr>
              <w:t>—</w:t>
            </w:r>
          </w:p>
        </w:tc>
        <w:tc>
          <w:tcPr>
            <w:tcW w:w="201" w:type="dxa"/>
            <w:tcBorders/>
            <w:shd w:fill="CCEEFF" w:val="clear"/>
            <w:vAlign w:val="center"/>
          </w:tcPr>
          <w:p>
            <w:pPr>
              <w:pStyle w:val="TableContents"/>
              <w:bidi w:val="0"/>
              <w:spacing w:before="0" w:after="283"/>
              <w:jc w:val="left"/>
              <w:rPr/>
            </w:pPr>
            <w:r>
              <w:rPr/>
              <w:t> </w:t>
            </w:r>
          </w:p>
        </w:tc>
      </w:tr>
      <w:tr>
        <w:trPr/>
        <w:tc>
          <w:tcPr>
            <w:tcW w:w="66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Medsurant Holdings,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5,930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(329</w:t>
            </w:r>
          </w:p>
        </w:tc>
        <w:tc>
          <w:tcPr>
            <w:tcW w:w="146"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7,464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661"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Pfanstiehl, Inc.</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3"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33,321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3"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1"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(3,608</w:t>
            </w:r>
          </w:p>
        </w:tc>
        <w:tc>
          <w:tcPr>
            <w:tcW w:w="146"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vAlign w:val="center"/>
          </w:tcPr>
          <w:p>
            <w:pPr>
              <w:pStyle w:val="TableContents"/>
              <w:bidi w:val="0"/>
              <w:spacing w:before="0" w:after="283"/>
              <w:jc w:val="center"/>
              <w:rPr/>
            </w:pPr>
            <w:r>
              <w:rPr/>
              <w:t> </w:t>
            </w:r>
          </w:p>
        </w:tc>
        <w:tc>
          <w:tcPr>
            <w:tcW w:w="155"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29,713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6"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0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(3,608</w:t>
            </w:r>
          </w:p>
        </w:tc>
        <w:tc>
          <w:tcPr>
            <w:tcW w:w="146"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vAlign w:val="center"/>
          </w:tcPr>
          <w:p>
            <w:pPr>
              <w:pStyle w:val="TableContents"/>
              <w:bidi w:val="0"/>
              <w:spacing w:before="0" w:after="283"/>
              <w:jc w:val="center"/>
              <w:rPr/>
            </w:pPr>
            <w:r>
              <w:rPr/>
              <w:t> </w:t>
            </w:r>
          </w:p>
        </w:tc>
        <w:tc>
          <w:tcPr>
            <w:tcW w:w="152"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32"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2"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348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right"/>
              <w:rPr>
                <w:color w:val="000000"/>
              </w:rPr>
            </w:pPr>
            <w:r>
              <w:rPr>
                <w:color w:val="000000"/>
              </w:rPr>
              <w:t>—</w:t>
            </w:r>
          </w:p>
        </w:tc>
        <w:tc>
          <w:tcPr>
            <w:tcW w:w="201" w:type="dxa"/>
            <w:tcBorders/>
            <w:shd w:fill="CCEEFF" w:val="clear"/>
            <w:vAlign w:val="center"/>
          </w:tcPr>
          <w:p>
            <w:pPr>
              <w:pStyle w:val="TableContents"/>
              <w:bidi w:val="0"/>
              <w:spacing w:before="0" w:after="283"/>
              <w:jc w:val="left"/>
              <w:rPr/>
            </w:pPr>
            <w:r>
              <w:rPr/>
              <w:t> </w:t>
            </w:r>
          </w:p>
        </w:tc>
      </w:tr>
      <w:tr>
        <w:trPr/>
        <w:tc>
          <w:tcPr>
            <w:tcW w:w="66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Spectra A&amp;D Acquisition, Inc. (fka FDS Avionics Corp.)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15,321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(1,447</w:t>
            </w:r>
          </w:p>
        </w:tc>
        <w:tc>
          <w:tcPr>
            <w:tcW w:w="146"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13,879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(1,448</w:t>
            </w:r>
          </w:p>
        </w:tc>
        <w:tc>
          <w:tcPr>
            <w:tcW w:w="146"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w:t>
            </w:r>
          </w:p>
        </w:tc>
        <w:tc>
          <w:tcPr>
            <w:tcW w:w="201" w:type="dxa"/>
            <w:tcBorders/>
            <w:shd w:fill="FFFFFF" w:val="clear"/>
            <w:vAlign w:val="center"/>
          </w:tcPr>
          <w:p>
            <w:pPr>
              <w:pStyle w:val="TableContents"/>
              <w:bidi w:val="0"/>
              <w:spacing w:before="0" w:after="283"/>
              <w:jc w:val="left"/>
              <w:rPr/>
            </w:pPr>
            <w:r>
              <w:rPr/>
              <w:t> </w:t>
            </w:r>
          </w:p>
        </w:tc>
      </w:tr>
      <w:tr>
        <w:trPr/>
        <w:tc>
          <w:tcPr>
            <w:tcW w:w="661" w:type="dxa"/>
            <w:tcBorders/>
            <w:shd w:fill="CCEE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Steward Holding LLC (dba Steward Advanced Materials)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7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4,714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(309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vAlign w:val="center"/>
          </w:tcPr>
          <w:p>
            <w:pPr>
              <w:pStyle w:val="TableContents"/>
              <w:bidi w:val="0"/>
              <w:spacing w:before="0" w:after="283"/>
              <w:jc w:val="center"/>
              <w:rPr/>
            </w:pPr>
            <w:r>
              <w:rPr/>
              <w:t> </w:t>
            </w:r>
          </w:p>
        </w:tc>
        <w:tc>
          <w:tcPr>
            <w:tcW w:w="15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4,405</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(309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vAlign w:val="center"/>
          </w:tcPr>
          <w:p>
            <w:pPr>
              <w:pStyle w:val="TableContents"/>
              <w:bidi w:val="0"/>
              <w:spacing w:before="0" w:after="283"/>
              <w:jc w:val="center"/>
              <w:rPr/>
            </w:pPr>
            <w:r>
              <w:rPr/>
              <w:t> </w:t>
            </w:r>
          </w:p>
        </w:tc>
        <w:tc>
          <w:tcPr>
            <w:tcW w:w="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61" w:type="dxa"/>
            <w:tcBorders/>
            <w:shd w:fill="FFFFFF" w:val="cle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Total Affiliate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24,602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83,876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80,316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869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0"/>
        <w:gridCol w:w="9915"/>
      </w:tblGrid>
      <w:tr>
        <w:trPr/>
        <w:tc>
          <w:tcPr>
            <w:tcW w:w="290" w:type="dxa"/>
            <w:tcBorders/>
            <w:vAlign w:val="center"/>
          </w:tcPr>
          <w:p>
            <w:pPr>
              <w:pStyle w:val="TableContents"/>
              <w:bidi w:val="0"/>
              <w:spacing w:before="0" w:after="283"/>
              <w:jc w:val="left"/>
              <w:rPr>
                <w:sz w:val="4"/>
                <w:szCs w:val="4"/>
              </w:rPr>
            </w:pPr>
            <w:r>
              <w:rPr>
                <w:sz w:val="4"/>
                <w:szCs w:val="4"/>
              </w:rPr>
            </w:r>
          </w:p>
        </w:tc>
        <w:tc>
          <w:tcPr>
            <w:tcW w:w="9915" w:type="dxa"/>
            <w:tcBorders/>
            <w:vAlign w:val="center"/>
          </w:tcPr>
          <w:p>
            <w:pPr>
              <w:pStyle w:val="TableContents"/>
              <w:bidi w:val="0"/>
              <w:spacing w:before="0" w:after="283"/>
              <w:jc w:val="left"/>
              <w:rPr>
                <w:sz w:val="4"/>
                <w:szCs w:val="4"/>
              </w:rPr>
            </w:pPr>
            <w:r>
              <w:rPr>
                <w:sz w:val="4"/>
                <w:szCs w:val="4"/>
              </w:rPr>
            </w:r>
          </w:p>
        </w:tc>
      </w:tr>
      <w:tr>
        <w:trPr/>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type, industry, ownership detail for equity investments, interest rate and maturity date for debt investments, and if the investment is income producing is disclosed in the consolidated schedule of investments.</w:t>
            </w:r>
          </w:p>
        </w:tc>
      </w:tr>
      <w:tr>
        <w:trPr/>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tc>
      </w:tr>
      <w:tr>
        <w:trPr/>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tc>
      </w:tr>
    </w:tbl>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300"/>
        <w:gridCol w:w="9905"/>
      </w:tblGrid>
      <w:tr>
        <w:trPr/>
        <w:tc>
          <w:tcPr>
            <w:tcW w:w="300" w:type="dxa"/>
            <w:tcBorders/>
            <w:vAlign w:val="center"/>
          </w:tcPr>
          <w:p>
            <w:pPr>
              <w:pStyle w:val="TableContents"/>
              <w:bidi w:val="0"/>
              <w:spacing w:before="0" w:after="283"/>
              <w:jc w:val="left"/>
              <w:rPr>
                <w:sz w:val="4"/>
                <w:szCs w:val="4"/>
              </w:rPr>
            </w:pPr>
            <w:r>
              <w:rPr>
                <w:sz w:val="4"/>
                <w:szCs w:val="4"/>
              </w:rPr>
            </w:r>
          </w:p>
        </w:tc>
        <w:tc>
          <w:tcPr>
            <w:tcW w:w="9905" w:type="dxa"/>
            <w:tcBorders/>
            <w:vAlign w:val="center"/>
          </w:tcPr>
          <w:p>
            <w:pPr>
              <w:pStyle w:val="TableContents"/>
              <w:bidi w:val="0"/>
              <w:spacing w:before="0" w:after="283"/>
              <w:jc w:val="left"/>
              <w:rPr>
                <w:sz w:val="4"/>
                <w:szCs w:val="4"/>
              </w:rPr>
            </w:pPr>
            <w:r>
              <w:rPr>
                <w:sz w:val="4"/>
                <w:szCs w:val="4"/>
              </w:rPr>
            </w:r>
          </w:p>
        </w:tc>
      </w:tr>
      <w:tr>
        <w:trPr/>
        <w:tc>
          <w:tcPr>
            <w:tcW w:w="3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(4) </w:t>
            </w:r>
          </w:p>
        </w:tc>
        <w:tc>
          <w:tcPr>
            <w:tcW w:w="9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tc>
      </w:tr>
    </w:tbl>
    <w:p>
      <w:pPr>
        <w:pStyle w:val="TextBody"/>
        <w:bidi w:val="0"/>
        <w:jc w:val="left"/>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table below represents the fair value of control and affiliate investments as of December 31, 2022 and any additions and reductions made to such investments during the year ended December 31, 2023, including the total investment income earned on such investments during the period.</w:t>
      </w:r>
    </w:p>
    <w:tbl>
      <w:tblPr>
        <w:tblW w:w="11042" w:type="dxa"/>
        <w:jc w:val="left"/>
        <w:tblInd w:w="0" w:type="dxa"/>
        <w:tblLayout w:type="fixed"/>
        <w:tblCellMar>
          <w:top w:w="28" w:type="dxa"/>
          <w:left w:w="28" w:type="dxa"/>
          <w:bottom w:w="28" w:type="dxa"/>
          <w:right w:w="28" w:type="dxa"/>
        </w:tblCellMar>
      </w:tblPr>
      <w:tblGrid>
        <w:gridCol w:w="676"/>
        <w:gridCol w:w="146"/>
        <w:gridCol w:w="146"/>
        <w:gridCol w:w="182"/>
        <w:gridCol w:w="479"/>
        <w:gridCol w:w="146"/>
        <w:gridCol w:w="146"/>
        <w:gridCol w:w="166"/>
        <w:gridCol w:w="496"/>
        <w:gridCol w:w="146"/>
        <w:gridCol w:w="146"/>
        <w:gridCol w:w="166"/>
        <w:gridCol w:w="436"/>
        <w:gridCol w:w="146"/>
        <w:gridCol w:w="146"/>
        <w:gridCol w:w="166"/>
        <w:gridCol w:w="466"/>
        <w:gridCol w:w="146"/>
        <w:gridCol w:w="146"/>
        <w:gridCol w:w="166"/>
        <w:gridCol w:w="436"/>
        <w:gridCol w:w="146"/>
        <w:gridCol w:w="146"/>
        <w:gridCol w:w="166"/>
        <w:gridCol w:w="466"/>
        <w:gridCol w:w="146"/>
        <w:gridCol w:w="146"/>
        <w:gridCol w:w="198"/>
        <w:gridCol w:w="523"/>
        <w:gridCol w:w="146"/>
        <w:gridCol w:w="146"/>
        <w:gridCol w:w="166"/>
        <w:gridCol w:w="376"/>
        <w:gridCol w:w="146"/>
        <w:gridCol w:w="146"/>
        <w:gridCol w:w="282"/>
        <w:gridCol w:w="589"/>
        <w:gridCol w:w="146"/>
        <w:gridCol w:w="146"/>
        <w:gridCol w:w="170"/>
        <w:gridCol w:w="356"/>
        <w:gridCol w:w="146"/>
        <w:gridCol w:w="146"/>
        <w:gridCol w:w="166"/>
        <w:gridCol w:w="346"/>
        <w:gridCol w:w="191"/>
      </w:tblGrid>
      <w:tr>
        <w:trPr/>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6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Year Ended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0"/>
              </w:rPr>
            </w:pPr>
            <w:r>
              <w:rPr>
                <w:rFonts w:ascii="Times New Roman" w:hAnsi="Times New Roman"/>
                <w:b/>
                <w:color w:val="000000"/>
                <w:sz w:val="10"/>
              </w:rPr>
              <w:t xml:space="preserve">Portfolio Company </w:t>
            </w:r>
            <w:r>
              <w:rPr>
                <w:rFonts w:ascii="Times New Roman" w:hAnsi="Times New Roman"/>
                <w:b/>
                <w:color w:val="000000"/>
                <w:sz w:val="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2023 Principal Amount - Debt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2022</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Additions </w:t>
            </w:r>
            <w:r>
              <w:rPr>
                <w:rFonts w:ascii="Times New Roman" w:hAnsi="Times New Roman"/>
                <w:b/>
                <w:color w:val="000000"/>
                <w:sz w:val="7"/>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Reductions </w:t>
            </w:r>
            <w:r>
              <w:rPr>
                <w:rFonts w:ascii="Times New Roman" w:hAnsi="Times New Roman"/>
                <w:b/>
                <w:color w:val="000000"/>
                <w:sz w:val="7"/>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2023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Net Realized Gains (Losses) </w:t>
            </w:r>
            <w:r>
              <w:rPr>
                <w:rFonts w:ascii="Times New Roman" w:hAnsi="Times New Roman"/>
                <w:b/>
                <w:color w:val="000000"/>
                <w:sz w:val="7"/>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Change in 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Payment-in-kind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Fee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 w:type="dxa"/>
            <w:tcBorders/>
            <w:shd w:fill="CCEE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Control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6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3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3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72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4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87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26"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512" w:type="dxa"/>
            <w:gridSpan w:val="2"/>
            <w:tcBorders/>
            <w:shd w:fill="CCEEFF" w:val="clear"/>
            <w:vAlign w:val="center"/>
          </w:tcPr>
          <w:p>
            <w:pPr>
              <w:pStyle w:val="TableContents"/>
              <w:bidi w:val="0"/>
              <w:spacing w:before="0" w:after="283"/>
              <w:jc w:val="center"/>
              <w:rPr/>
            </w:pPr>
            <w:r>
              <w:rPr/>
              <w:t> </w:t>
            </w:r>
          </w:p>
        </w:tc>
        <w:tc>
          <w:tcPr>
            <w:tcW w:w="191" w:type="dxa"/>
            <w:tcBorders/>
            <w:shd w:fill="CCEEFF" w:val="clear"/>
            <w:vAlign w:val="center"/>
          </w:tcPr>
          <w:p>
            <w:pPr>
              <w:pStyle w:val="TableContents"/>
              <w:bidi w:val="0"/>
              <w:spacing w:before="0" w:after="283"/>
              <w:jc w:val="center"/>
              <w:rPr/>
            </w:pPr>
            <w:r>
              <w:rPr/>
              <w:t> </w:t>
            </w:r>
          </w:p>
        </w:tc>
      </w:tr>
      <w:tr>
        <w:trPr/>
        <w:tc>
          <w:tcPr>
            <w:tcW w:w="67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EBL, LLC (EbLens)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(11,458</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(11,458</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23"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67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US GreenFiber, LLC</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76"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 w:type="dxa"/>
            <w:tcBorders/>
            <w:shd w:fill="CCEE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Affiliate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6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3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3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72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4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87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26"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512" w:type="dxa"/>
            <w:gridSpan w:val="2"/>
            <w:tcBorders/>
            <w:shd w:fill="CCEEFF" w:val="clear"/>
            <w:vAlign w:val="center"/>
          </w:tcPr>
          <w:p>
            <w:pPr>
              <w:pStyle w:val="TableContents"/>
              <w:bidi w:val="0"/>
              <w:spacing w:before="0" w:after="283"/>
              <w:jc w:val="center"/>
              <w:rPr/>
            </w:pPr>
            <w:r>
              <w:rPr/>
              <w:t> </w:t>
            </w:r>
          </w:p>
        </w:tc>
        <w:tc>
          <w:tcPr>
            <w:tcW w:w="191" w:type="dxa"/>
            <w:tcBorders/>
            <w:shd w:fill="CCEEFF" w:val="clear"/>
            <w:vAlign w:val="center"/>
          </w:tcPr>
          <w:p>
            <w:pPr>
              <w:pStyle w:val="TableContents"/>
              <w:bidi w:val="0"/>
              <w:spacing w:before="0" w:after="283"/>
              <w:jc w:val="center"/>
              <w:rPr/>
            </w:pPr>
            <w:r>
              <w:rPr/>
              <w:t> </w:t>
            </w:r>
          </w:p>
        </w:tc>
      </w:tr>
      <w:tr>
        <w:trPr/>
        <w:tc>
          <w:tcPr>
            <w:tcW w:w="67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Applegate Greenfiber Intermediate Inc. (fka US GreenFiber,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24,590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23"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67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Medsurant Holdings, LLC</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2,540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3,463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(73</w:t>
            </w:r>
          </w:p>
        </w:tc>
        <w:tc>
          <w:tcPr>
            <w:tcW w:w="14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5,930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98"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3,463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left"/>
              <w:rPr/>
            </w:pPr>
            <w:r>
              <w:rPr/>
              <w:t> </w:t>
            </w:r>
          </w:p>
        </w:tc>
      </w:tr>
      <w:tr>
        <w:trPr/>
        <w:tc>
          <w:tcPr>
            <w:tcW w:w="67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Pfanstiehl, Inc.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51,992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(18,717</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33,321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(8,717</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67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Spectra A&amp;D Acquisition, Inc. (fka FDS Avionics Corp.)</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19,118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2,208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(6,005</w:t>
            </w:r>
          </w:p>
        </w:tc>
        <w:tc>
          <w:tcPr>
            <w:tcW w:w="14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15,321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98"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(4,505</w:t>
            </w:r>
          </w:p>
        </w:tc>
        <w:tc>
          <w:tcPr>
            <w:tcW w:w="14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2,379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w:t>
            </w:r>
          </w:p>
        </w:tc>
        <w:tc>
          <w:tcPr>
            <w:tcW w:w="191" w:type="dxa"/>
            <w:tcBorders/>
            <w:shd w:fill="CCEEFF" w:val="clear"/>
            <w:vAlign w:val="center"/>
          </w:tcPr>
          <w:p>
            <w:pPr>
              <w:pStyle w:val="TableContents"/>
              <w:bidi w:val="0"/>
              <w:spacing w:before="0" w:after="283"/>
              <w:jc w:val="left"/>
              <w:rPr/>
            </w:pPr>
            <w:r>
              <w:rPr/>
              <w:t> </w:t>
            </w:r>
          </w:p>
        </w:tc>
      </w:tr>
      <w:tr>
        <w:trPr/>
        <w:tc>
          <w:tcPr>
            <w:tcW w:w="67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Steward Holding LLC (dba Steward Advanced Materials)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 w:type="dxa"/>
            <w:tcBorders/>
            <w:shd w:fill="CCEE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24,602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101,590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7,139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(24,853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83,876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(8,395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4,026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
        <w:gridCol w:w="9918"/>
      </w:tblGrid>
      <w:tr>
        <w:trPr/>
        <w:tc>
          <w:tcPr>
            <w:tcW w:w="287" w:type="dxa"/>
            <w:tcBorders/>
            <w:vAlign w:val="center"/>
          </w:tcPr>
          <w:p>
            <w:pPr>
              <w:pStyle w:val="TableContents"/>
              <w:bidi w:val="0"/>
              <w:spacing w:before="0" w:after="283"/>
              <w:jc w:val="left"/>
              <w:rPr>
                <w:sz w:val="4"/>
                <w:szCs w:val="4"/>
              </w:rPr>
            </w:pPr>
            <w:r>
              <w:rPr>
                <w:sz w:val="4"/>
                <w:szCs w:val="4"/>
              </w:rPr>
            </w:r>
          </w:p>
        </w:tc>
        <w:tc>
          <w:tcPr>
            <w:tcW w:w="9918"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type, industry, ownership detail for equity investments, interest rate and maturity date for debt investments, and if the investment is income producing is disclosed in the consolidated schedule of investments.</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4. Fair Value Measurements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pStyle w:val="TextBody"/>
        <w:bidi w:val="0"/>
        <w:spacing w:before="180" w:after="283"/>
        <w:jc w:val="both"/>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Inputs are unadjusted, quoted prices in active markets for identical assets as of the measurement date.</w:t>
      </w:r>
    </w:p>
    <w:p>
      <w:pPr>
        <w:pStyle w:val="TextBody"/>
        <w:bidi w:val="0"/>
        <w:spacing w:before="180" w:after="283"/>
        <w:jc w:val="both"/>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Inputs include quoted prices for similar assets in active markets, or that are quoted prices for identical or similar assets in markets that are not active and inputs that are observable, either directly or indirectly, for substantially the full term, if applicable, of the investment.</w:t>
      </w:r>
    </w:p>
    <w:p>
      <w:pPr>
        <w:pStyle w:val="TextBody"/>
        <w:bidi w:val="0"/>
        <w:spacing w:before="180" w:after="283"/>
        <w:jc w:val="both"/>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Inputs include those that are both unobservable and significant to the overall fair value measurement.</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with the exception of money market funds and one portfolio company, which are valued using Level 1 inputs as of March 31, 2024. Therefore, the Company values such portfolio investments at fair value, as determined in good faith by the Board, using Level 3 inputs, with the exception of money market funds and one portfolio company that was valued using Level 1 inputs as of March 31, 2024. The degree of judgment exercised by the Board in determining fair value is greatest for investments classified as Level 3 inputs. Due to the inherent uncertainty of determining the fair values of investments that do not have readily available market quotations,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With respect to investments for which market quotations are not readily available, the Board undertakes a multi-step valuation process each quarter, as described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quarterly valuation process begins with each portfolio company or investment being initially evaluated and rated by the investment professionals of the Investment Advisor responsible for the portfolio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preliminary valuation conclusions are then documented and discussed with the investment committee of the Investment Advisor;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of the Board reviews the preliminary valuations of the Investment Advisor and of the independent valuation firm(s) and responds and supplements the valuation recommendations to reflect any comments;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discusses these valuations and determines the fair value of each investment in our portfolio in good faith, based on the input of the Investment Advisor, the independent valuation firm(s) and the audit committee.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Board consulted with the independent third-party valuation firm(s) in arriving at our determination of fair value for 17 and 16 of our portfolio company investments representing 26.9% and 27.6% of the total portfolio investments at fair value (exclusive of new portfolio company investments made during the three months ended March 31, 2024 and 2023, respectively) as of three months ended March 31, 2024 and 2023,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For the Company’s equity investments, including equity securities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may also utilize an income approach when estimating the fair value of its equity investments,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The following tables present fair value measurements of investments by major class according to the fair value hierarchy:</w:t>
      </w:r>
    </w:p>
    <w:tbl>
      <w:tblPr>
        <w:tblW w:w="6430" w:type="dxa"/>
        <w:jc w:val="left"/>
        <w:tblInd w:w="0" w:type="dxa"/>
        <w:tblLayout w:type="fixed"/>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826"/>
        <w:gridCol w:w="146"/>
        <w:gridCol w:w="196"/>
        <w:gridCol w:w="146"/>
        <w:gridCol w:w="82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3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Lien Debt</w:t>
            </w:r>
          </w:p>
        </w:tc>
        <w:tc>
          <w:tcPr>
            <w:tcW w:w="1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633,290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633,290</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Lien Debt</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134,749</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134,749</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Debt</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148,387</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148,387</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125,441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125,694</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5,951</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 Funds</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1,047,818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1,071,213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385" w:type="dxa"/>
        <w:jc w:val="left"/>
        <w:tblInd w:w="0" w:type="dxa"/>
        <w:tblLayout w:type="fixed"/>
        <w:tblCellMar>
          <w:top w:w="28" w:type="dxa"/>
          <w:left w:w="28" w:type="dxa"/>
          <w:bottom w:w="28" w:type="dxa"/>
          <w:right w:w="28" w:type="dxa"/>
        </w:tblCellMar>
      </w:tblPr>
      <w:tblGrid>
        <w:gridCol w:w="1681"/>
        <w:gridCol w:w="196"/>
        <w:gridCol w:w="146"/>
        <w:gridCol w:w="691"/>
        <w:gridCol w:w="146"/>
        <w:gridCol w:w="196"/>
        <w:gridCol w:w="190"/>
        <w:gridCol w:w="455"/>
        <w:gridCol w:w="146"/>
        <w:gridCol w:w="196"/>
        <w:gridCol w:w="146"/>
        <w:gridCol w:w="691"/>
        <w:gridCol w:w="146"/>
        <w:gridCol w:w="196"/>
        <w:gridCol w:w="146"/>
        <w:gridCol w:w="82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3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Lien Debt</w:t>
            </w:r>
          </w:p>
        </w:tc>
        <w:tc>
          <w:tcPr>
            <w:tcW w:w="19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578,140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578,140</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Lien Debt</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119,561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119,561</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Debt</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135,173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135,173</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120,007</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120,264</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4,768</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4,768</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 Funds</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1,072,462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three months ended March 31, 2024 and 2023.</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present a reconciliation of the beginning and ending balances for fair valued investments measured using significant unobservable inputs (Level 3) for the three months ended March 31, 2024 and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49"/>
        <w:gridCol w:w="146"/>
        <w:gridCol w:w="181"/>
        <w:gridCol w:w="586"/>
        <w:gridCol w:w="151"/>
        <w:gridCol w:w="146"/>
        <w:gridCol w:w="191"/>
        <w:gridCol w:w="623"/>
        <w:gridCol w:w="151"/>
        <w:gridCol w:w="146"/>
        <w:gridCol w:w="216"/>
        <w:gridCol w:w="700"/>
        <w:gridCol w:w="151"/>
        <w:gridCol w:w="146"/>
        <w:gridCol w:w="181"/>
        <w:gridCol w:w="586"/>
        <w:gridCol w:w="151"/>
        <w:gridCol w:w="146"/>
        <w:gridCol w:w="202"/>
        <w:gridCol w:w="489"/>
        <w:gridCol w:w="151"/>
        <w:gridCol w:w="146"/>
        <w:gridCol w:w="181"/>
        <w:gridCol w:w="691"/>
        <w:gridCol w:w="198"/>
      </w:tblGrid>
      <w:tr>
        <w:trPr/>
        <w:tc>
          <w:tcPr>
            <w:tcW w:w="3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54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First Lien</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4"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Second Lien</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Subordinated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center"/>
              <w:rPr/>
            </w:pPr>
            <w:r>
              <w:rPr/>
              <w:t> </w:t>
            </w:r>
          </w:p>
        </w:tc>
      </w:tr>
      <w:tr>
        <w:trPr/>
        <w:tc>
          <w:tcPr>
            <w:tcW w:w="3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Warrants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9"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December 31, 2022</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456,105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182,948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101,456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117,431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860,019</w:t>
            </w:r>
          </w:p>
        </w:tc>
        <w:tc>
          <w:tcPr>
            <w:tcW w:w="198" w:type="dxa"/>
            <w:tcBorders/>
            <w:shd w:fill="CFF0FC" w:val="clear"/>
            <w:vAlign w:val="center"/>
          </w:tcPr>
          <w:p>
            <w:pPr>
              <w:pStyle w:val="TableContents"/>
              <w:bidi w:val="0"/>
              <w:spacing w:before="0" w:after="283"/>
              <w:jc w:val="left"/>
              <w:rPr/>
            </w:pPr>
            <w:r>
              <w:rPr/>
              <w:t> </w:t>
            </w:r>
          </w:p>
        </w:tc>
      </w:tr>
      <w:tr>
        <w:trPr/>
        <w:tc>
          <w:tcPr>
            <w:tcW w:w="354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realized gains (losses) on investments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198" w:type="dxa"/>
            <w:tcBorders/>
            <w:shd w:fill="FFFFFF" w:val="clear"/>
            <w:vAlign w:val="center"/>
          </w:tcPr>
          <w:p>
            <w:pPr>
              <w:pStyle w:val="TableContents"/>
              <w:bidi w:val="0"/>
              <w:spacing w:before="0" w:after="283"/>
              <w:jc w:val="left"/>
              <w:rPr/>
            </w:pPr>
            <w:r>
              <w:rPr/>
              <w:t> </w:t>
            </w:r>
          </w:p>
        </w:tc>
      </w:tr>
      <w:tr>
        <w:trPr/>
        <w:tc>
          <w:tcPr>
            <w:tcW w:w="354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change in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(1,565</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709</w:t>
            </w:r>
          </w:p>
        </w:tc>
        <w:tc>
          <w:tcPr>
            <w:tcW w:w="198" w:type="dxa"/>
            <w:tcBorders/>
            <w:shd w:fill="CFF0FC" w:val="clear"/>
            <w:vAlign w:val="center"/>
          </w:tcPr>
          <w:p>
            <w:pPr>
              <w:pStyle w:val="TableContents"/>
              <w:bidi w:val="0"/>
              <w:spacing w:before="0" w:after="283"/>
              <w:jc w:val="left"/>
              <w:rPr/>
            </w:pPr>
            <w:r>
              <w:rPr/>
              <w:t> </w:t>
            </w:r>
          </w:p>
        </w:tc>
      </w:tr>
      <w:tr>
        <w:trPr/>
        <w:tc>
          <w:tcPr>
            <w:tcW w:w="354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Purchase of investments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51,521</w:t>
            </w:r>
          </w:p>
        </w:tc>
        <w:tc>
          <w:tcPr>
            <w:tcW w:w="198" w:type="dxa"/>
            <w:tcBorders/>
            <w:shd w:fill="FFFFFF" w:val="clear"/>
            <w:vAlign w:val="center"/>
          </w:tcPr>
          <w:p>
            <w:pPr>
              <w:pStyle w:val="TableContents"/>
              <w:bidi w:val="0"/>
              <w:spacing w:before="0" w:after="283"/>
              <w:jc w:val="left"/>
              <w:rPr/>
            </w:pPr>
            <w:r>
              <w:rPr/>
              <w:t> </w:t>
            </w:r>
          </w:p>
        </w:tc>
      </w:tr>
      <w:tr>
        <w:trPr/>
        <w:tc>
          <w:tcPr>
            <w:tcW w:w="354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sales and repayments of investments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(15,699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(15,871</w:t>
            </w:r>
          </w:p>
        </w:tc>
        <w:tc>
          <w:tcPr>
            <w:tcW w:w="19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54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and dividend income paid-in-kind</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637</w:t>
            </w:r>
          </w:p>
        </w:tc>
        <w:tc>
          <w:tcPr>
            <w:tcW w:w="198" w:type="dxa"/>
            <w:tcBorders/>
            <w:shd w:fill="FFFFFF" w:val="clear"/>
            <w:vAlign w:val="center"/>
          </w:tcPr>
          <w:p>
            <w:pPr>
              <w:pStyle w:val="TableContents"/>
              <w:bidi w:val="0"/>
              <w:spacing w:before="0" w:after="283"/>
              <w:jc w:val="left"/>
              <w:rPr/>
            </w:pPr>
            <w:r>
              <w:rPr/>
              <w:t> </w:t>
            </w:r>
          </w:p>
        </w:tc>
      </w:tr>
      <w:tr>
        <w:trPr/>
        <w:tc>
          <w:tcPr>
            <w:tcW w:w="354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loan origination fees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w:t>
            </w:r>
          </w:p>
        </w:tc>
        <w:tc>
          <w:tcPr>
            <w:tcW w:w="19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54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loan origination fees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413</w:t>
            </w:r>
          </w:p>
        </w:tc>
        <w:tc>
          <w:tcPr>
            <w:tcW w:w="198" w:type="dxa"/>
            <w:tcBorders/>
            <w:shd w:fill="FFFFFF" w:val="clear"/>
            <w:vAlign w:val="center"/>
          </w:tcPr>
          <w:p>
            <w:pPr>
              <w:pStyle w:val="TableContents"/>
              <w:bidi w:val="0"/>
              <w:spacing w:before="0" w:after="283"/>
              <w:jc w:val="left"/>
              <w:rPr/>
            </w:pPr>
            <w:r>
              <w:rPr/>
              <w:t> </w:t>
            </w:r>
          </w:p>
        </w:tc>
      </w:tr>
      <w:tr>
        <w:trPr/>
        <w:tc>
          <w:tcPr>
            <w:tcW w:w="354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original issue discount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9"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March 31, 2023</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481,547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188,931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102,386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121,841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897,062</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9"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December 31, 2023</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578,140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119,561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135,173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120,007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957,649</w:t>
            </w:r>
          </w:p>
        </w:tc>
        <w:tc>
          <w:tcPr>
            <w:tcW w:w="198" w:type="dxa"/>
            <w:tcBorders/>
            <w:shd w:fill="CFF0FC" w:val="clear"/>
            <w:vAlign w:val="center"/>
          </w:tcPr>
          <w:p>
            <w:pPr>
              <w:pStyle w:val="TableContents"/>
              <w:bidi w:val="0"/>
              <w:spacing w:before="0" w:after="283"/>
              <w:jc w:val="left"/>
              <w:rPr/>
            </w:pPr>
            <w:r>
              <w:rPr/>
              <w:t> </w:t>
            </w:r>
          </w:p>
        </w:tc>
      </w:tr>
      <w:tr>
        <w:trPr/>
        <w:tc>
          <w:tcPr>
            <w:tcW w:w="354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realized gains (losses) on investments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1,743</w:t>
            </w:r>
          </w:p>
        </w:tc>
        <w:tc>
          <w:tcPr>
            <w:tcW w:w="198" w:type="dxa"/>
            <w:tcBorders/>
            <w:shd w:fill="FFFFFF" w:val="clear"/>
            <w:vAlign w:val="center"/>
          </w:tcPr>
          <w:p>
            <w:pPr>
              <w:pStyle w:val="TableContents"/>
              <w:bidi w:val="0"/>
              <w:spacing w:before="0" w:after="283"/>
              <w:jc w:val="left"/>
              <w:rPr/>
            </w:pPr>
            <w:r>
              <w:rPr/>
              <w:t> </w:t>
            </w:r>
          </w:p>
        </w:tc>
      </w:tr>
      <w:tr>
        <w:trPr/>
        <w:tc>
          <w:tcPr>
            <w:tcW w:w="354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change in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(1,456</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w:t>
            </w:r>
          </w:p>
        </w:tc>
        <w:tc>
          <w:tcPr>
            <w:tcW w:w="198" w:type="dxa"/>
            <w:tcBorders/>
            <w:shd w:fill="CFF0FC" w:val="clear"/>
            <w:vAlign w:val="center"/>
          </w:tcPr>
          <w:p>
            <w:pPr>
              <w:pStyle w:val="TableContents"/>
              <w:bidi w:val="0"/>
              <w:spacing w:before="0" w:after="283"/>
              <w:jc w:val="left"/>
              <w:rPr/>
            </w:pPr>
            <w:r>
              <w:rPr/>
              <w:t> </w:t>
            </w:r>
          </w:p>
        </w:tc>
      </w:tr>
      <w:tr>
        <w:trPr/>
        <w:tc>
          <w:tcPr>
            <w:tcW w:w="354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Purchase of investments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96,142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8,369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145,861</w:t>
            </w:r>
          </w:p>
        </w:tc>
        <w:tc>
          <w:tcPr>
            <w:tcW w:w="198" w:type="dxa"/>
            <w:tcBorders/>
            <w:shd w:fill="FFFFFF" w:val="clear"/>
            <w:vAlign w:val="center"/>
          </w:tcPr>
          <w:p>
            <w:pPr>
              <w:pStyle w:val="TableContents"/>
              <w:bidi w:val="0"/>
              <w:spacing w:before="0" w:after="283"/>
              <w:jc w:val="left"/>
              <w:rPr/>
            </w:pPr>
            <w:r>
              <w:rPr/>
              <w:t> </w:t>
            </w:r>
          </w:p>
        </w:tc>
      </w:tr>
      <w:tr>
        <w:trPr/>
        <w:tc>
          <w:tcPr>
            <w:tcW w:w="354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sales and repayments of investments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(41,963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(14,852</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(3,222</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(60,247</w:t>
            </w:r>
          </w:p>
        </w:tc>
        <w:tc>
          <w:tcPr>
            <w:tcW w:w="19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54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and dividend income paid-in-kind</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2,049</w:t>
            </w:r>
          </w:p>
        </w:tc>
        <w:tc>
          <w:tcPr>
            <w:tcW w:w="198" w:type="dxa"/>
            <w:tcBorders/>
            <w:shd w:fill="FFFFFF" w:val="clear"/>
            <w:vAlign w:val="center"/>
          </w:tcPr>
          <w:p>
            <w:pPr>
              <w:pStyle w:val="TableContents"/>
              <w:bidi w:val="0"/>
              <w:spacing w:before="0" w:after="283"/>
              <w:jc w:val="left"/>
              <w:rPr/>
            </w:pPr>
            <w:r>
              <w:rPr/>
              <w:t> </w:t>
            </w:r>
          </w:p>
        </w:tc>
      </w:tr>
      <w:tr>
        <w:trPr/>
        <w:tc>
          <w:tcPr>
            <w:tcW w:w="354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loan origination fees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(896</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62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(1,131</w:t>
            </w:r>
          </w:p>
        </w:tc>
        <w:tc>
          <w:tcPr>
            <w:tcW w:w="19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54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loan origination fees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556</w:t>
            </w:r>
          </w:p>
        </w:tc>
        <w:tc>
          <w:tcPr>
            <w:tcW w:w="198" w:type="dxa"/>
            <w:tcBorders/>
            <w:shd w:fill="FFFFFF" w:val="clear"/>
            <w:vAlign w:val="center"/>
          </w:tcPr>
          <w:p>
            <w:pPr>
              <w:pStyle w:val="TableContents"/>
              <w:bidi w:val="0"/>
              <w:spacing w:before="0" w:after="283"/>
              <w:jc w:val="left"/>
              <w:rPr/>
            </w:pPr>
            <w:r>
              <w:rPr/>
              <w:t> </w:t>
            </w:r>
          </w:p>
        </w:tc>
      </w:tr>
      <w:tr>
        <w:trPr/>
        <w:tc>
          <w:tcPr>
            <w:tcW w:w="354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original issue discount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9"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March 31, 2024</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633,290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134,749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148,387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125,441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1,047,818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change in unrealized appreciation/(depreciation) of $2,840 for the three months ended March 31, 2024, was attributable to Level 3 investments held at March 31, 2024. Net change in unrealized appreciation/(depreciation) of $793 for the three months ended March 31, 2023, was attributable to Level 3 investments held at March 31, 2023.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summarize the significant unobservable inputs by valuation technique used to determine the fair value of the Company’s Level 3 debt and equity investments as of March 31, 2024 and December 31, 2023. The tables are not intended to be all-inclusive, but instead capture the significant unobservable inputs relevant to the Company’s determination of fair values.</w:t>
      </w:r>
    </w:p>
    <w:p>
      <w:pPr>
        <w:pStyle w:val="TextBody"/>
        <w:bidi w:val="0"/>
        <w:jc w:val="both"/>
        <w:rPr/>
      </w:pPr>
      <w:r>
        <w:rPr/>
        <w:t> </w:t>
      </w:r>
    </w:p>
    <w:tbl>
      <w:tblPr>
        <w:tblW w:w="9839" w:type="dxa"/>
        <w:jc w:val="left"/>
        <w:tblInd w:w="0" w:type="dxa"/>
        <w:tblLayout w:type="fixed"/>
        <w:tblCellMar>
          <w:top w:w="28" w:type="dxa"/>
          <w:left w:w="28" w:type="dxa"/>
          <w:bottom w:w="28" w:type="dxa"/>
          <w:right w:w="28" w:type="dxa"/>
        </w:tblCellMar>
      </w:tblPr>
      <w:tblGrid>
        <w:gridCol w:w="1666"/>
        <w:gridCol w:w="146"/>
        <w:gridCol w:w="284"/>
        <w:gridCol w:w="1006"/>
        <w:gridCol w:w="146"/>
        <w:gridCol w:w="146"/>
        <w:gridCol w:w="1846"/>
        <w:gridCol w:w="146"/>
        <w:gridCol w:w="2446"/>
        <w:gridCol w:w="146"/>
        <w:gridCol w:w="18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w:t>
            </w:r>
          </w:p>
        </w:tc>
        <w:tc>
          <w:tcPr>
            <w:tcW w:w="146" w:type="dxa"/>
            <w:tcBorders/>
            <w:shd w:fill="FFFFFF" w:val="clear"/>
            <w:vAlign w:val="center"/>
          </w:tcPr>
          <w:p>
            <w:pPr>
              <w:pStyle w:val="TableContents"/>
              <w:bidi w:val="0"/>
              <w:spacing w:before="0" w:after="283"/>
              <w:jc w:val="center"/>
              <w:rPr/>
            </w:pPr>
            <w:r>
              <w:rPr/>
              <w:t> </w:t>
            </w:r>
          </w:p>
        </w:tc>
        <w:tc>
          <w:tcPr>
            <w:tcW w:w="244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Unobservable</w:t>
            </w:r>
          </w:p>
        </w:tc>
        <w:tc>
          <w:tcPr>
            <w:tcW w:w="146" w:type="dxa"/>
            <w:tcBorders/>
            <w:shd w:fill="FFFFFF" w:val="clear"/>
            <w:vAlign w:val="center"/>
          </w:tcPr>
          <w:p>
            <w:pPr>
              <w:pStyle w:val="TableContents"/>
              <w:bidi w:val="0"/>
              <w:spacing w:before="0" w:after="283"/>
              <w:jc w:val="center"/>
              <w:rPr/>
            </w:pPr>
            <w:r>
              <w:rPr/>
              <w:t> </w:t>
            </w:r>
          </w:p>
        </w:tc>
        <w:tc>
          <w:tcPr>
            <w:tcW w:w="186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Techniques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 average)</w:t>
            </w:r>
            <w:r>
              <w:rPr>
                <w:rFonts w:ascii="Times New Roman" w:hAnsi="Times New Roman"/>
                <w:b/>
                <w:color w:val="000000"/>
                <w:sz w:val="12"/>
              </w:rPr>
              <w:t>(1)</w:t>
            </w:r>
          </w:p>
        </w:tc>
      </w:tr>
      <w:tr>
        <w:trPr/>
        <w:tc>
          <w:tcPr>
            <w:tcW w:w="16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Debt investments:</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First Lien Debt</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629,765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Discounted cash flow</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Weighted average cost of capital</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9.1% - 24.0% (15.3%)</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Asset Coverage</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1.5x - 1.5x (1.5x)</w:t>
            </w:r>
          </w:p>
        </w:tc>
      </w:tr>
      <w:tr>
        <w:trPr/>
        <w:tc>
          <w:tcPr>
            <w:tcW w:w="1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ind w:left="0" w:right="0" w:firstLine="200"/>
              <w:jc w:val="left"/>
              <w:rPr/>
            </w:pPr>
            <w:r>
              <w:rPr/>
              <w:t> </w:t>
            </w:r>
          </w:p>
        </w:tc>
      </w:tr>
      <w:tr>
        <w:trPr/>
        <w:tc>
          <w:tcPr>
            <w:tcW w:w="1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Second Lien Debt</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Discounted cash flow </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Weighted average cost of capital</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12.8% - 50.0% (16.7%)</w:t>
            </w:r>
          </w:p>
        </w:tc>
      </w:tr>
      <w:tr>
        <w:trPr/>
        <w:tc>
          <w:tcPr>
            <w:tcW w:w="1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ind w:left="0" w:right="0" w:firstLine="200"/>
              <w:jc w:val="left"/>
              <w:rPr/>
            </w:pPr>
            <w:r>
              <w:rPr/>
              <w:t> </w:t>
            </w:r>
          </w:p>
        </w:tc>
      </w:tr>
      <w:tr>
        <w:trPr/>
        <w:tc>
          <w:tcPr>
            <w:tcW w:w="1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Subordinated Debt</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148,387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Discounted cash flow</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Weighted average cost of capital</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 - 16.2% (13.6%)</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pPr>
            <w:r>
              <w:rPr/>
              <w:t> </w:t>
            </w:r>
          </w:p>
        </w:tc>
      </w:tr>
      <w:tr>
        <w:trPr/>
        <w:tc>
          <w:tcPr>
            <w:tcW w:w="16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investments:</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ind w:left="0" w:right="0" w:firstLine="200"/>
              <w:jc w:val="left"/>
              <w:rPr/>
            </w:pPr>
            <w:r>
              <w:rPr/>
              <w:t> </w:t>
            </w:r>
          </w:p>
        </w:tc>
      </w:tr>
      <w:tr>
        <w:trPr/>
        <w:tc>
          <w:tcPr>
            <w:tcW w:w="1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Equity</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4.0x - 28.0x (10.4x)</w:t>
            </w:r>
          </w:p>
        </w:tc>
      </w:tr>
      <w:tr>
        <w:trPr/>
        <w:tc>
          <w:tcPr>
            <w:tcW w:w="1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Revenue multiples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0.8x - 9.5x (7.7x)</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6.5x - 6.5x (6.5x)</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Revenue multiples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4.5x - 4.5x (4.5x)</w:t>
            </w:r>
          </w:p>
        </w:tc>
      </w:tr>
    </w:tbl>
    <w:p>
      <w:pPr>
        <w:pStyle w:val="TextBody"/>
        <w:bidi w:val="0"/>
        <w:spacing w:before="180" w:after="283"/>
        <w:jc w:val="both"/>
        <w:rPr>
          <w:rFonts w:ascii="Times New Roman" w:hAnsi="Times New Roman"/>
          <w:color w:val="000000"/>
          <w:sz w:val="16"/>
        </w:rPr>
      </w:pPr>
      <w:r>
        <w:rPr>
          <w:rFonts w:ascii="Times New Roman" w:hAnsi="Times New Roman"/>
          <w:color w:val="000000"/>
          <w:sz w:val="16"/>
        </w:rPr>
        <w:t>(1) Unobservable inputs were weighted by the relative fair value of the instruments.</w:t>
      </w:r>
    </w:p>
    <w:p>
      <w:pPr>
        <w:pStyle w:val="TextBody"/>
        <w:bidi w:val="0"/>
        <w:jc w:val="both"/>
        <w:rPr>
          <w:rFonts w:ascii="Times New Roman" w:hAnsi="Times New Roman"/>
          <w:sz w:val="20"/>
        </w:rPr>
      </w:pPr>
      <w:r>
        <w:rPr>
          <w:rFonts w:ascii="Times New Roman" w:hAnsi="Times New Roman"/>
          <w:color w:val="000000"/>
          <w:sz w:val="16"/>
        </w:rPr>
        <w:t>(2) Includes $51.9</w:t>
      </w:r>
      <w:r>
        <w:rPr>
          <w:rFonts w:ascii="Times New Roman" w:hAnsi="Times New Roman"/>
          <w:color w:val="000000"/>
          <w:sz w:val="20"/>
        </w:rPr>
        <w:t xml:space="preserve"> </w:t>
      </w:r>
      <w:r>
        <w:rPr>
          <w:rFonts w:ascii="Times New Roman" w:hAnsi="Times New Roman"/>
          <w:color w:val="000000"/>
          <w:sz w:val="16"/>
        </w:rPr>
        <w:t>million of debt investments which were valued using a trading discount to par.</w:t>
      </w:r>
    </w:p>
    <w:p>
      <w:pPr>
        <w:pStyle w:val="TextBody"/>
        <w:bidi w:val="0"/>
        <w:spacing w:before="18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205" w:type="dxa"/>
        <w:jc w:val="left"/>
        <w:tblInd w:w="0" w:type="dxa"/>
        <w:tblLayout w:type="fixed"/>
        <w:tblCellMar>
          <w:top w:w="28" w:type="dxa"/>
          <w:left w:w="28" w:type="dxa"/>
          <w:bottom w:w="28" w:type="dxa"/>
          <w:right w:w="28" w:type="dxa"/>
        </w:tblCellMar>
      </w:tblPr>
      <w:tblGrid>
        <w:gridCol w:w="1657"/>
        <w:gridCol w:w="146"/>
        <w:gridCol w:w="338"/>
        <w:gridCol w:w="1193"/>
        <w:gridCol w:w="146"/>
        <w:gridCol w:w="146"/>
        <w:gridCol w:w="1828"/>
        <w:gridCol w:w="146"/>
        <w:gridCol w:w="2419"/>
        <w:gridCol w:w="146"/>
        <w:gridCol w:w="2040"/>
      </w:tblGrid>
      <w:tr>
        <w:trPr/>
        <w:tc>
          <w:tcPr>
            <w:tcW w:w="1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r>
      <w:tr>
        <w:trPr/>
        <w:tc>
          <w:tcPr>
            <w:tcW w:w="16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8"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w:t>
            </w:r>
          </w:p>
        </w:tc>
        <w:tc>
          <w:tcPr>
            <w:tcW w:w="146" w:type="dxa"/>
            <w:tcBorders/>
            <w:shd w:fill="FFFFFF" w:val="clear"/>
            <w:vAlign w:val="center"/>
          </w:tcPr>
          <w:p>
            <w:pPr>
              <w:pStyle w:val="TableContents"/>
              <w:bidi w:val="0"/>
              <w:spacing w:before="0" w:after="283"/>
              <w:jc w:val="center"/>
              <w:rPr/>
            </w:pPr>
            <w:r>
              <w:rPr/>
              <w:t> </w:t>
            </w:r>
          </w:p>
        </w:tc>
        <w:tc>
          <w:tcPr>
            <w:tcW w:w="2419"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Unobservable</w:t>
            </w:r>
          </w:p>
        </w:tc>
        <w:tc>
          <w:tcPr>
            <w:tcW w:w="146" w:type="dxa"/>
            <w:tcBorders/>
            <w:shd w:fill="FFFFFF" w:val="clear"/>
            <w:vAlign w:val="center"/>
          </w:tcPr>
          <w:p>
            <w:pPr>
              <w:pStyle w:val="TableContents"/>
              <w:bidi w:val="0"/>
              <w:spacing w:before="0" w:after="283"/>
              <w:jc w:val="center"/>
              <w:rPr/>
            </w:pPr>
            <w:r>
              <w:rPr/>
              <w:t> </w:t>
            </w:r>
          </w:p>
        </w:tc>
        <w:tc>
          <w:tcPr>
            <w:tcW w:w="2040"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w:t>
            </w:r>
          </w:p>
        </w:tc>
      </w:tr>
      <w:tr>
        <w:trPr/>
        <w:tc>
          <w:tcPr>
            <w:tcW w:w="16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Techniques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 average)</w:t>
            </w:r>
            <w:r>
              <w:rPr>
                <w:rFonts w:ascii="Times New Roman" w:hAnsi="Times New Roman"/>
                <w:b/>
                <w:color w:val="000000"/>
                <w:sz w:val="12"/>
              </w:rPr>
              <w:t>(1)</w:t>
            </w:r>
          </w:p>
        </w:tc>
      </w:tr>
      <w:tr>
        <w:trPr/>
        <w:tc>
          <w:tcPr>
            <w:tcW w:w="1657"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Debt investments:</w:t>
            </w:r>
          </w:p>
        </w:tc>
        <w:tc>
          <w:tcPr>
            <w:tcW w:w="146" w:type="dxa"/>
            <w:tcBorders/>
            <w:shd w:fill="CFF0FC" w:val="clear"/>
            <w:vAlign w:val="center"/>
          </w:tcPr>
          <w:p>
            <w:pPr>
              <w:pStyle w:val="TableContents"/>
              <w:bidi w:val="0"/>
              <w:spacing w:before="0" w:after="283"/>
              <w:jc w:val="left"/>
              <w:rPr/>
            </w:pPr>
            <w:r>
              <w:rPr/>
              <w:t> </w:t>
            </w:r>
          </w:p>
        </w:tc>
        <w:tc>
          <w:tcPr>
            <w:tcW w:w="1531"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0" w:type="dxa"/>
            <w:tcBorders/>
            <w:shd w:fill="CFF0FC" w:val="clear"/>
            <w:vAlign w:val="center"/>
          </w:tcPr>
          <w:p>
            <w:pPr>
              <w:pStyle w:val="TableContents"/>
              <w:bidi w:val="0"/>
              <w:spacing w:before="0" w:after="283"/>
              <w:ind w:left="0" w:right="0" w:firstLine="200"/>
              <w:jc w:val="left"/>
              <w:rPr/>
            </w:pPr>
            <w:r>
              <w:rPr/>
              <w:t> </w:t>
            </w:r>
          </w:p>
        </w:tc>
      </w:tr>
      <w:tr>
        <w:trPr/>
        <w:tc>
          <w:tcPr>
            <w:tcW w:w="165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First Lien Debt</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8"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Discounted cash flow</w:t>
            </w:r>
          </w:p>
        </w:tc>
        <w:tc>
          <w:tcPr>
            <w:tcW w:w="146" w:type="dxa"/>
            <w:tcBorders/>
            <w:shd w:fill="FFFFFF" w:val="clear"/>
            <w:vAlign w:val="center"/>
          </w:tcPr>
          <w:p>
            <w:pPr>
              <w:pStyle w:val="TableContents"/>
              <w:bidi w:val="0"/>
              <w:spacing w:before="0" w:after="283"/>
              <w:jc w:val="left"/>
              <w:rPr/>
            </w:pPr>
            <w:r>
              <w:rPr/>
              <w:t> </w:t>
            </w:r>
          </w:p>
        </w:tc>
        <w:tc>
          <w:tcPr>
            <w:tcW w:w="24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Weighted average cost of capital</w:t>
            </w:r>
          </w:p>
        </w:tc>
        <w:tc>
          <w:tcPr>
            <w:tcW w:w="146" w:type="dxa"/>
            <w:tcBorders/>
            <w:shd w:fill="FFFFFF" w:val="clear"/>
            <w:vAlign w:val="center"/>
          </w:tcPr>
          <w:p>
            <w:pPr>
              <w:pStyle w:val="TableContents"/>
              <w:bidi w:val="0"/>
              <w:spacing w:before="0" w:after="283"/>
              <w:jc w:val="left"/>
              <w:rPr/>
            </w:pPr>
            <w:r>
              <w:rPr/>
              <w:t> </w:t>
            </w:r>
          </w:p>
        </w:tc>
        <w:tc>
          <w:tcPr>
            <w:tcW w:w="204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9.4% - 23.4% (15.6%)</w:t>
            </w:r>
          </w:p>
        </w:tc>
      </w:tr>
      <w:tr>
        <w:trPr/>
        <w:tc>
          <w:tcPr>
            <w:tcW w:w="1657"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Asset Coverage</w:t>
            </w:r>
          </w:p>
        </w:tc>
        <w:tc>
          <w:tcPr>
            <w:tcW w:w="146" w:type="dxa"/>
            <w:tcBorders/>
            <w:shd w:fill="CFF0FC" w:val="clear"/>
            <w:vAlign w:val="center"/>
          </w:tcPr>
          <w:p>
            <w:pPr>
              <w:pStyle w:val="TableContents"/>
              <w:bidi w:val="0"/>
              <w:spacing w:before="0" w:after="283"/>
              <w:jc w:val="left"/>
              <w:rPr/>
            </w:pPr>
            <w:r>
              <w:rPr/>
              <w:t> </w:t>
            </w:r>
          </w:p>
        </w:tc>
        <w:tc>
          <w:tcPr>
            <w:tcW w:w="20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1.3x - 1.3x (1.3x)</w:t>
            </w:r>
          </w:p>
        </w:tc>
      </w:tr>
      <w:tr>
        <w:trPr/>
        <w:tc>
          <w:tcPr>
            <w:tcW w:w="16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0" w:type="dxa"/>
            <w:tcBorders/>
            <w:shd w:fill="FFFFFF" w:val="clear"/>
            <w:vAlign w:val="center"/>
          </w:tcPr>
          <w:p>
            <w:pPr>
              <w:pStyle w:val="TableContents"/>
              <w:bidi w:val="0"/>
              <w:spacing w:before="0" w:after="283"/>
              <w:ind w:left="0" w:right="0" w:firstLine="200"/>
              <w:jc w:val="left"/>
              <w:rPr/>
            </w:pPr>
            <w:r>
              <w:rPr/>
              <w:t> </w:t>
            </w:r>
          </w:p>
        </w:tc>
      </w:tr>
      <w:tr>
        <w:trPr/>
        <w:tc>
          <w:tcPr>
            <w:tcW w:w="165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Second Lien Debt</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8"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Discounted cash flow </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24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Weighted average cost of capital</w:t>
            </w:r>
          </w:p>
        </w:tc>
        <w:tc>
          <w:tcPr>
            <w:tcW w:w="146" w:type="dxa"/>
            <w:tcBorders/>
            <w:shd w:fill="CFF0FC" w:val="clear"/>
            <w:vAlign w:val="center"/>
          </w:tcPr>
          <w:p>
            <w:pPr>
              <w:pStyle w:val="TableContents"/>
              <w:bidi w:val="0"/>
              <w:spacing w:before="0" w:after="283"/>
              <w:jc w:val="left"/>
              <w:rPr/>
            </w:pPr>
            <w:r>
              <w:rPr/>
              <w:t> </w:t>
            </w:r>
          </w:p>
        </w:tc>
        <w:tc>
          <w:tcPr>
            <w:tcW w:w="20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12.7% - 30.0% (16.1%)</w:t>
            </w:r>
          </w:p>
        </w:tc>
      </w:tr>
      <w:tr>
        <w:trPr/>
        <w:tc>
          <w:tcPr>
            <w:tcW w:w="165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3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0" w:type="dxa"/>
            <w:tcBorders/>
            <w:shd w:fill="FFFFFF" w:val="clear"/>
            <w:vAlign w:val="center"/>
          </w:tcPr>
          <w:p>
            <w:pPr>
              <w:pStyle w:val="TableContents"/>
              <w:bidi w:val="0"/>
              <w:spacing w:before="0" w:after="283"/>
              <w:ind w:left="0" w:right="0" w:firstLine="200"/>
              <w:jc w:val="left"/>
              <w:rPr/>
            </w:pPr>
            <w:r>
              <w:rPr/>
              <w:t> </w:t>
            </w:r>
          </w:p>
        </w:tc>
      </w:tr>
      <w:tr>
        <w:trPr/>
        <w:tc>
          <w:tcPr>
            <w:tcW w:w="165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Subordinated Debt</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Discounted cash flow</w:t>
            </w:r>
          </w:p>
        </w:tc>
        <w:tc>
          <w:tcPr>
            <w:tcW w:w="146" w:type="dxa"/>
            <w:tcBorders/>
            <w:shd w:fill="CFF0FC" w:val="clear"/>
            <w:vAlign w:val="center"/>
          </w:tcPr>
          <w:p>
            <w:pPr>
              <w:pStyle w:val="TableContents"/>
              <w:bidi w:val="0"/>
              <w:spacing w:before="0" w:after="283"/>
              <w:jc w:val="left"/>
              <w:rPr/>
            </w:pPr>
            <w:r>
              <w:rPr/>
              <w:t> </w:t>
            </w:r>
          </w:p>
        </w:tc>
        <w:tc>
          <w:tcPr>
            <w:tcW w:w="24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Weighted average cost of capital</w:t>
            </w:r>
          </w:p>
        </w:tc>
        <w:tc>
          <w:tcPr>
            <w:tcW w:w="146" w:type="dxa"/>
            <w:tcBorders/>
            <w:shd w:fill="CFF0FC" w:val="clear"/>
            <w:vAlign w:val="center"/>
          </w:tcPr>
          <w:p>
            <w:pPr>
              <w:pStyle w:val="TableContents"/>
              <w:bidi w:val="0"/>
              <w:spacing w:before="0" w:after="283"/>
              <w:jc w:val="left"/>
              <w:rPr/>
            </w:pPr>
            <w:r>
              <w:rPr/>
              <w:t> </w:t>
            </w:r>
          </w:p>
        </w:tc>
        <w:tc>
          <w:tcPr>
            <w:tcW w:w="2040"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10.3% - 16.4% (13.4%)</w:t>
            </w:r>
          </w:p>
        </w:tc>
      </w:tr>
      <w:tr>
        <w:trPr/>
        <w:tc>
          <w:tcPr>
            <w:tcW w:w="1657"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8"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FFFFFF" w:val="clear"/>
            <w:vAlign w:val="center"/>
          </w:tcPr>
          <w:p>
            <w:pPr>
              <w:pStyle w:val="TableContents"/>
              <w:bidi w:val="0"/>
              <w:spacing w:before="0" w:after="283"/>
              <w:jc w:val="left"/>
              <w:rPr/>
            </w:pPr>
            <w:r>
              <w:rPr/>
              <w:t> </w:t>
            </w:r>
          </w:p>
        </w:tc>
        <w:tc>
          <w:tcPr>
            <w:tcW w:w="204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6.0x - 6.0x (6.0x)</w:t>
            </w:r>
          </w:p>
        </w:tc>
      </w:tr>
      <w:tr>
        <w:trPr/>
        <w:tc>
          <w:tcPr>
            <w:tcW w:w="165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0" w:type="dxa"/>
            <w:tcBorders/>
            <w:shd w:fill="CFF0FC" w:val="clear"/>
            <w:vAlign w:val="center"/>
          </w:tcPr>
          <w:p>
            <w:pPr>
              <w:pStyle w:val="TableContents"/>
              <w:bidi w:val="0"/>
              <w:spacing w:before="0" w:after="283"/>
              <w:jc w:val="left"/>
              <w:rPr/>
            </w:pPr>
            <w:r>
              <w:rPr/>
              <w:t> </w:t>
            </w:r>
          </w:p>
        </w:tc>
      </w:tr>
      <w:tr>
        <w:trPr/>
        <w:tc>
          <w:tcPr>
            <w:tcW w:w="1657"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investments:</w:t>
            </w:r>
          </w:p>
        </w:tc>
        <w:tc>
          <w:tcPr>
            <w:tcW w:w="146" w:type="dxa"/>
            <w:tcBorders/>
            <w:shd w:fill="FFFFFF" w:val="clear"/>
            <w:vAlign w:val="center"/>
          </w:tcPr>
          <w:p>
            <w:pPr>
              <w:pStyle w:val="TableContents"/>
              <w:bidi w:val="0"/>
              <w:spacing w:before="0" w:after="283"/>
              <w:jc w:val="left"/>
              <w:rPr/>
            </w:pPr>
            <w:r>
              <w:rPr/>
              <w:t> </w:t>
            </w:r>
          </w:p>
        </w:tc>
        <w:tc>
          <w:tcPr>
            <w:tcW w:w="153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0" w:type="dxa"/>
            <w:tcBorders/>
            <w:shd w:fill="FFFFFF" w:val="clear"/>
            <w:vAlign w:val="center"/>
          </w:tcPr>
          <w:p>
            <w:pPr>
              <w:pStyle w:val="TableContents"/>
              <w:bidi w:val="0"/>
              <w:spacing w:before="0" w:after="283"/>
              <w:ind w:left="0" w:right="0" w:firstLine="200"/>
              <w:jc w:val="left"/>
              <w:rPr/>
            </w:pPr>
            <w:r>
              <w:rPr/>
              <w:t> </w:t>
            </w:r>
          </w:p>
        </w:tc>
      </w:tr>
      <w:tr>
        <w:trPr/>
        <w:tc>
          <w:tcPr>
            <w:tcW w:w="165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Equity</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CFF0FC" w:val="clear"/>
            <w:vAlign w:val="center"/>
          </w:tcPr>
          <w:p>
            <w:pPr>
              <w:pStyle w:val="TableContents"/>
              <w:bidi w:val="0"/>
              <w:spacing w:before="0" w:after="283"/>
              <w:jc w:val="left"/>
              <w:rPr/>
            </w:pPr>
            <w:r>
              <w:rPr/>
              <w:t> </w:t>
            </w:r>
          </w:p>
        </w:tc>
        <w:tc>
          <w:tcPr>
            <w:tcW w:w="20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4.0x - 32.5x (9.5x)</w:t>
            </w:r>
          </w:p>
        </w:tc>
      </w:tr>
      <w:tr>
        <w:trPr/>
        <w:tc>
          <w:tcPr>
            <w:tcW w:w="165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8"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Revenue multiples</w:t>
            </w:r>
          </w:p>
        </w:tc>
        <w:tc>
          <w:tcPr>
            <w:tcW w:w="146" w:type="dxa"/>
            <w:tcBorders/>
            <w:shd w:fill="FFFFFF" w:val="clear"/>
            <w:vAlign w:val="center"/>
          </w:tcPr>
          <w:p>
            <w:pPr>
              <w:pStyle w:val="TableContents"/>
              <w:bidi w:val="0"/>
              <w:spacing w:before="0" w:after="283"/>
              <w:jc w:val="left"/>
              <w:rPr/>
            </w:pPr>
            <w:r>
              <w:rPr/>
              <w:t> </w:t>
            </w:r>
          </w:p>
        </w:tc>
        <w:tc>
          <w:tcPr>
            <w:tcW w:w="204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0.7x - 9.5x (7.5x)</w:t>
            </w:r>
          </w:p>
        </w:tc>
      </w:tr>
      <w:tr>
        <w:trPr/>
        <w:tc>
          <w:tcPr>
            <w:tcW w:w="1657"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53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0" w:type="dxa"/>
            <w:tcBorders/>
            <w:shd w:fill="CFF0FC" w:val="clear"/>
            <w:vAlign w:val="center"/>
          </w:tcPr>
          <w:p>
            <w:pPr>
              <w:pStyle w:val="TableContents"/>
              <w:bidi w:val="0"/>
              <w:spacing w:before="0" w:after="283"/>
              <w:ind w:left="0" w:right="0" w:firstLine="200"/>
              <w:jc w:val="left"/>
              <w:rPr/>
            </w:pPr>
            <w:r>
              <w:rPr/>
              <w:t> </w:t>
            </w:r>
          </w:p>
        </w:tc>
      </w:tr>
      <w:tr>
        <w:trPr/>
        <w:tc>
          <w:tcPr>
            <w:tcW w:w="165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8"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FFFFFF" w:val="clear"/>
            <w:vAlign w:val="center"/>
          </w:tcPr>
          <w:p>
            <w:pPr>
              <w:pStyle w:val="TableContents"/>
              <w:bidi w:val="0"/>
              <w:spacing w:before="0" w:after="283"/>
              <w:jc w:val="left"/>
              <w:rPr/>
            </w:pPr>
            <w:r>
              <w:rPr/>
              <w:t> </w:t>
            </w:r>
          </w:p>
        </w:tc>
        <w:tc>
          <w:tcPr>
            <w:tcW w:w="204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6.0x - 6.0x (6.0x)</w:t>
            </w:r>
          </w:p>
        </w:tc>
      </w:tr>
      <w:tr>
        <w:trPr/>
        <w:tc>
          <w:tcPr>
            <w:tcW w:w="1657"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Revenue multiples</w:t>
            </w:r>
          </w:p>
        </w:tc>
        <w:tc>
          <w:tcPr>
            <w:tcW w:w="146" w:type="dxa"/>
            <w:tcBorders/>
            <w:shd w:fill="CFF0FC" w:val="clear"/>
            <w:vAlign w:val="center"/>
          </w:tcPr>
          <w:p>
            <w:pPr>
              <w:pStyle w:val="TableContents"/>
              <w:bidi w:val="0"/>
              <w:spacing w:before="0" w:after="283"/>
              <w:jc w:val="left"/>
              <w:rPr/>
            </w:pPr>
            <w:r>
              <w:rPr/>
              <w:t> </w:t>
            </w:r>
          </w:p>
        </w:tc>
        <w:tc>
          <w:tcPr>
            <w:tcW w:w="20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4.5x - 4.5x (4.5x)</w:t>
            </w:r>
          </w:p>
        </w:tc>
      </w:tr>
    </w:tbl>
    <w:p>
      <w:pPr>
        <w:pStyle w:val="TextBody"/>
        <w:bidi w:val="0"/>
        <w:spacing w:before="180" w:after="283"/>
        <w:jc w:val="both"/>
        <w:rPr>
          <w:rFonts w:ascii="Times New Roman" w:hAnsi="Times New Roman"/>
          <w:color w:val="000000"/>
          <w:sz w:val="16"/>
        </w:rPr>
      </w:pPr>
      <w:r>
        <w:rPr>
          <w:rFonts w:ascii="Times New Roman" w:hAnsi="Times New Roman"/>
          <w:color w:val="000000"/>
          <w:sz w:val="16"/>
        </w:rPr>
        <w:t>(1) Unobservable inputs were weighted by the relative fair value of the instruments.</w:t>
      </w:r>
    </w:p>
    <w:p>
      <w:pPr>
        <w:pStyle w:val="TextBody"/>
        <w:bidi w:val="0"/>
        <w:jc w:val="both"/>
        <w:rPr>
          <w:rFonts w:ascii="Times New Roman" w:hAnsi="Times New Roman"/>
          <w:sz w:val="20"/>
        </w:rPr>
      </w:pPr>
      <w:r>
        <w:rPr>
          <w:rFonts w:ascii="Times New Roman" w:hAnsi="Times New Roman"/>
          <w:color w:val="000000"/>
          <w:sz w:val="16"/>
        </w:rPr>
        <w:t>(2) Includes $50.5</w:t>
      </w:r>
      <w:r>
        <w:rPr>
          <w:rFonts w:ascii="Times New Roman" w:hAnsi="Times New Roman"/>
          <w:color w:val="000000"/>
          <w:sz w:val="20"/>
        </w:rPr>
        <w:t xml:space="preserve"> </w:t>
      </w:r>
      <w:r>
        <w:rPr>
          <w:rFonts w:ascii="Times New Roman" w:hAnsi="Times New Roman"/>
          <w:color w:val="000000"/>
          <w:sz w:val="16"/>
        </w:rPr>
        <w:t>million of debt investments which were valued using a trading discount to par.</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Other Financial Assets and Liabilities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the SBA debentures, and the Notes (as defined in Note 6) are recorded at their respective carrying values.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tables summarize the carrying value and fair value of the Company’s debt obligations as of March 31, 2024 and December 31, 2023. </w:t>
      </w:r>
    </w:p>
    <w:p>
      <w:pPr>
        <w:pStyle w:val="TextBody"/>
        <w:bidi w:val="0"/>
        <w:jc w:val="both"/>
        <w:rPr/>
      </w:pPr>
      <w:r>
        <w:rPr/>
        <w:t> </w:t>
      </w:r>
    </w:p>
    <w:tbl>
      <w:tblPr>
        <w:tblW w:w="9029" w:type="dxa"/>
        <w:jc w:val="left"/>
        <w:tblInd w:w="0" w:type="dxa"/>
        <w:tblLayout w:type="fixed"/>
        <w:tblCellMar>
          <w:top w:w="28" w:type="dxa"/>
          <w:left w:w="28" w:type="dxa"/>
          <w:bottom w:w="28" w:type="dxa"/>
          <w:right w:w="28" w:type="dxa"/>
        </w:tblCellMar>
      </w:tblPr>
      <w:tblGrid>
        <w:gridCol w:w="2476"/>
        <w:gridCol w:w="146"/>
        <w:gridCol w:w="351"/>
        <w:gridCol w:w="1299"/>
        <w:gridCol w:w="146"/>
        <w:gridCol w:w="146"/>
        <w:gridCol w:w="217"/>
        <w:gridCol w:w="803"/>
        <w:gridCol w:w="146"/>
        <w:gridCol w:w="146"/>
        <w:gridCol w:w="351"/>
        <w:gridCol w:w="1299"/>
        <w:gridCol w:w="146"/>
        <w:gridCol w:w="146"/>
        <w:gridCol w:w="217"/>
        <w:gridCol w:w="803"/>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March 31, 2024</w:t>
            </w:r>
            <w:r>
              <w:rPr>
                <w:rFonts w:ascii="Times New Roman" w:hAnsi="Times New Roman"/>
                <w:b/>
                <w:color w:val="000000"/>
                <w:sz w:val="13"/>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December 31, 2023</w:t>
            </w:r>
            <w:r>
              <w:rPr>
                <w:rFonts w:ascii="Times New Roman" w:hAnsi="Times New Roman"/>
                <w:b/>
                <w:color w:val="000000"/>
                <w:sz w:val="13"/>
              </w:rPr>
              <w:t>(5)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Carrying Value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Carrying Value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SBA debentures </w:t>
            </w:r>
            <w:r>
              <w:rPr>
                <w:rFonts w:ascii="Times New Roman" w:hAnsi="Times New Roman"/>
                <w:color w:val="000000"/>
                <w:sz w:val="13"/>
              </w:rPr>
              <w:t>(2)</w:t>
            </w:r>
          </w:p>
        </w:tc>
        <w:tc>
          <w:tcPr>
            <w:tcW w:w="146"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91" w:type="dxa"/>
            <w:tcBorders/>
            <w:shd w:fill="CCEEFF"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Credit Facility borrowings </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47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January 2026 Notes </w:t>
            </w:r>
            <w:r>
              <w:rPr>
                <w:rFonts w:ascii="Times New Roman" w:hAnsi="Times New Roman"/>
                <w:color w:val="000000"/>
                <w:sz w:val="13"/>
              </w:rPr>
              <w:t>(4)</w:t>
            </w:r>
          </w:p>
        </w:tc>
        <w:tc>
          <w:tcPr>
            <w:tcW w:w="146"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113,682</w:t>
            </w:r>
          </w:p>
        </w:tc>
        <w:tc>
          <w:tcPr>
            <w:tcW w:w="191" w:type="dxa"/>
            <w:tcBorders/>
            <w:shd w:fill="CCEEFF"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November 2026 Notes </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vAlign w:val="center"/>
          </w:tcPr>
          <w:p>
            <w:pPr>
              <w:pStyle w:val="TableContents"/>
              <w:bidi w:val="0"/>
              <w:spacing w:before="0" w:after="283"/>
              <w:jc w:val="left"/>
              <w:rPr/>
            </w:pPr>
            <w:r>
              <w:rPr/>
              <w:t> </w:t>
            </w:r>
          </w:p>
        </w:tc>
        <w:tc>
          <w:tcPr>
            <w:tcW w:w="3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421,305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429,785</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Carrying value represents the outstanding principal balance of the debt obligation.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borrowings under the Credit Facility, if valued under ASC Topic 820, are based on a market yield approach and current interest rates, which are Level 3 inputs to the market yield model.</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the January 2026 Notes (as defined in Note 6) and the November 2026 Notes (as defined in Note 6) are estimated by discounting the remaining payments using current market rates for similar instruments and considering such factors as the legal maturity date, which are Level 3 inputs under ASC Topic 820.</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jc w:val="both"/>
        <w:rPr>
          <w:rFonts w:ascii="Times New Roman" w:hAnsi="Times New Roman"/>
          <w:sz w:val="20"/>
        </w:rPr>
      </w:pPr>
      <w:r>
        <w:rPr>
          <w:rFonts w:ascii="Times New Roman" w:hAnsi="Times New Roman"/>
          <w:color w:val="000000"/>
          <w:sz w:val="16"/>
        </w:rPr>
        <w:t>Totals exclude $15,626</w:t>
      </w:r>
      <w:r>
        <w:rPr>
          <w:rFonts w:ascii="Times New Roman" w:hAnsi="Times New Roman"/>
          <w:color w:val="000000"/>
          <w:sz w:val="20"/>
        </w:rPr>
        <w:t xml:space="preserve"> </w:t>
      </w:r>
      <w:r>
        <w:rPr>
          <w:rFonts w:ascii="Times New Roman" w:hAnsi="Times New Roman"/>
          <w:color w:val="000000"/>
          <w:sz w:val="16"/>
        </w:rPr>
        <w:t>and $15,880</w:t>
      </w:r>
      <w:r>
        <w:rPr>
          <w:rFonts w:ascii="Times New Roman" w:hAnsi="Times New Roman"/>
          <w:color w:val="000000"/>
          <w:sz w:val="20"/>
        </w:rPr>
        <w:t xml:space="preserve"> </w:t>
      </w:r>
      <w:r>
        <w:rPr>
          <w:rFonts w:ascii="Times New Roman" w:hAnsi="Times New Roman"/>
          <w:color w:val="000000"/>
          <w:sz w:val="16"/>
        </w:rPr>
        <w:t>of Secured Borrowings as of March 31, 2024 and December 31, 2023, respectively.</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inputs used to value the Company’s debt obligations if measured at fair value as of March 31, 2024 and December 31, 2023.</w:t>
      </w:r>
    </w:p>
    <w:p>
      <w:pPr>
        <w:pStyle w:val="TextBody"/>
        <w:bidi w:val="0"/>
        <w:jc w:val="both"/>
        <w:rPr/>
      </w:pPr>
      <w:r>
        <w:rPr/>
        <w:t> </w:t>
      </w:r>
    </w:p>
    <w:tbl>
      <w:tblPr>
        <w:tblW w:w="4412" w:type="dxa"/>
        <w:jc w:val="left"/>
        <w:tblInd w:w="0" w:type="dxa"/>
        <w:tblLayout w:type="fixed"/>
        <w:tblCellMar>
          <w:top w:w="28" w:type="dxa"/>
          <w:left w:w="28" w:type="dxa"/>
          <w:bottom w:w="28" w:type="dxa"/>
          <w:right w:w="28" w:type="dxa"/>
        </w:tblCellMar>
      </w:tblPr>
      <w:tblGrid>
        <w:gridCol w:w="1531"/>
        <w:gridCol w:w="146"/>
        <w:gridCol w:w="211"/>
        <w:gridCol w:w="781"/>
        <w:gridCol w:w="146"/>
        <w:gridCol w:w="146"/>
        <w:gridCol w:w="268"/>
        <w:gridCol w:w="992"/>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Valuation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429,785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5. Related Party Transactions</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Advisory Agreement:</w:t>
      </w:r>
      <w:r>
        <w:rPr>
          <w:rFonts w:ascii="Times New Roman" w:hAnsi="Times New Roman"/>
          <w:color w:val="000000"/>
          <w:sz w:val="20"/>
        </w:rPr>
        <w:t xml:space="preserve"> The Company has entered into an Investment Advisory Agreement with the Investment Advisor. On June 8, 2023, the Board approved the renewal of the Investment Advisory Agreement for the period from June 20, 2023 through June 20, 2024.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base management fee is calculated at an annual rate of 1.75% based on the average value of total assets (other than cash or cash equivalents but including assets purchased with borrowed amounts) at the end of the two most recently completed calendar quarters. The Board accepted a voluntary, non-contractual, and unconditional waiver from the Investment Advisor to exclude any investments recorded as secured borrowings as defined under GAAP from the base management fee payable effective April 1, 2021. See Note 6. Borrowings – Secured Borrowings for more information about the secured borrowings. The base management fee is payable quarterly in arrears. The base management fee under the Investment Advisory Agreement for the three months ended March 31, 2024 and 2023 was $4,432 and $3,854, respectively. The base management fee waiver for the three months ended March 31, 2024 and 2023 was $69 and $72, respectively. As of March 31, 2024 and December 31, 2023, the base management fee payable (net of the base management fee waiver) was $4,364 and $4,151,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and accrued income the Company has not yet received in cash. The Investment Advisor is not under any obligation to reimburse the Company for any part of the incentive fee it receives that was based on accrued interest that the Company never collects.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Under conditions such as the current rising interest rate environment,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Company pays the Investment Advisor an incentive fee with respect to pre-incentive fee net investment income in each calendar quarter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incentive fee in any calendar quarter in which the pre-incentive fee net investment income does not exceed the hurdle rate of 2.0%;</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20.0% of the amount of the Company’s pre-incentive fee net investment income, if any, that exceeds 2.5% in any calendar quarter.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sum of the calculations above equals the income incentive fee. The income incentive fee is appropriately prorated for any period of less than three months and adjusted for any share issuances or repurchases during the calendar quarter. The income incentive fee for the three months ended March 31, 2024 and 2023 was $4,467 and $3,647, respectively. As of March 31, 2024 and December 31, 2023, the income incentive fee payable was $4,467 and $4,570,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Company's IPO on June 24, 2011 (realized capital gains and losses include realized gains and losses on investments, net of income tax provision from realized gains on investments, and realized losses on extinguishment of debt, but excluding income tax (provision) benefit from deemed distribution of long term capital gains),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tax (provision) benefit on realized gains (losses),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March 31, 2024 and December 31, 2023, the capital gains incentive fee payable in cash was $221 and $3,537, respectively (as cumulative aggregate realized capital gains and losses on investments exceeded aggregate unrealized capital depreciation on investments plus realized losses on extinguishment of debt as of December 31, 2023). The aggregate amount of capital gains incentive fees paid from the IPO through March 31, 2024 was $17,577.</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the Company accrues, but does not pay in cash, a capital gains incentive fee in connection with any unrealized capital appreciation on investments, as applicable. If, on a cumulative basis, the sum of (i) net realized gains/(losses) on investments, net of income tax (provision) benefit from realized gains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net of income tax (provision) benefit from realized gains on investments plus (ii) net unrealized appreciation/(depreciation) on investments plus (iii) realized losses on extinguishment of debt. The capital gains incentive fee accrued (reversed) during the three months ended March 31, 2024 and 2023 was $499 and $153, respectively. As of March 31, 2024 and December 31, 2023, the accrued capital gains incentive fee payable was $14,471 and $17,509,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Investment Advisory Agreement may be terminated at any time, without the payment of any penalty, upon 60 days' written notice, by the vote of holders of a majority of the outstanding voting securities of the Company or the vote of the Board.</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Administration Agreement: </w:t>
      </w:r>
      <w:r>
        <w:rPr>
          <w:rFonts w:ascii="Times New Roman" w:hAnsi="Times New Roman"/>
          <w:color w:val="000000"/>
          <w:sz w:val="20"/>
        </w:rPr>
        <w:t>The Company also entered into an administration agreement (the “Administration Agreement”) with the Investment Advisor. On June 8, 2023, the Board approved the renewal of the Administration Agreement for the period from June 20, 2023 through June 20, 2024.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Times New Roman" w:hAnsi="Times New Roman"/>
          <w:i/>
          <w:color w:val="000000"/>
          <w:sz w:val="20"/>
        </w:rPr>
        <w:t>.</w:t>
      </w:r>
      <w:r>
        <w:rPr>
          <w:rFonts w:ascii="Times New Roman" w:hAnsi="Times New Roman"/>
          <w:color w:val="000000"/>
          <w:sz w:val="20"/>
        </w:rPr>
        <w:t xml:space="preserve"> Under the Administration Agreement, administrative service expenses for the three months ended March 31, 2024 and 2023 was $537 and $473, respectively. As of March 31, 2024 and December 31, 2023, the accrued administrative service expense payable was $465 and $993, respectively.</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180" w:after="283"/>
        <w:jc w:val="both"/>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On June 16, 2014, FIC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the Company, but portfolio investments held by Fund II and Fund III are not collateral for the Credit Facility. On April 24, 2019, the Company entered into an Amended &amp; Restated Senior Secured Revolving Credit Agreement (the “Amended Credit Agreement”) among the Company, as borrower, the lenders party thereto, and ING, as administrative agent. On June 26, 2020, the Company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SOFR from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pays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Amounts available to borrow under the Credit Facility are subject to a minimum borrowing/collateral base that applies an advance rate to certain investments held by the Company, excluding investments held by Fund II and Fund III.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2024 and December 31, 2023, the Company was in compliance in all material respects with the terms of the Credit Agreement.</w:t>
      </w:r>
    </w:p>
    <w:p>
      <w:pPr>
        <w:pStyle w:val="TextBody"/>
        <w:bidi w:val="0"/>
        <w:spacing w:before="180" w:after="283"/>
        <w:jc w:val="both"/>
        <w:rPr>
          <w:rFonts w:ascii="Times New Roman" w:hAnsi="Times New Roman"/>
          <w:sz w:val="20"/>
        </w:rPr>
      </w:pPr>
      <w:r>
        <w:rPr>
          <w:rFonts w:ascii="Times New Roman" w:hAnsi="Times New Roman"/>
          <w:i/>
          <w:color w:val="000000"/>
          <w:sz w:val="20"/>
        </w:rPr>
        <w:t>SBA debentures:</w:t>
      </w:r>
      <w:r>
        <w:rPr>
          <w:rFonts w:ascii="Times New Roman" w:hAnsi="Times New Roman"/>
          <w:color w:val="000000"/>
          <w:sz w:val="20"/>
        </w:rPr>
        <w:t xml:space="preserve"> The Company uses debenture leverage provided through the SBA to fund a portion of its investment purchases.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March 31, 2024 and December 31, 2023, there were no approved and unused SBA debenture commitments. The SBA may limit the amount that may be drawn each year under any SBA debenture commitments, and each issuance of leverage is conditioned on the SBICs full compliance, as determined by the SBA, with the terms and conditions under SBA regulations.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March 31, 2024 and December 31, 2023, the Company’s issued and outstanding SBA debentures mature as follows: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both"/>
        <w:rPr/>
      </w:pPr>
      <w:r>
        <w:rPr/>
        <w:t> </w:t>
      </w:r>
    </w:p>
    <w:tbl>
      <w:tblPr>
        <w:tblW w:w="8486" w:type="dxa"/>
        <w:jc w:val="left"/>
        <w:tblInd w:w="0" w:type="dxa"/>
        <w:tblLayout w:type="fixed"/>
        <w:tblCellMar>
          <w:top w:w="28" w:type="dxa"/>
          <w:left w:w="28" w:type="dxa"/>
          <w:bottom w:w="28" w:type="dxa"/>
          <w:right w:w="28" w:type="dxa"/>
        </w:tblCellMar>
      </w:tblPr>
      <w:tblGrid>
        <w:gridCol w:w="2926"/>
        <w:gridCol w:w="146"/>
        <w:gridCol w:w="871"/>
        <w:gridCol w:w="146"/>
        <w:gridCol w:w="240"/>
        <w:gridCol w:w="945"/>
        <w:gridCol w:w="146"/>
        <w:gridCol w:w="331"/>
        <w:gridCol w:w="211"/>
        <w:gridCol w:w="781"/>
        <w:gridCol w:w="146"/>
        <w:gridCol w:w="146"/>
        <w:gridCol w:w="268"/>
        <w:gridCol w:w="992"/>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Pooling</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Fixed</w:t>
            </w:r>
          </w:p>
        </w:tc>
        <w:tc>
          <w:tcPr>
            <w:tcW w:w="146" w:type="dxa"/>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Date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3/23/2016</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3/1/2026</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9/21/2016</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9/1/2026</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9/20/2017</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9/1/2027</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9/20/2017</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9/1/2027</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9/25/2019</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9/1/2029</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3/25/2020</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3/1/2030</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9/22/2021</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9/1/2031</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3/23/2022</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3/1/2032</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9/21/2022</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9/1/2032</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SBA debentures</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2"/>
        <w:gridCol w:w="9893"/>
      </w:tblGrid>
      <w:tr>
        <w:trPr/>
        <w:tc>
          <w:tcPr>
            <w:tcW w:w="312" w:type="dxa"/>
            <w:tcBorders/>
            <w:vAlign w:val="center"/>
          </w:tcPr>
          <w:p>
            <w:pPr>
              <w:pStyle w:val="TableContents"/>
              <w:bidi w:val="0"/>
              <w:spacing w:before="0" w:after="283"/>
              <w:jc w:val="left"/>
              <w:rPr>
                <w:sz w:val="4"/>
                <w:szCs w:val="4"/>
              </w:rPr>
            </w:pPr>
            <w:r>
              <w:rPr>
                <w:sz w:val="4"/>
                <w:szCs w:val="4"/>
              </w:rPr>
            </w:r>
          </w:p>
        </w:tc>
        <w:tc>
          <w:tcPr>
            <w:tcW w:w="9893" w:type="dxa"/>
            <w:tcBorders/>
            <w:vAlign w:val="center"/>
          </w:tcPr>
          <w:p>
            <w:pPr>
              <w:pStyle w:val="TableContents"/>
              <w:bidi w:val="0"/>
              <w:spacing w:before="0" w:after="283"/>
              <w:jc w:val="left"/>
              <w:rPr>
                <w:sz w:val="4"/>
                <w:szCs w:val="4"/>
              </w:rPr>
            </w:pPr>
            <w:r>
              <w:rPr>
                <w:sz w:val="4"/>
                <w:szCs w:val="4"/>
              </w:rPr>
            </w:r>
          </w:p>
        </w:tc>
      </w:tr>
      <w:tr>
        <w:trPr/>
        <w:tc>
          <w:tcPr>
            <w:tcW w:w="3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8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SBA has two scheduled pooling dates for debentures (in March and in September). Certain debentures funded during the reporting periods may not be pooled until the subsequent pooling date.</w:t>
            </w:r>
          </w:p>
        </w:tc>
      </w:tr>
    </w:tbl>
    <w:p>
      <w:pPr>
        <w:pStyle w:val="TextBody"/>
        <w:bidi w:val="0"/>
        <w:spacing w:before="180" w:after="283"/>
        <w:jc w:val="both"/>
        <w:rPr>
          <w:rFonts w:ascii="Times New Roman" w:hAnsi="Times New Roman"/>
          <w:sz w:val="20"/>
        </w:rPr>
      </w:pPr>
      <w:r>
        <w:rPr>
          <w:rFonts w:ascii="Times New Roman" w:hAnsi="Times New Roman"/>
          <w:i/>
          <w:color w:val="000000"/>
          <w:sz w:val="20"/>
        </w:rPr>
        <w:t xml:space="preserve">Notes: </w:t>
      </w:r>
      <w:r>
        <w:rPr>
          <w:rFonts w:ascii="Times New Roman" w:hAnsi="Times New Roman"/>
          <w:color w:val="000000"/>
          <w:sz w:val="20"/>
        </w:rPr>
        <w:t xml:space="preserve">On December 23, 2020, the Company closed the offering of $125,000 in aggregate principal amount of its 4.75% notes due 2026, or the “January 2026 Notes”. The total net proceeds to the Company from the January 2026 Notes, based on a public offering price of 100.00% of par, after deducting underwriting discounts of $2,500 and offering expenses of $366, were approximately $122,134.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The Company does not intend to list the January 2026 Notes on any securities exchange or automated dealer quotation system.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8, 2021, the Company closed the offering of $125,000 in aggregate principal amount of its 3.50% notes due 2026, or the “November 2026 Notes” (collectively with the January 2026 Notes, the “Notes”). The total net proceeds to the Company from the November 2026 Notes, based on a public offering price of 99.996% of par, after deducting underwriting discounts of $2,500 and offering expenses of $318, were approximately $122,177.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The Company does not intend to list the November 2026 Notes on any securities exchange or automated dealer quotation system.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of the Notes are unsecured obligations of the Company and rank pari passu with the Company’s existing and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 including the Credit Facility.</w:t>
      </w:r>
    </w:p>
    <w:p>
      <w:pPr>
        <w:pStyle w:val="TextBody"/>
        <w:bidi w:val="0"/>
        <w:jc w:val="left"/>
        <w:rPr/>
      </w:pPr>
      <w:r>
        <w:rPr/>
        <w:t>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Secured Borrowing</w:t>
      </w:r>
    </w:p>
    <w:p>
      <w:pPr>
        <w:pStyle w:val="TextBody"/>
        <w:bidi w:val="0"/>
        <w:spacing w:before="180" w:after="283"/>
        <w:jc w:val="both"/>
        <w:rPr>
          <w:rFonts w:ascii="Times New Roman" w:hAnsi="Times New Roman"/>
          <w:sz w:val="20"/>
        </w:rPr>
      </w:pPr>
      <w:r>
        <w:rPr>
          <w:rFonts w:ascii="Times New Roman" w:hAnsi="Times New Roman"/>
          <w:color w:val="000000"/>
          <w:sz w:val="20"/>
        </w:rPr>
        <w:t>As of March 31, 2024 and December 31, 2023, the carrying value of secured borrowings totaled $15,626 and $15,880, respectively, and the fair value of the associated loans included in investments was $15,613 and $15,800, respectively.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w:t>
      </w:r>
      <w:r>
        <w:rPr>
          <w:rFonts w:ascii="Times New Roman" w:hAnsi="Times New Roman"/>
          <w:i/>
          <w:color w:val="000000"/>
          <w:sz w:val="20"/>
        </w:rPr>
        <w:t>.</w:t>
      </w:r>
      <w:r>
        <w:rPr>
          <w:rFonts w:ascii="Times New Roman" w:hAnsi="Times New Roman"/>
          <w:color w:val="000000"/>
          <w:sz w:val="20"/>
        </w:rPr>
        <w:t xml:space="preserve"> As a result, sale treatment was not permitted and these partial loan sales were treated as secured borrowings. The weighted average interest rate on our secured borrowings was approximately 9.4% and 9.4% as of March 31, 2024, and December 31, 2023, respectively.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Senior Securities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March 31, 2024 and December 31, 2023, the aggregate amount outstanding of the senior securities (including secured borrowings) issued by the Company was $288,126 and $265,880, respectively, for which our asset coverage was 311.1% and 321.7%, respectively. The SBA debentures are excluded from the definition “senior securities” in the asset coverage requirement applicable to the Company under the 1940 Act pursuant to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Interest and Financing Expenses</w:t>
      </w:r>
    </w:p>
    <w:p>
      <w:pPr>
        <w:pStyle w:val="TextBody"/>
        <w:bidi w:val="0"/>
        <w:spacing w:before="180" w:after="120"/>
        <w:jc w:val="both"/>
        <w:rPr>
          <w:rFonts w:ascii="Times New Roman" w:hAnsi="Times New Roman"/>
          <w:color w:val="000000"/>
          <w:sz w:val="20"/>
        </w:rPr>
      </w:pPr>
      <w:r>
        <w:rPr>
          <w:rFonts w:ascii="Times New Roman" w:hAnsi="Times New Roman"/>
          <w:color w:val="000000"/>
          <w:sz w:val="20"/>
        </w:rPr>
        <w:t>Interest and fees related to the Company’s debt for the three months ended March 31, 2024 and 2023 which are included in interest and financing expenses on the consolidated statements of operations, were as follows:</w:t>
      </w:r>
    </w:p>
    <w:tbl>
      <w:tblPr>
        <w:tblW w:w="10205" w:type="dxa"/>
        <w:jc w:val="left"/>
        <w:tblInd w:w="0" w:type="dxa"/>
        <w:tblLayout w:type="fixed"/>
        <w:tblCellMar>
          <w:top w:w="28" w:type="dxa"/>
          <w:left w:w="28" w:type="dxa"/>
          <w:bottom w:w="28" w:type="dxa"/>
          <w:right w:w="28" w:type="dxa"/>
        </w:tblCellMar>
      </w:tblPr>
      <w:tblGrid>
        <w:gridCol w:w="3074"/>
        <w:gridCol w:w="146"/>
        <w:gridCol w:w="327"/>
        <w:gridCol w:w="857"/>
        <w:gridCol w:w="241"/>
        <w:gridCol w:w="146"/>
        <w:gridCol w:w="302"/>
        <w:gridCol w:w="790"/>
        <w:gridCol w:w="241"/>
        <w:gridCol w:w="146"/>
        <w:gridCol w:w="403"/>
        <w:gridCol w:w="1054"/>
        <w:gridCol w:w="241"/>
        <w:gridCol w:w="146"/>
        <w:gridCol w:w="196"/>
        <w:gridCol w:w="511"/>
        <w:gridCol w:w="241"/>
        <w:gridCol w:w="146"/>
        <w:gridCol w:w="196"/>
        <w:gridCol w:w="511"/>
        <w:gridCol w:w="290"/>
      </w:tblGrid>
      <w:tr>
        <w:trPr/>
        <w:tc>
          <w:tcPr>
            <w:tcW w:w="3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074"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669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 debentures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Facility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Secured Borrowings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4" w:type="dxa"/>
            <w:tcBorders/>
            <w:shd w:fill="CFF0FC"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Stated interest expense</w:t>
            </w:r>
          </w:p>
        </w:tc>
        <w:tc>
          <w:tcPr>
            <w:tcW w:w="146" w:type="dxa"/>
            <w:tcBorders/>
            <w:shd w:fill="CFF0FC" w:val="clear"/>
            <w:vAlign w:val="center"/>
          </w:tcPr>
          <w:p>
            <w:pPr>
              <w:pStyle w:val="TableContents"/>
              <w:bidi w:val="0"/>
              <w:spacing w:before="0" w:after="283"/>
              <w:jc w:val="both"/>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5,477</w:t>
            </w:r>
          </w:p>
        </w:tc>
        <w:tc>
          <w:tcPr>
            <w:tcW w:w="290" w:type="dxa"/>
            <w:tcBorders/>
            <w:shd w:fill="CFF0FC" w:val="cle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FFFFFF" w:val="clear"/>
            <w:vAlign w:val="center"/>
          </w:tcPr>
          <w:p>
            <w:pPr>
              <w:pStyle w:val="TableContents"/>
              <w:bidi w:val="0"/>
              <w:spacing w:before="0" w:after="283"/>
              <w:jc w:val="both"/>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vAlign w:val="center"/>
          </w:tcPr>
          <w:p>
            <w:pPr>
              <w:pStyle w:val="TableContents"/>
              <w:bidi w:val="0"/>
              <w:spacing w:before="0" w:after="283"/>
              <w:jc w:val="both"/>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6,012</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stated interest rate, period end</w:t>
            </w:r>
          </w:p>
        </w:tc>
        <w:tc>
          <w:tcPr>
            <w:tcW w:w="146" w:type="dxa"/>
            <w:tcBorders/>
            <w:shd w:fill="FFFFFF" w:val="clear"/>
            <w:vAlign w:val="center"/>
          </w:tcPr>
          <w:p>
            <w:pPr>
              <w:pStyle w:val="TableContents"/>
              <w:bidi w:val="0"/>
              <w:spacing w:before="0" w:after="283"/>
              <w:jc w:val="both"/>
              <w:rPr/>
            </w:pPr>
            <w:r>
              <w:rPr/>
              <w:t> </w:t>
            </w:r>
          </w:p>
        </w:tc>
        <w:tc>
          <w:tcPr>
            <w:tcW w:w="327"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9.363</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4.125</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4.568</w:t>
            </w:r>
          </w:p>
        </w:tc>
        <w:tc>
          <w:tcPr>
            <w:tcW w:w="29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7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Effective interest rate </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both"/>
              <w:rPr/>
            </w:pPr>
            <w:r>
              <w:rPr/>
              <w:t> </w:t>
            </w:r>
          </w:p>
        </w:tc>
        <w:tc>
          <w:tcPr>
            <w:tcW w:w="327"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4.658</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4.576</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4.969</w:t>
            </w:r>
          </w:p>
        </w:tc>
        <w:tc>
          <w:tcPr>
            <w:tcW w:w="29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7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Unused commitment fee rate, period end</w:t>
            </w:r>
          </w:p>
        </w:tc>
        <w:tc>
          <w:tcPr>
            <w:tcW w:w="146" w:type="dxa"/>
            <w:tcBorders/>
            <w:shd w:fill="FFFFFF" w:val="clear"/>
            <w:vAlign w:val="center"/>
          </w:tcPr>
          <w:p>
            <w:pPr>
              <w:pStyle w:val="TableContents"/>
              <w:bidi w:val="0"/>
              <w:spacing w:before="0" w:after="283"/>
              <w:jc w:val="both"/>
              <w:rPr/>
            </w:pPr>
            <w:r>
              <w:rPr/>
              <w:t> </w:t>
            </w:r>
          </w:p>
        </w:tc>
        <w:tc>
          <w:tcPr>
            <w:tcW w:w="1184"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0.851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5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0.851</w:t>
            </w:r>
          </w:p>
        </w:tc>
        <w:tc>
          <w:tcPr>
            <w:tcW w:w="29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7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184"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2"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7"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669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2023</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 debentures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Facility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Secured Borrowings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4" w:type="dxa"/>
            <w:tcBorders/>
            <w:shd w:fill="CFF0FC"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Stated interest expense</w:t>
            </w:r>
          </w:p>
        </w:tc>
        <w:tc>
          <w:tcPr>
            <w:tcW w:w="146" w:type="dxa"/>
            <w:tcBorders/>
            <w:shd w:fill="CFF0FC" w:val="clear"/>
            <w:vAlign w:val="center"/>
          </w:tcPr>
          <w:p>
            <w:pPr>
              <w:pStyle w:val="TableContents"/>
              <w:bidi w:val="0"/>
              <w:spacing w:before="0" w:after="283"/>
              <w:jc w:val="both"/>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4,669</w:t>
            </w:r>
          </w:p>
        </w:tc>
        <w:tc>
          <w:tcPr>
            <w:tcW w:w="290" w:type="dxa"/>
            <w:tcBorders/>
            <w:shd w:fill="CFF0FC" w:val="cle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FFFFFF" w:val="clear"/>
            <w:vAlign w:val="center"/>
          </w:tcPr>
          <w:p>
            <w:pPr>
              <w:pStyle w:val="TableContents"/>
              <w:bidi w:val="0"/>
              <w:spacing w:before="0" w:after="283"/>
              <w:jc w:val="both"/>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vAlign w:val="center"/>
          </w:tcPr>
          <w:p>
            <w:pPr>
              <w:pStyle w:val="TableContents"/>
              <w:bidi w:val="0"/>
              <w:spacing w:before="0" w:after="283"/>
              <w:jc w:val="both"/>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2,853</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5,185</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stated interest rate, period end</w:t>
            </w:r>
          </w:p>
        </w:tc>
        <w:tc>
          <w:tcPr>
            <w:tcW w:w="146" w:type="dxa"/>
            <w:tcBorders/>
            <w:shd w:fill="FFFFFF" w:val="clear"/>
            <w:vAlign w:val="center"/>
          </w:tcPr>
          <w:p>
            <w:pPr>
              <w:pStyle w:val="TableContents"/>
              <w:bidi w:val="0"/>
              <w:spacing w:before="0" w:after="283"/>
              <w:jc w:val="both"/>
              <w:rPr/>
            </w:pPr>
            <w:r>
              <w:rPr/>
              <w:t> </w:t>
            </w:r>
          </w:p>
        </w:tc>
        <w:tc>
          <w:tcPr>
            <w:tcW w:w="327"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7.390</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8.685</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4.125</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4.244</w:t>
            </w:r>
          </w:p>
        </w:tc>
        <w:tc>
          <w:tcPr>
            <w:tcW w:w="29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7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Effective interest rate </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both"/>
              <w:rPr/>
            </w:pPr>
            <w:r>
              <w:rPr/>
              <w:t> </w:t>
            </w:r>
          </w:p>
        </w:tc>
        <w:tc>
          <w:tcPr>
            <w:tcW w:w="327"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4.576</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4.668</w:t>
            </w:r>
          </w:p>
        </w:tc>
        <w:tc>
          <w:tcPr>
            <w:tcW w:w="29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7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Unused commitment fee rate, period end</w:t>
            </w:r>
          </w:p>
        </w:tc>
        <w:tc>
          <w:tcPr>
            <w:tcW w:w="146" w:type="dxa"/>
            <w:tcBorders/>
            <w:shd w:fill="FFFFFF" w:val="clear"/>
            <w:vAlign w:val="center"/>
          </w:tcPr>
          <w:p>
            <w:pPr>
              <w:pStyle w:val="TableContents"/>
              <w:bidi w:val="0"/>
              <w:spacing w:before="0" w:after="283"/>
              <w:jc w:val="both"/>
              <w:rPr/>
            </w:pPr>
            <w:r>
              <w:rPr/>
              <w:t> </w:t>
            </w:r>
          </w:p>
        </w:tc>
        <w:tc>
          <w:tcPr>
            <w:tcW w:w="1184"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0.970</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5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0.970</w:t>
            </w:r>
          </w:p>
        </w:tc>
        <w:tc>
          <w:tcPr>
            <w:tcW w:w="29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The effective interest rate is equal to the weighted average stated interest rate plus the amortization of deferred financing costs.</w:t>
      </w:r>
    </w:p>
    <w:p>
      <w:pPr>
        <w:pStyle w:val="TextBody"/>
        <w:bidi w:val="0"/>
        <w:spacing w:before="120" w:after="283"/>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Realized Losses on Extinguishment of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three months ended March 31, 2024, the Company prepaid $35,000 of SBA debentures which were scheduled to mature on dates ranging from 2026 to 2027. The Company did not prepay SBA debentures during three months ended March 31, 2023. As a result of the prepayments, the Company recognized realized losses on extinguishment of debt of $521 and zero equal to the write-off of the related unamortized deferred financing costs, during the three months ended March 31, 2024 and 2023, respectively.</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Deferred Financing Costs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both"/>
        <w:rPr>
          <w:rFonts w:ascii="Times New Roman" w:hAnsi="Times New Roman"/>
          <w:color w:val="000000"/>
          <w:sz w:val="20"/>
        </w:rPr>
      </w:pPr>
      <w:bookmarkStart w:id="11" w:name="fis_unidentified_table_13"/>
      <w:bookmarkEnd w:id="11"/>
      <w:r>
        <w:rPr>
          <w:rFonts w:ascii="Times New Roman" w:hAnsi="Times New Roman"/>
          <w:color w:val="000000"/>
          <w:sz w:val="20"/>
        </w:rPr>
        <w:t>Deferred financing costs are amortized into interest and financing expenses on the consolidated statements of operations, using the effective interest method, over the term of the respective financing instrument. Deferred financing costs related to the SBA debentures, the Credit Facility, and the Notes as of March 31, 2024 and December 31, 2023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10"/>
        <w:gridCol w:w="146"/>
        <w:gridCol w:w="217"/>
        <w:gridCol w:w="669"/>
        <w:gridCol w:w="166"/>
        <w:gridCol w:w="146"/>
        <w:gridCol w:w="196"/>
        <w:gridCol w:w="571"/>
        <w:gridCol w:w="166"/>
        <w:gridCol w:w="146"/>
        <w:gridCol w:w="196"/>
        <w:gridCol w:w="571"/>
        <w:gridCol w:w="166"/>
        <w:gridCol w:w="146"/>
        <w:gridCol w:w="196"/>
        <w:gridCol w:w="661"/>
        <w:gridCol w:w="166"/>
        <w:gridCol w:w="146"/>
        <w:gridCol w:w="217"/>
        <w:gridCol w:w="669"/>
        <w:gridCol w:w="166"/>
        <w:gridCol w:w="146"/>
        <w:gridCol w:w="196"/>
        <w:gridCol w:w="571"/>
        <w:gridCol w:w="166"/>
        <w:gridCol w:w="146"/>
        <w:gridCol w:w="196"/>
        <w:gridCol w:w="571"/>
        <w:gridCol w:w="166"/>
        <w:gridCol w:w="146"/>
        <w:gridCol w:w="196"/>
        <w:gridCol w:w="661"/>
        <w:gridCol w:w="211"/>
      </w:tblGrid>
      <w:tr>
        <w:trPr/>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10"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42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0"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10"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 commitment fees</w:t>
            </w:r>
          </w:p>
        </w:tc>
        <w:tc>
          <w:tcPr>
            <w:tcW w:w="146" w:type="dxa"/>
            <w:tcBorders/>
            <w:shd w:fill="CCEEFF" w:val="clear"/>
            <w:vAlign w:val="center"/>
          </w:tcPr>
          <w:p>
            <w:pPr>
              <w:pStyle w:val="TableContents"/>
              <w:bidi w:val="0"/>
              <w:spacing w:before="0" w:after="283"/>
              <w:jc w:val="both"/>
              <w:rPr/>
            </w:pPr>
            <w:r>
              <w:rPr/>
              <w:t> </w:t>
            </w:r>
          </w:p>
        </w:tc>
        <w:tc>
          <w:tcPr>
            <w:tcW w:w="217"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w:t>
            </w:r>
          </w:p>
        </w:tc>
        <w:tc>
          <w:tcPr>
            <w:tcW w:w="211" w:type="dxa"/>
            <w:tcBorders/>
            <w:shd w:fill="CCEEFF" w:val="clear"/>
            <w:vAlign w:val="center"/>
          </w:tcPr>
          <w:p>
            <w:pPr>
              <w:pStyle w:val="TableContents"/>
              <w:bidi w:val="0"/>
              <w:spacing w:before="0" w:after="283"/>
              <w:jc w:val="left"/>
              <w:rPr/>
            </w:pPr>
            <w:r>
              <w:rPr/>
              <w:t> </w:t>
            </w:r>
          </w:p>
        </w:tc>
      </w:tr>
      <w:tr>
        <w:trPr/>
        <w:tc>
          <w:tcPr>
            <w:tcW w:w="111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 leverage fees</w:t>
            </w:r>
          </w:p>
        </w:tc>
        <w:tc>
          <w:tcPr>
            <w:tcW w:w="146"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7,899</w:t>
            </w:r>
          </w:p>
        </w:tc>
        <w:tc>
          <w:tcPr>
            <w:tcW w:w="211" w:type="dxa"/>
            <w:tcBorders/>
            <w:shd w:fill="FFFFFF" w:val="clear"/>
            <w:vAlign w:val="center"/>
          </w:tcPr>
          <w:p>
            <w:pPr>
              <w:pStyle w:val="TableContents"/>
              <w:bidi w:val="0"/>
              <w:spacing w:before="0" w:after="283"/>
              <w:jc w:val="left"/>
              <w:rPr/>
            </w:pPr>
            <w:r>
              <w:rPr/>
              <w:t> </w:t>
            </w:r>
          </w:p>
        </w:tc>
      </w:tr>
      <w:tr>
        <w:trPr/>
        <w:tc>
          <w:tcPr>
            <w:tcW w:w="111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 upfront fees</w:t>
            </w:r>
          </w:p>
        </w:tc>
        <w:tc>
          <w:tcPr>
            <w:tcW w:w="146" w:type="dxa"/>
            <w:tcBorders/>
            <w:shd w:fill="CCEEFF" w:val="clear"/>
            <w:vAlign w:val="center"/>
          </w:tcPr>
          <w:p>
            <w:pPr>
              <w:pStyle w:val="TableContents"/>
              <w:bidi w:val="0"/>
              <w:spacing w:before="0" w:after="283"/>
              <w:jc w:val="both"/>
              <w:rPr/>
            </w:pPr>
            <w:r>
              <w:rPr/>
              <w:t> </w:t>
            </w:r>
          </w:p>
        </w:tc>
        <w:tc>
          <w:tcPr>
            <w:tcW w:w="217"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4,417</w:t>
            </w:r>
          </w:p>
        </w:tc>
        <w:tc>
          <w:tcPr>
            <w:tcW w:w="211" w:type="dxa"/>
            <w:tcBorders/>
            <w:shd w:fill="CCEEFF" w:val="clear"/>
            <w:vAlign w:val="center"/>
          </w:tcPr>
          <w:p>
            <w:pPr>
              <w:pStyle w:val="TableContents"/>
              <w:bidi w:val="0"/>
              <w:spacing w:before="0" w:after="283"/>
              <w:jc w:val="left"/>
              <w:rPr/>
            </w:pPr>
            <w:r>
              <w:rPr/>
              <w:t> </w:t>
            </w:r>
          </w:p>
        </w:tc>
      </w:tr>
      <w:tr>
        <w:trPr/>
        <w:tc>
          <w:tcPr>
            <w:tcW w:w="111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underwriting discounts</w:t>
            </w:r>
          </w:p>
        </w:tc>
        <w:tc>
          <w:tcPr>
            <w:tcW w:w="146"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w:t>
            </w:r>
          </w:p>
        </w:tc>
        <w:tc>
          <w:tcPr>
            <w:tcW w:w="211" w:type="dxa"/>
            <w:tcBorders/>
            <w:shd w:fill="FFFFFF" w:val="clear"/>
            <w:vAlign w:val="center"/>
          </w:tcPr>
          <w:p>
            <w:pPr>
              <w:pStyle w:val="TableContents"/>
              <w:bidi w:val="0"/>
              <w:spacing w:before="0" w:after="283"/>
              <w:jc w:val="left"/>
              <w:rPr/>
            </w:pPr>
            <w:r>
              <w:rPr/>
              <w:t> </w:t>
            </w:r>
          </w:p>
        </w:tc>
      </w:tr>
      <w:tr>
        <w:trPr/>
        <w:tc>
          <w:tcPr>
            <w:tcW w:w="111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debt issue costs</w:t>
            </w:r>
          </w:p>
        </w:tc>
        <w:tc>
          <w:tcPr>
            <w:tcW w:w="146" w:type="dxa"/>
            <w:tcBorders/>
            <w:shd w:fill="CCEEFF" w:val="clear"/>
            <w:vAlign w:val="center"/>
          </w:tcPr>
          <w:p>
            <w:pPr>
              <w:pStyle w:val="TableContents"/>
              <w:bidi w:val="0"/>
              <w:spacing w:before="0" w:after="283"/>
              <w:jc w:val="both"/>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11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deferred financing costs</w:t>
            </w:r>
          </w:p>
        </w:tc>
        <w:tc>
          <w:tcPr>
            <w:tcW w:w="146" w:type="dxa"/>
            <w:tcBorders/>
            <w:shd w:fill="FFFFFF" w:val="clear"/>
            <w:vAlign w:val="center"/>
          </w:tcPr>
          <w:p>
            <w:pPr>
              <w:pStyle w:val="TableContents"/>
              <w:bidi w:val="0"/>
              <w:spacing w:before="0" w:after="283"/>
              <w:jc w:val="both"/>
              <w:rPr/>
            </w:pPr>
            <w:r>
              <w:rPr/>
              <w:t> </w:t>
            </w:r>
          </w:p>
        </w:tc>
        <w:tc>
          <w:tcPr>
            <w:tcW w:w="217"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21,256</w:t>
            </w:r>
          </w:p>
        </w:tc>
        <w:tc>
          <w:tcPr>
            <w:tcW w:w="211" w:type="dxa"/>
            <w:tcBorders/>
            <w:shd w:fill="FFFFFF" w:val="clear"/>
            <w:vAlign w:val="center"/>
          </w:tcPr>
          <w:p>
            <w:pPr>
              <w:pStyle w:val="TableContents"/>
              <w:bidi w:val="0"/>
              <w:spacing w:before="0" w:after="283"/>
              <w:jc w:val="left"/>
              <w:rPr/>
            </w:pPr>
            <w:r>
              <w:rPr/>
              <w:t> </w:t>
            </w:r>
          </w:p>
        </w:tc>
      </w:tr>
      <w:tr>
        <w:trPr/>
        <w:tc>
          <w:tcPr>
            <w:tcW w:w="111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amortization</w:t>
            </w:r>
          </w:p>
        </w:tc>
        <w:tc>
          <w:tcPr>
            <w:tcW w:w="146" w:type="dxa"/>
            <w:tcBorders/>
            <w:shd w:fill="CCEEFF" w:val="clear"/>
            <w:vAlign w:val="center"/>
          </w:tcPr>
          <w:p>
            <w:pPr>
              <w:pStyle w:val="TableContents"/>
              <w:bidi w:val="0"/>
              <w:spacing w:before="0" w:after="283"/>
              <w:jc w:val="both"/>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(12,946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(11,889</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1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Unamortized deferred financing costs</w:t>
            </w:r>
          </w:p>
        </w:tc>
        <w:tc>
          <w:tcPr>
            <w:tcW w:w="146" w:type="dxa"/>
            <w:tcBorders/>
            <w:shd w:fill="FFFFFF" w:val="clear"/>
            <w:vAlign w:val="center"/>
          </w:tcPr>
          <w:p>
            <w:pPr>
              <w:pStyle w:val="TableContents"/>
              <w:bidi w:val="0"/>
              <w:spacing w:before="0" w:after="283"/>
              <w:jc w:val="both"/>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Unamortized deferred financing costs are presented as a direct offset to the SBA debentures, the Credit Facility and the Notes liabilities on the consolidated statements of assets and liabilities. The following table summarizes the outstanding debt net of unamortized deferred financing costs as of March 31, 2024 and December 31,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28"/>
        <w:gridCol w:w="146"/>
        <w:gridCol w:w="181"/>
        <w:gridCol w:w="586"/>
        <w:gridCol w:w="151"/>
        <w:gridCol w:w="146"/>
        <w:gridCol w:w="181"/>
        <w:gridCol w:w="511"/>
        <w:gridCol w:w="151"/>
        <w:gridCol w:w="146"/>
        <w:gridCol w:w="181"/>
        <w:gridCol w:w="586"/>
        <w:gridCol w:w="151"/>
        <w:gridCol w:w="146"/>
        <w:gridCol w:w="181"/>
        <w:gridCol w:w="586"/>
        <w:gridCol w:w="151"/>
        <w:gridCol w:w="146"/>
        <w:gridCol w:w="181"/>
        <w:gridCol w:w="586"/>
        <w:gridCol w:w="151"/>
        <w:gridCol w:w="146"/>
        <w:gridCol w:w="181"/>
        <w:gridCol w:w="481"/>
        <w:gridCol w:w="151"/>
        <w:gridCol w:w="146"/>
        <w:gridCol w:w="181"/>
        <w:gridCol w:w="586"/>
        <w:gridCol w:w="151"/>
        <w:gridCol w:w="146"/>
        <w:gridCol w:w="181"/>
        <w:gridCol w:w="586"/>
        <w:gridCol w:w="196"/>
      </w:tblGrid>
      <w:tr>
        <w:trPr/>
        <w:tc>
          <w:tcPr>
            <w:tcW w:w="1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828"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38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March 31, 2024</w:t>
            </w:r>
            <w:r>
              <w:rPr>
                <w:rFonts w:ascii="Times New Roman" w:hAnsi="Times New Roman"/>
                <w:b/>
                <w:color w:val="000000"/>
                <w:sz w:val="9"/>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December 31, 2023</w:t>
            </w:r>
            <w:r>
              <w:rPr>
                <w:rFonts w:ascii="Times New Roman" w:hAnsi="Times New Roman"/>
                <w:b/>
                <w:color w:val="000000"/>
                <w:sz w:val="9"/>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8"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SBA</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Credit</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SBA</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Credit</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1828"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debentures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Facility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debentures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Facility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8"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Outstanding debt</w:t>
            </w:r>
          </w:p>
        </w:tc>
        <w:tc>
          <w:tcPr>
            <w:tcW w:w="146" w:type="dxa"/>
            <w:tcBorders/>
            <w:shd w:fill="CCEEFF" w:val="clear"/>
            <w:vAlign w:val="center"/>
          </w:tcPr>
          <w:p>
            <w:pPr>
              <w:pStyle w:val="TableContents"/>
              <w:bidi w:val="0"/>
              <w:spacing w:before="0" w:after="283"/>
              <w:jc w:val="both"/>
              <w:rPr/>
            </w:pPr>
            <w:r>
              <w:rPr/>
              <w:t> </w:t>
            </w:r>
          </w:p>
        </w:tc>
        <w:tc>
          <w:tcPr>
            <w:tcW w:w="18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175,000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447,500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210,000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CCEEFF" w:val="clear"/>
            <w:vAlign w:val="center"/>
          </w:tcPr>
          <w:p>
            <w:pPr>
              <w:pStyle w:val="TableContents"/>
              <w:bidi w:val="0"/>
              <w:spacing w:before="0" w:after="283"/>
              <w:jc w:val="right"/>
              <w:rPr>
                <w:color w:val="000000"/>
              </w:rPr>
            </w:pPr>
            <w:r>
              <w:rPr>
                <w:color w:val="000000"/>
              </w:rPr>
              <w:t>—</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460,000</w:t>
            </w:r>
          </w:p>
        </w:tc>
        <w:tc>
          <w:tcPr>
            <w:tcW w:w="196" w:type="dxa"/>
            <w:tcBorders/>
            <w:shd w:fill="CCEEFF" w:val="clear"/>
            <w:vAlign w:val="center"/>
          </w:tcPr>
          <w:p>
            <w:pPr>
              <w:pStyle w:val="TableContents"/>
              <w:bidi w:val="0"/>
              <w:spacing w:before="0" w:after="283"/>
              <w:jc w:val="left"/>
              <w:rPr/>
            </w:pPr>
            <w:r>
              <w:rPr/>
              <w:t> </w:t>
            </w:r>
          </w:p>
        </w:tc>
      </w:tr>
      <w:tr>
        <w:trPr/>
        <w:tc>
          <w:tcPr>
            <w:tcW w:w="182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Less: unamortized deferred financing costs</w:t>
            </w:r>
          </w:p>
        </w:tc>
        <w:tc>
          <w:tcPr>
            <w:tcW w:w="146" w:type="dxa"/>
            <w:tcBorders/>
            <w:shd w:fill="FFFFFF" w:val="clear"/>
            <w:vAlign w:val="center"/>
          </w:tcPr>
          <w:p>
            <w:pPr>
              <w:pStyle w:val="TableContents"/>
              <w:bidi w:val="0"/>
              <w:spacing w:before="0" w:after="283"/>
              <w:jc w:val="both"/>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(9,367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28"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Debt, net of deferred financing costs</w:t>
            </w:r>
          </w:p>
        </w:tc>
        <w:tc>
          <w:tcPr>
            <w:tcW w:w="146" w:type="dxa"/>
            <w:tcBorders/>
            <w:shd w:fill="CCEEFF" w:val="clear"/>
            <w:vAlign w:val="center"/>
          </w:tcPr>
          <w:p>
            <w:pPr>
              <w:pStyle w:val="TableContents"/>
              <w:bidi w:val="0"/>
              <w:spacing w:before="0" w:after="283"/>
              <w:jc w:val="both"/>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170,176</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21,493</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247,521</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439,190</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204,472</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247,243</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450,633</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sz w:val="20"/>
        </w:rPr>
      </w:pPr>
      <w:r>
        <w:rPr>
          <w:rFonts w:ascii="Times New Roman" w:hAnsi="Times New Roman"/>
          <w:color w:val="000000"/>
          <w:sz w:val="16"/>
        </w:rPr>
        <w:t>Total excludes $15,626</w:t>
      </w:r>
      <w:r>
        <w:rPr>
          <w:rFonts w:ascii="Times New Roman" w:hAnsi="Times New Roman"/>
          <w:color w:val="000000"/>
          <w:sz w:val="20"/>
        </w:rPr>
        <w:t xml:space="preserve"> </w:t>
      </w:r>
      <w:r>
        <w:rPr>
          <w:rFonts w:ascii="Times New Roman" w:hAnsi="Times New Roman"/>
          <w:color w:val="000000"/>
          <w:sz w:val="16"/>
        </w:rPr>
        <w:t>and $15,880</w:t>
      </w:r>
      <w:r>
        <w:rPr>
          <w:rFonts w:ascii="Times New Roman" w:hAnsi="Times New Roman"/>
          <w:color w:val="000000"/>
          <w:sz w:val="20"/>
        </w:rPr>
        <w:t xml:space="preserve"> </w:t>
      </w:r>
      <w:r>
        <w:rPr>
          <w:rFonts w:ascii="Times New Roman" w:hAnsi="Times New Roman"/>
          <w:color w:val="000000"/>
          <w:sz w:val="16"/>
        </w:rPr>
        <w:t>of Secured Borrowings as of March 31, 2024 and December 31, 2023,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of March 31, 2024, the Company’s debt liabilities are scheduled to mature as follows </w:t>
      </w:r>
      <w:r>
        <w:rPr>
          <w:rFonts w:ascii="Times New Roman" w:hAnsi="Times New Roman"/>
          <w:color w:val="000000"/>
          <w:sz w:val="13"/>
        </w:rPr>
        <w:t>(1)</w:t>
      </w:r>
      <w:r>
        <w:rPr>
          <w:rFonts w:ascii="Times New Roman" w:hAnsi="Times New Roman"/>
          <w:color w:val="000000"/>
          <w:sz w:val="20"/>
        </w:rPr>
        <w:t>:</w:t>
      </w:r>
    </w:p>
    <w:p>
      <w:pPr>
        <w:pStyle w:val="TextBody"/>
        <w:bidi w:val="0"/>
        <w:jc w:val="left"/>
        <w:rPr/>
      </w:pPr>
      <w:r>
        <w:rPr/>
        <w:t> </w:t>
      </w:r>
    </w:p>
    <w:tbl>
      <w:tblPr>
        <w:tblW w:w="7542" w:type="dxa"/>
        <w:jc w:val="left"/>
        <w:tblInd w:w="0" w:type="dxa"/>
        <w:tblLayout w:type="fixed"/>
        <w:tblCellMar>
          <w:top w:w="28" w:type="dxa"/>
          <w:left w:w="28" w:type="dxa"/>
          <w:bottom w:w="28" w:type="dxa"/>
          <w:right w:w="28" w:type="dxa"/>
        </w:tblCellMar>
      </w:tblPr>
      <w:tblGrid>
        <w:gridCol w:w="946"/>
        <w:gridCol w:w="146"/>
        <w:gridCol w:w="217"/>
        <w:gridCol w:w="804"/>
        <w:gridCol w:w="146"/>
        <w:gridCol w:w="146"/>
        <w:gridCol w:w="232"/>
        <w:gridCol w:w="743"/>
        <w:gridCol w:w="146"/>
        <w:gridCol w:w="146"/>
        <w:gridCol w:w="264"/>
        <w:gridCol w:w="847"/>
        <w:gridCol w:w="146"/>
        <w:gridCol w:w="146"/>
        <w:gridCol w:w="211"/>
        <w:gridCol w:w="781"/>
        <w:gridCol w:w="146"/>
        <w:gridCol w:w="146"/>
        <w:gridCol w:w="211"/>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SBA</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Credit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debentures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Facility </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91" w:type="dxa"/>
            <w:tcBorders/>
            <w:shd w:fill="CCEE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265,296</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191" w:type="dxa"/>
            <w:tcBorders/>
            <w:shd w:fill="CCEE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CEE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463,126</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1"/>
        <w:gridCol w:w="9914"/>
      </w:tblGrid>
      <w:tr>
        <w:trPr/>
        <w:tc>
          <w:tcPr>
            <w:tcW w:w="291" w:type="dxa"/>
            <w:tcBorders/>
            <w:vAlign w:val="center"/>
          </w:tcPr>
          <w:p>
            <w:pPr>
              <w:pStyle w:val="TableContents"/>
              <w:bidi w:val="0"/>
              <w:spacing w:before="0" w:after="283"/>
              <w:jc w:val="left"/>
              <w:rPr>
                <w:sz w:val="4"/>
                <w:szCs w:val="4"/>
              </w:rPr>
            </w:pPr>
            <w:r>
              <w:rPr>
                <w:sz w:val="4"/>
                <w:szCs w:val="4"/>
              </w:rPr>
            </w:r>
          </w:p>
        </w:tc>
        <w:tc>
          <w:tcPr>
            <w:tcW w:w="9914" w:type="dxa"/>
            <w:tcBorders/>
            <w:vAlign w:val="center"/>
          </w:tcPr>
          <w:p>
            <w:pPr>
              <w:pStyle w:val="TableContents"/>
              <w:bidi w:val="0"/>
              <w:spacing w:before="0" w:after="283"/>
              <w:jc w:val="left"/>
              <w:rPr>
                <w:sz w:val="4"/>
                <w:szCs w:val="4"/>
              </w:rPr>
            </w:pPr>
            <w:r>
              <w:rPr>
                <w:sz w:val="4"/>
                <w:szCs w:val="4"/>
              </w:rPr>
            </w:r>
          </w:p>
        </w:tc>
      </w:tr>
      <w:tr>
        <w:trPr/>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tc>
      </w:tr>
      <w:tr>
        <w:trPr/>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16"/>
              </w:rPr>
              <w:t>The Credit Facility matures on August 17, 2027.</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7. Commitments and Contingencies</w:t>
      </w:r>
    </w:p>
    <w:p>
      <w:pPr>
        <w:pStyle w:val="TextBody"/>
        <w:bidi w:val="0"/>
        <w:spacing w:before="180" w:after="180"/>
        <w:jc w:val="both"/>
        <w:rPr>
          <w:rFonts w:ascii="Times New Roman" w:hAnsi="Times New Roman"/>
          <w:sz w:val="20"/>
        </w:rPr>
      </w:pPr>
      <w:r>
        <w:rPr>
          <w:rFonts w:ascii="Times New Roman" w:hAnsi="Times New Roman"/>
          <w:i/>
          <w:color w:val="000000"/>
          <w:sz w:val="20"/>
        </w:rPr>
        <w:t>Commitments:</w:t>
      </w:r>
      <w:r>
        <w:rPr>
          <w:rFonts w:ascii="Times New Roman" w:hAnsi="Times New Roman"/>
          <w:color w:val="000000"/>
          <w:sz w:val="20"/>
        </w:rPr>
        <w:t xml:space="preserve"> The Company had outstanding commitments to portfolio companies to fund various undrawn revolving loans, other debt investments and capital commitments totaling $17,351 and $9,675 as of March 31, 2024 and December 31, 2023, respectively. Such outstanding commitments are summarized in the following table:</w:t>
      </w:r>
    </w:p>
    <w:tbl>
      <w:tblPr>
        <w:tblW w:w="10199" w:type="dxa"/>
        <w:jc w:val="left"/>
        <w:tblInd w:w="0" w:type="dxa"/>
        <w:tblLayout w:type="fixed"/>
        <w:tblCellMar>
          <w:top w:w="28" w:type="dxa"/>
          <w:left w:w="28" w:type="dxa"/>
          <w:bottom w:w="28" w:type="dxa"/>
          <w:right w:w="28" w:type="dxa"/>
        </w:tblCellMar>
      </w:tblPr>
      <w:tblGrid>
        <w:gridCol w:w="5416"/>
        <w:gridCol w:w="146"/>
        <w:gridCol w:w="223"/>
        <w:gridCol w:w="633"/>
        <w:gridCol w:w="146"/>
        <w:gridCol w:w="146"/>
        <w:gridCol w:w="223"/>
        <w:gridCol w:w="633"/>
        <w:gridCol w:w="146"/>
        <w:gridCol w:w="146"/>
        <w:gridCol w:w="223"/>
        <w:gridCol w:w="633"/>
        <w:gridCol w:w="146"/>
        <w:gridCol w:w="146"/>
        <w:gridCol w:w="250"/>
        <w:gridCol w:w="606"/>
        <w:gridCol w:w="146"/>
        <w:gridCol w:w="19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Unfunded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Unfunded</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 -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 Info Parent, Inc. (dba MediaRadar) - Revolving Loan</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Acendre Midco, Inc. - Revolving Loan</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American AllWaste LLC (dba WasteWater Transport Services) - First Lien Debt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Barefoot Mosquito and Pest Control, LLC - Revolving Loan</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Choice Technology Solutions, LLC (dba Choice Merchant Solutions, LLC) - Revolving Loan</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Donovan Food Brokerage, LLC - Revolving Loan</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Elements Brands, LLC - Revolving Loan</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GMP HVAC, LLC (dba McGee Heating &amp; Air, LLC) - Revolving Loan</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Informatics Holdings, Inc. (dba Wasp Barcode Technologies) - Revolving Loan</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Janus Health Technologies, Inc. - First Lien Debt</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R1 Holdings, LLC (dba RoadOne IntermodaLogistics) - First Lien Debt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1,596</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R1 Holdings, LLC (dba RoadOne IntermodaLogistics) - Subordinated Debt</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R1 Holdings, LLC (dba RoadOne IntermodaLogistics) - Common Equity</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Tedia Company, LLC - Revolving Loan</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W50 Holdings, LLC - Preferred Equity</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24,568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17,351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12,818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Additional detail for each of the commitments above is provided in the Company’s consolidated schedules of investments. As of March 31, 2024 and December 31, 2023, the Company had sufficient liquidity coverage to satisfy these unfunded commitments. Cash and cash equivalents were $27,122 and $119,131 and available borrowings under the Credit Facility were $77,500 and $100,000 as of March 31, 2024 and December 31, 2023, respectively.</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commitments are generally subject to the borrowers meeting certain criteria such as compliance with financial and non-financial covenants, which may limit such borrower's ability to draw on a revolving loan or delayed draw loan. Since commitments may expire without being drawn upon, the total commitment amount does not necessarily represent future cash requirements.</w:t>
      </w:r>
    </w:p>
    <w:p>
      <w:pPr>
        <w:pStyle w:val="TextBody"/>
        <w:bidi w:val="0"/>
        <w:spacing w:before="180" w:after="283"/>
        <w:jc w:val="both"/>
        <w:rPr>
          <w:rFonts w:ascii="Times New Roman" w:hAnsi="Times New Roman"/>
          <w:sz w:val="20"/>
        </w:rPr>
      </w:pPr>
      <w:r>
        <w:rPr>
          <w:rFonts w:ascii="Times New Roman" w:hAnsi="Times New Roman"/>
          <w:i/>
          <w:color w:val="000000"/>
          <w:sz w:val="20"/>
        </w:rPr>
        <w:t>Indemnifications:</w:t>
      </w:r>
      <w:r>
        <w:rPr>
          <w:rFonts w:ascii="Times New Roman" w:hAnsi="Times New Roman"/>
          <w:color w:val="000000"/>
          <w:sz w:val="20"/>
        </w:rPr>
        <w:t xml:space="preserve"> In the normal course of business, the Company enters into contracts and agreements that contain a variety of representations and 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pStyle w:val="TextBody"/>
        <w:bidi w:val="0"/>
        <w:spacing w:before="180" w:after="283"/>
        <w:jc w:val="both"/>
        <w:rPr>
          <w:rFonts w:ascii="Times New Roman" w:hAnsi="Times New Roman"/>
          <w:sz w:val="20"/>
        </w:rPr>
      </w:pPr>
      <w:bookmarkStart w:id="12" w:name="fis_unidentified_table_14"/>
      <w:bookmarkEnd w:id="12"/>
      <w:r>
        <w:rPr>
          <w:rFonts w:ascii="Times New Roman" w:hAnsi="Times New Roman"/>
          <w:i/>
          <w:color w:val="000000"/>
          <w:sz w:val="20"/>
        </w:rPr>
        <w:t>Legal proceedings:</w:t>
      </w:r>
      <w:r>
        <w:rPr>
          <w:rFonts w:ascii="Times New Roman" w:hAnsi="Times New Roman"/>
          <w:color w:val="000000"/>
          <w:sz w:val="20"/>
        </w:rPr>
        <w:t xml:space="preserve"> In the normal course of business, the Company may be subject to legal and regulatory proceedings that are generally incidental to its ongoing operations. While the outcome of any such legal proceedings cannot be predicted with certainty, the Company does not believe any such legal proceedings will have a material adverse effect on the Company’s consolidated financial statements.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8. Common Stock</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Public Offerings of Common Stock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following table summarizes the cumulative total shares issued, net proceeds received, and weighted average offering price in public offerings of the Company’s common stock since the IPO in June 2011, except for the issuances under the ATM Program as described further below.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49"/>
        <w:gridCol w:w="146"/>
        <w:gridCol w:w="206"/>
        <w:gridCol w:w="1463"/>
        <w:gridCol w:w="146"/>
        <w:gridCol w:w="146"/>
        <w:gridCol w:w="327"/>
        <w:gridCol w:w="1215"/>
        <w:gridCol w:w="146"/>
        <w:gridCol w:w="146"/>
        <w:gridCol w:w="766"/>
        <w:gridCol w:w="2075"/>
        <w:gridCol w:w="146"/>
        <w:gridCol w:w="146"/>
        <w:gridCol w:w="428"/>
        <w:gridCol w:w="1158"/>
        <w:gridCol w:w="196"/>
      </w:tblGrid>
      <w:tr>
        <w:trPr/>
        <w:tc>
          <w:tcPr>
            <w:tcW w:w="1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Cumulative 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Cumulative Gross 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Cumulative Underwriting Fees and Commissions and Offering Costs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Offering Price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9"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since IPO</w:t>
            </w:r>
          </w:p>
        </w:tc>
        <w:tc>
          <w:tcPr>
            <w:tcW w:w="14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14,388,414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96" w:type="dxa"/>
            <w:tcBorders/>
            <w:shd w:fill="CCEE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(1) Fidus Investment Advisors, LLC agreed to bear a cumulative of $1,925</w:t>
      </w:r>
      <w:r>
        <w:rPr>
          <w:rFonts w:ascii="Times New Roman" w:hAnsi="Times New Roman"/>
          <w:color w:val="000000"/>
          <w:sz w:val="20"/>
        </w:rPr>
        <w:t xml:space="preserve"> </w:t>
      </w:r>
      <w:r>
        <w:rPr>
          <w:rFonts w:ascii="Times New Roman" w:hAnsi="Times New Roman"/>
          <w:color w:val="000000"/>
          <w:sz w:val="16"/>
        </w:rPr>
        <w:t>of underwriting fees and commissions and offering costs associated with these offerings (such amounts are not included in the number reported above). All such payments made by Fidus Investment Advisors, LLC are not subject to reimbursement by the Company.</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Equity ATM Program</w:t>
      </w:r>
    </w:p>
    <w:p>
      <w:pPr>
        <w:pStyle w:val="TextBody"/>
        <w:bidi w:val="0"/>
        <w:jc w:val="both"/>
        <w:rPr>
          <w:rFonts w:ascii="Times New Roman" w:hAnsi="Times New Roman"/>
          <w:color w:val="000000"/>
          <w:sz w:val="20"/>
        </w:rPr>
      </w:pPr>
      <w:r>
        <w:rPr>
          <w:rFonts w:ascii="Times New Roman" w:hAnsi="Times New Roman"/>
          <w:color w:val="000000"/>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$50,000. On August 11, 2023, the Company increased the maximum amount of shares to be sold through the ATM Program to $150,000 from $50,000. On February 29, 2024, the Company increased the maximum amount of shares to be sold through the ATM Program to $300,000 from $150,000. The gross proceeds raised, the related sales agent commissions and the offering expenses, the net proceeds raised, and the average price at which shares were issued under the ATM Program for the three months ended March 31, 2024 and 2023 are as follows:</w:t>
      </w:r>
    </w:p>
    <w:tbl>
      <w:tblPr>
        <w:tblW w:w="6867" w:type="dxa"/>
        <w:jc w:val="left"/>
        <w:tblInd w:w="0" w:type="dxa"/>
        <w:tblLayout w:type="fixed"/>
        <w:tblCellMar>
          <w:top w:w="28" w:type="dxa"/>
          <w:left w:w="28" w:type="dxa"/>
          <w:bottom w:w="28" w:type="dxa"/>
          <w:right w:w="28" w:type="dxa"/>
        </w:tblCellMar>
      </w:tblPr>
      <w:tblGrid>
        <w:gridCol w:w="2116"/>
        <w:gridCol w:w="146"/>
        <w:gridCol w:w="153"/>
        <w:gridCol w:w="522"/>
        <w:gridCol w:w="146"/>
        <w:gridCol w:w="146"/>
        <w:gridCol w:w="170"/>
        <w:gridCol w:w="386"/>
        <w:gridCol w:w="146"/>
        <w:gridCol w:w="146"/>
        <w:gridCol w:w="166"/>
        <w:gridCol w:w="436"/>
        <w:gridCol w:w="146"/>
        <w:gridCol w:w="146"/>
        <w:gridCol w:w="297"/>
        <w:gridCol w:w="514"/>
        <w:gridCol w:w="146"/>
        <w:gridCol w:w="146"/>
        <w:gridCol w:w="166"/>
        <w:gridCol w:w="436"/>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Underwriting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Offering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Fees and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w:t>
            </w:r>
          </w:p>
        </w:tc>
        <w:tc>
          <w:tcPr>
            <w:tcW w:w="191" w:type="dxa"/>
            <w:tcBorders/>
            <w:shd w:fill="FFFFFF" w:val="clear"/>
            <w:vAlign w:val="center"/>
          </w:tcPr>
          <w:p>
            <w:pPr>
              <w:pStyle w:val="TableContents"/>
              <w:bidi w:val="0"/>
              <w:spacing w:before="0" w:after="283"/>
              <w:jc w:val="center"/>
              <w:rPr/>
            </w:pPr>
            <w:r>
              <w:rPr/>
              <w:t> </w:t>
            </w:r>
          </w:p>
        </w:tc>
      </w:tr>
      <w:tr>
        <w:trPr/>
        <w:tc>
          <w:tcPr>
            <w:tcW w:w="21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Commissions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Proceeds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Three Months Ended March 31, 2023</w:t>
            </w:r>
          </w:p>
        </w:tc>
        <w:tc>
          <w:tcPr>
            <w:tcW w:w="146"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shd w:fill="CCEEFF" w:val="cle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January 1, 2023 through March 31, 2023</w:t>
            </w:r>
          </w:p>
        </w:tc>
        <w:tc>
          <w:tcPr>
            <w:tcW w:w="146" w:type="dxa"/>
            <w:tcBorders/>
            <w:shd w:fill="CCEEFF" w:val="clear"/>
            <w:vAlign w:val="center"/>
          </w:tcPr>
          <w:p>
            <w:pPr>
              <w:pStyle w:val="TableContents"/>
              <w:bidi w:val="0"/>
              <w:spacing w:before="0" w:after="283"/>
              <w:jc w:val="both"/>
              <w:rPr/>
            </w:pPr>
            <w:r>
              <w:rPr/>
              <w:t> </w:t>
            </w:r>
          </w:p>
        </w:tc>
        <w:tc>
          <w:tcPr>
            <w:tcW w:w="153"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260,610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97"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5,308</w:t>
            </w:r>
          </w:p>
        </w:tc>
        <w:tc>
          <w:tcPr>
            <w:tcW w:w="191" w:type="dxa"/>
            <w:tcBorders/>
            <w:shd w:fill="CCEEFF" w:val="clear"/>
            <w:vAlign w:val="center"/>
          </w:tcPr>
          <w:p>
            <w:pPr>
              <w:pStyle w:val="TableContents"/>
              <w:bidi w:val="0"/>
              <w:spacing w:before="0" w:after="283"/>
              <w:jc w:val="left"/>
              <w:rPr/>
            </w:pPr>
            <w:r>
              <w:rPr/>
              <w:t> </w:t>
            </w:r>
          </w:p>
        </w:tc>
      </w:tr>
      <w:tr>
        <w:trPr/>
        <w:tc>
          <w:tcPr>
            <w:tcW w:w="2116" w:type="dxa"/>
            <w:tcBorders/>
            <w:shd w:fill="CCEEFF" w:val="cle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Total</w:t>
            </w:r>
          </w:p>
        </w:tc>
        <w:tc>
          <w:tcPr>
            <w:tcW w:w="146" w:type="dxa"/>
            <w:tcBorders/>
            <w:shd w:fill="CCEEFF" w:val="clear"/>
            <w:vAlign w:val="center"/>
          </w:tcPr>
          <w:p>
            <w:pPr>
              <w:pStyle w:val="TableContents"/>
              <w:bidi w:val="0"/>
              <w:spacing w:before="0" w:after="283"/>
              <w:jc w:val="both"/>
              <w:rPr/>
            </w:pPr>
            <w:r>
              <w:rPr/>
              <w:t> </w:t>
            </w:r>
          </w:p>
        </w:tc>
        <w:tc>
          <w:tcPr>
            <w:tcW w:w="153"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22"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260,610</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70"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20.68</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6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5,389</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9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6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5,308</w:t>
            </w:r>
          </w:p>
        </w:tc>
        <w:tc>
          <w:tcPr>
            <w:tcW w:w="19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Three Months Ended March 31, 2024</w:t>
            </w:r>
          </w:p>
        </w:tc>
        <w:tc>
          <w:tcPr>
            <w:tcW w:w="146"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shd w:fill="CCEEFF" w:val="cle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January 1, 2024 through March 31, 2024</w:t>
            </w:r>
          </w:p>
        </w:tc>
        <w:tc>
          <w:tcPr>
            <w:tcW w:w="146" w:type="dxa"/>
            <w:tcBorders/>
            <w:shd w:fill="CCEEFF" w:val="clear"/>
            <w:vAlign w:val="center"/>
          </w:tcPr>
          <w:p>
            <w:pPr>
              <w:pStyle w:val="TableContents"/>
              <w:bidi w:val="0"/>
              <w:spacing w:before="0" w:after="283"/>
              <w:jc w:val="both"/>
              <w:rPr/>
            </w:pPr>
            <w:r>
              <w:rPr/>
              <w:t> </w:t>
            </w:r>
          </w:p>
        </w:tc>
        <w:tc>
          <w:tcPr>
            <w:tcW w:w="153"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987,170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70"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19,408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97"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19,180</w:t>
            </w:r>
          </w:p>
        </w:tc>
        <w:tc>
          <w:tcPr>
            <w:tcW w:w="191" w:type="dxa"/>
            <w:tcBorders/>
            <w:shd w:fill="CCEEFF" w:val="clear"/>
            <w:vAlign w:val="center"/>
          </w:tcPr>
          <w:p>
            <w:pPr>
              <w:pStyle w:val="TableContents"/>
              <w:bidi w:val="0"/>
              <w:spacing w:before="0" w:after="283"/>
              <w:jc w:val="left"/>
              <w:rPr/>
            </w:pPr>
            <w:r>
              <w:rPr/>
              <w:t> </w:t>
            </w:r>
          </w:p>
        </w:tc>
      </w:tr>
      <w:tr>
        <w:trPr/>
        <w:tc>
          <w:tcPr>
            <w:tcW w:w="2116" w:type="dxa"/>
            <w:tcBorders/>
            <w:shd w:fill="CCEEFF" w:val="cle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Total</w:t>
            </w:r>
          </w:p>
        </w:tc>
        <w:tc>
          <w:tcPr>
            <w:tcW w:w="146" w:type="dxa"/>
            <w:tcBorders/>
            <w:shd w:fill="CCEEFF" w:val="clear"/>
            <w:vAlign w:val="center"/>
          </w:tcPr>
          <w:p>
            <w:pPr>
              <w:pStyle w:val="TableContents"/>
              <w:bidi w:val="0"/>
              <w:spacing w:before="0" w:after="283"/>
              <w:jc w:val="both"/>
              <w:rPr/>
            </w:pPr>
            <w:r>
              <w:rPr/>
              <w:t> </w:t>
            </w:r>
          </w:p>
        </w:tc>
        <w:tc>
          <w:tcPr>
            <w:tcW w:w="153"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22"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987,170</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70"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19.66</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6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19,408</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9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6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19,180</w:t>
            </w:r>
          </w:p>
        </w:tc>
        <w:tc>
          <w:tcPr>
            <w:tcW w:w="19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Net proceeds exclude amortization of deferred equity financing costs.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Cumulative to date, the Company has sold 6,957,913 shares of common stock under the ATM Program at a weighted-average price of $19.72, raising $137,180 of gross proceeds. Net proceeds were $135,377 after commissions to the sales agents on shares sold. As of March 31, 2024, the Company has $162,820 available under the ATM Program.</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described in Note 2, the Company has a Stock Repurchase Program under which the Company may acquire up to $5,000 of its outstanding common stock. The Company did not make any repurchases of common stock during the three months ended March 31, 2024 and 2023.</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DRIP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shares under the DRIP were issued during the three months ended March 31, 2024 and 2023. Refer to Note 9 for additional information regarding the issuance of shares under the DRIP.</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had 31,426,149 and 30,438,979 shares of common stock outstanding as of March 31, 2024 and December 31, 2023, respectively.</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Note 9. Dividends and Distributions</w:t>
      </w:r>
    </w:p>
    <w:p>
      <w:pPr>
        <w:pStyle w:val="TextBody"/>
        <w:bidi w:val="0"/>
        <w:jc w:val="both"/>
        <w:rPr>
          <w:rFonts w:ascii="Times New Roman" w:hAnsi="Times New Roman"/>
          <w:color w:val="000000"/>
          <w:sz w:val="20"/>
        </w:rPr>
      </w:pPr>
      <w:r>
        <w:rPr>
          <w:rFonts w:ascii="Times New Roman" w:hAnsi="Times New Roman"/>
          <w:color w:val="000000"/>
          <w:sz w:val="20"/>
        </w:rPr>
        <w:t>The Company’s dividends and distributions are recorded on the record date. The following table summarizes the dividends paid during the last two fiscal years and for the three months ended March 31, 2024.</w:t>
      </w:r>
    </w:p>
    <w:p>
      <w:pPr>
        <w:pStyle w:val="TextBody"/>
        <w:bidi w:val="0"/>
        <w:jc w:val="both"/>
        <w:rPr/>
      </w:pPr>
      <w:r>
        <w:rPr/>
        <w:t> </w:t>
      </w:r>
    </w:p>
    <w:tbl>
      <w:tblPr>
        <w:tblW w:w="9438" w:type="dxa"/>
        <w:jc w:val="left"/>
        <w:tblInd w:w="0" w:type="dxa"/>
        <w:tblLayout w:type="fixed"/>
        <w:tblCellMar>
          <w:top w:w="28" w:type="dxa"/>
          <w:left w:w="28" w:type="dxa"/>
          <w:bottom w:w="28" w:type="dxa"/>
          <w:right w:w="28" w:type="dxa"/>
        </w:tblCellMar>
      </w:tblPr>
      <w:tblGrid>
        <w:gridCol w:w="2086"/>
        <w:gridCol w:w="146"/>
        <w:gridCol w:w="646"/>
        <w:gridCol w:w="146"/>
        <w:gridCol w:w="646"/>
        <w:gridCol w:w="146"/>
        <w:gridCol w:w="217"/>
        <w:gridCol w:w="413"/>
        <w:gridCol w:w="146"/>
        <w:gridCol w:w="146"/>
        <w:gridCol w:w="198"/>
        <w:gridCol w:w="523"/>
        <w:gridCol w:w="146"/>
        <w:gridCol w:w="146"/>
        <w:gridCol w:w="198"/>
        <w:gridCol w:w="523"/>
        <w:gridCol w:w="146"/>
        <w:gridCol w:w="146"/>
        <w:gridCol w:w="166"/>
        <w:gridCol w:w="346"/>
        <w:gridCol w:w="146"/>
        <w:gridCol w:w="211"/>
        <w:gridCol w:w="146"/>
        <w:gridCol w:w="436"/>
        <w:gridCol w:w="146"/>
        <w:gridCol w:w="211"/>
        <w:gridCol w:w="189"/>
        <w:gridCol w:w="4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DRIP</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DRIP</w:t>
            </w:r>
          </w:p>
        </w:tc>
        <w:tc>
          <w:tcPr>
            <w:tcW w:w="191" w:type="dxa"/>
            <w:tcBorders/>
            <w:shd w:fill="FFFFFF" w:val="cle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Date</w:t>
            </w:r>
          </w:p>
        </w:tc>
        <w:tc>
          <w:tcPr>
            <w:tcW w:w="14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Record</w:t>
            </w:r>
          </w:p>
        </w:tc>
        <w:tc>
          <w:tcPr>
            <w:tcW w:w="146" w:type="dxa"/>
            <w:tcBorders/>
            <w:shd w:fill="FFFFFF" w:val="cle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Payment</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Cash</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DRIP</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91" w:type="dxa"/>
            <w:tcBorders/>
            <w:shd w:fill="FFFFFF" w:val="clear"/>
            <w:vAlign w:val="center"/>
          </w:tcPr>
          <w:p>
            <w:pPr>
              <w:pStyle w:val="TableContents"/>
              <w:bidi w:val="0"/>
              <w:spacing w:before="0" w:after="283"/>
              <w:jc w:val="center"/>
              <w:rPr/>
            </w:pPr>
            <w:r>
              <w:rPr/>
              <w:t> </w:t>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Issue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Year Ended December 31, 2022: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2/15/2022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3/11/2022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3/25/2022</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2/15/2022 </w:t>
            </w:r>
            <w:r>
              <w:rPr>
                <w:rFonts w:ascii="Times New Roman" w:hAnsi="Times New Roman"/>
                <w:color w:val="000000"/>
                <w:sz w:val="8"/>
              </w:rPr>
              <w:t>(2)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3/11/2022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3/25/2022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5/02/2022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6/10/2022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6/24/2022</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5/02/2022 </w:t>
            </w:r>
            <w:r>
              <w:rPr>
                <w:rFonts w:ascii="Times New Roman" w:hAnsi="Times New Roman"/>
                <w:color w:val="000000"/>
                <w:sz w:val="8"/>
              </w:rPr>
              <w:t>(2)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6/10/2022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6/24/2022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8/01/2022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9/9/2022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9/23/2022</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8/01/2022 </w:t>
            </w:r>
            <w:r>
              <w:rPr>
                <w:rFonts w:ascii="Times New Roman" w:hAnsi="Times New Roman"/>
                <w:color w:val="000000"/>
                <w:sz w:val="8"/>
              </w:rPr>
              <w:t>(2)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9/9/2022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9/23/2022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8/01/2022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12/2/2022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12/16/2022</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8/01/2022 </w:t>
            </w:r>
            <w:r>
              <w:rPr>
                <w:rFonts w:ascii="Times New Roman" w:hAnsi="Times New Roman"/>
                <w:color w:val="000000"/>
                <w:sz w:val="8"/>
              </w:rPr>
              <w:t>(2)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12/2/2022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12/16/2022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11/03/2022 </w:t>
            </w:r>
            <w:r>
              <w:rPr>
                <w:rFonts w:ascii="Times New Roman" w:hAnsi="Times New Roman"/>
                <w:color w:val="000000"/>
                <w:sz w:val="8"/>
              </w:rPr>
              <w:t>(2)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12/2/2022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12/16/2022</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11/03/2022 </w:t>
            </w:r>
            <w:r>
              <w:rPr>
                <w:rFonts w:ascii="Times New Roman" w:hAnsi="Times New Roman"/>
                <w:color w:val="000000"/>
                <w:sz w:val="8"/>
              </w:rPr>
              <w:t>(1)</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12/2/2022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12/16/2022</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Year Ended December 31, 2023:</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2/15/2023</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3/22/2023</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3/29/2023</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2/15/2023 (2)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3/22/2023</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3/29/2023</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2/15/2023 (1)</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3/22/2023</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3/29/2023</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5/02/2023</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6/21/2023</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6/28/2023</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18,061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19.56</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5/02/2023 (2)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6/21/2023</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6/28/2023</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8,370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19.56</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5/02/2023 (1)</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6/21/2023</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6/28/2023</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19.56</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8/01/2023</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9/20/2023</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9/27/2023</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8/01/2023 (2)</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9/20/2023</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9/27/2023</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8/01/2023 (1)</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9/20/2023</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9/27/2023</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10/30/2023</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12/20/2023</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12/27/2023</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10/30/2023 (2)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12/20/2023</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12/27/2023</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10/30/2023 (1)</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12/20/2023</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12/27/2023</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Three Months Ended March 31, 2024:</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2/14/2024</w:t>
            </w:r>
          </w:p>
        </w:tc>
        <w:tc>
          <w:tcPr>
            <w:tcW w:w="146" w:type="dxa"/>
            <w:tcBorders/>
            <w:shd w:fill="FFFFFF" w:val="clear"/>
            <w:vAlign w:val="center"/>
          </w:tcPr>
          <w:p>
            <w:pPr>
              <w:pStyle w:val="TableContents"/>
              <w:bidi w:val="0"/>
              <w:spacing w:before="0" w:after="283"/>
              <w:jc w:val="righ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3/20/2024</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3/27/2024</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2/14/2024 </w:t>
            </w:r>
            <w:r>
              <w:rPr>
                <w:rFonts w:ascii="Times New Roman" w:hAnsi="Times New Roman"/>
                <w:color w:val="000000"/>
                <w:sz w:val="8"/>
              </w:rPr>
              <w:t>(2)</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3/20/2024</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3/27/2024</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0.65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20,427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20,427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
        <w:gridCol w:w="9918"/>
      </w:tblGrid>
      <w:tr>
        <w:trPr/>
        <w:tc>
          <w:tcPr>
            <w:tcW w:w="287" w:type="dxa"/>
            <w:tcBorders/>
            <w:vAlign w:val="center"/>
          </w:tcPr>
          <w:p>
            <w:pPr>
              <w:pStyle w:val="TableContents"/>
              <w:bidi w:val="0"/>
              <w:spacing w:before="0" w:after="283"/>
              <w:jc w:val="left"/>
              <w:rPr>
                <w:sz w:val="4"/>
                <w:szCs w:val="4"/>
              </w:rPr>
            </w:pPr>
            <w:r>
              <w:rPr>
                <w:sz w:val="4"/>
                <w:szCs w:val="4"/>
              </w:rPr>
            </w:r>
          </w:p>
        </w:tc>
        <w:tc>
          <w:tcPr>
            <w:tcW w:w="9918"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Special dividend</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dividend</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Except for the shares issued pursuant to the DRIP as reflected in the table above, during the three months ended March 31, 2024 and the years ended December 31, 2023 and 2022,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tc>
      </w:tr>
    </w:tbl>
    <w:p>
      <w:pPr>
        <w:pStyle w:val="TextBody"/>
        <w:bidi w:val="0"/>
        <w:jc w:val="left"/>
        <w:rPr/>
      </w:pPr>
      <w:r>
        <w:rPr/>
        <w:t> </w:t>
      </w:r>
    </w:p>
    <w:tbl>
      <w:tblPr>
        <w:tblW w:w="7454" w:type="dxa"/>
        <w:jc w:val="left"/>
        <w:tblInd w:w="0" w:type="dxa"/>
        <w:tblLayout w:type="fixed"/>
        <w:tblCellMar>
          <w:top w:w="28" w:type="dxa"/>
          <w:left w:w="28" w:type="dxa"/>
          <w:bottom w:w="28" w:type="dxa"/>
          <w:right w:w="28" w:type="dxa"/>
        </w:tblCellMar>
      </w:tblPr>
      <w:tblGrid>
        <w:gridCol w:w="3286"/>
        <w:gridCol w:w="146"/>
        <w:gridCol w:w="146"/>
        <w:gridCol w:w="146"/>
        <w:gridCol w:w="202"/>
        <w:gridCol w:w="833"/>
        <w:gridCol w:w="146"/>
        <w:gridCol w:w="146"/>
        <w:gridCol w:w="236"/>
        <w:gridCol w:w="619"/>
        <w:gridCol w:w="146"/>
        <w:gridCol w:w="146"/>
        <w:gridCol w:w="295"/>
        <w:gridCol w:w="770"/>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2022 through March 31, 2022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20,380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w:t>
            </w:r>
          </w:p>
        </w:tc>
        <w:tc>
          <w:tcPr>
            <w:tcW w:w="191"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2022 through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2022 through September 30, 2022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21,114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91"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2022 through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454" w:type="dxa"/>
        <w:jc w:val="left"/>
        <w:tblInd w:w="0" w:type="dxa"/>
        <w:tblLayout w:type="fixed"/>
        <w:tblCellMar>
          <w:top w:w="28" w:type="dxa"/>
          <w:left w:w="28" w:type="dxa"/>
          <w:bottom w:w="28" w:type="dxa"/>
          <w:right w:w="28" w:type="dxa"/>
        </w:tblCellMar>
      </w:tblPr>
      <w:tblGrid>
        <w:gridCol w:w="3286"/>
        <w:gridCol w:w="146"/>
        <w:gridCol w:w="146"/>
        <w:gridCol w:w="146"/>
        <w:gridCol w:w="180"/>
        <w:gridCol w:w="855"/>
        <w:gridCol w:w="146"/>
        <w:gridCol w:w="146"/>
        <w:gridCol w:w="236"/>
        <w:gridCol w:w="619"/>
        <w:gridCol w:w="146"/>
        <w:gridCol w:w="146"/>
        <w:gridCol w:w="295"/>
        <w:gridCol w:w="770"/>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2023 through March 31, 2023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25,512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w:t>
            </w:r>
          </w:p>
        </w:tc>
        <w:tc>
          <w:tcPr>
            <w:tcW w:w="191"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2023 through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2023 through September 30, 2023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91"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2023 through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84" w:type="dxa"/>
        <w:jc w:val="left"/>
        <w:tblInd w:w="0" w:type="dxa"/>
        <w:tblLayout w:type="fixed"/>
        <w:tblCellMar>
          <w:top w:w="28" w:type="dxa"/>
          <w:left w:w="28" w:type="dxa"/>
          <w:bottom w:w="28" w:type="dxa"/>
          <w:right w:w="28" w:type="dxa"/>
        </w:tblCellMar>
      </w:tblPr>
      <w:tblGrid>
        <w:gridCol w:w="3016"/>
        <w:gridCol w:w="146"/>
        <w:gridCol w:w="146"/>
        <w:gridCol w:w="146"/>
        <w:gridCol w:w="202"/>
        <w:gridCol w:w="833"/>
        <w:gridCol w:w="146"/>
        <w:gridCol w:w="146"/>
        <w:gridCol w:w="236"/>
        <w:gridCol w:w="619"/>
        <w:gridCol w:w="146"/>
        <w:gridCol w:w="146"/>
        <w:gridCol w:w="364"/>
        <w:gridCol w:w="70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vAlign w:val="center"/>
          </w:tcPr>
          <w:p>
            <w:pPr>
              <w:pStyle w:val="TableContents"/>
              <w:bidi w:val="0"/>
              <w:spacing w:before="0" w:after="283"/>
              <w:jc w:val="center"/>
              <w:rPr/>
            </w:pPr>
            <w:r>
              <w:rPr/>
              <w:t> </w:t>
            </w:r>
          </w:p>
        </w:tc>
      </w:tr>
      <w:tr>
        <w:trPr/>
        <w:tc>
          <w:tcPr>
            <w:tcW w:w="3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2024 through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w:t>
            </w:r>
          </w:p>
        </w:tc>
        <w:tc>
          <w:tcPr>
            <w:tcW w:w="19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10. Financial Highlights</w:t>
      </w:r>
    </w:p>
    <w:p>
      <w:pPr>
        <w:pStyle w:val="TextBody"/>
        <w:bidi w:val="0"/>
        <w:spacing w:before="180" w:after="283"/>
        <w:jc w:val="both"/>
        <w:rPr>
          <w:rFonts w:ascii="Times New Roman" w:hAnsi="Times New Roman"/>
          <w:color w:val="000000"/>
          <w:sz w:val="20"/>
        </w:rPr>
      </w:pPr>
      <w:bookmarkStart w:id="13" w:name="fis_unidentified_table_15"/>
      <w:bookmarkEnd w:id="13"/>
      <w:r>
        <w:rPr>
          <w:rFonts w:ascii="Times New Roman" w:hAnsi="Times New Roman"/>
          <w:color w:val="000000"/>
          <w:sz w:val="20"/>
        </w:rPr>
        <w:t>The following is a schedule of financial highlights for the three months ended March 31, 2024 and 2023:</w:t>
      </w:r>
    </w:p>
    <w:p>
      <w:pPr>
        <w:pStyle w:val="TextBody"/>
        <w:bidi w:val="0"/>
        <w:jc w:val="both"/>
        <w:rPr/>
      </w:pPr>
      <w:r>
        <w:rPr/>
        <w:t> </w:t>
      </w:r>
    </w:p>
    <w:tbl>
      <w:tblPr>
        <w:tblW w:w="8639" w:type="dxa"/>
        <w:jc w:val="left"/>
        <w:tblInd w:w="0" w:type="dxa"/>
        <w:tblLayout w:type="fixed"/>
        <w:tblCellMar>
          <w:top w:w="28" w:type="dxa"/>
          <w:left w:w="28" w:type="dxa"/>
          <w:bottom w:w="28" w:type="dxa"/>
          <w:right w:w="28" w:type="dxa"/>
        </w:tblCellMar>
      </w:tblPr>
      <w:tblGrid>
        <w:gridCol w:w="5266"/>
        <w:gridCol w:w="146"/>
        <w:gridCol w:w="211"/>
        <w:gridCol w:w="1036"/>
        <w:gridCol w:w="271"/>
        <w:gridCol w:w="146"/>
        <w:gridCol w:w="211"/>
        <w:gridCol w:w="1036"/>
        <w:gridCol w:w="316"/>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316" w:type="dxa"/>
            <w:tcBorders/>
            <w:shd w:fill="FFFFFF" w:val="cle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investment income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316" w:type="dxa"/>
            <w:tcBorders/>
            <w:shd w:fill="CFF0FC"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 (loss) on investments, net of tax (provision)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unrealized appreciation (depreciation) on investments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16" w:type="dxa"/>
            <w:tcBorders/>
            <w:shd w:fill="CFF0FC"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Realized losses on extinguishment of debt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increase from investment operations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316" w:type="dxa"/>
            <w:tcBorders/>
            <w:shd w:fill="CFF0FC"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Accretive (dilutive) effect of share issuances and repurchases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6" w:type="dxa"/>
            <w:tcBorders/>
            <w:shd w:fill="FFFFFF" w:val="cle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to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31,426,149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24,988,398</w:t>
            </w:r>
          </w:p>
        </w:tc>
        <w:tc>
          <w:tcPr>
            <w:tcW w:w="316" w:type="dxa"/>
            <w:tcBorders/>
            <w:shd w:fill="CFF0FC"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during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30,776,758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24,803,951</w:t>
            </w:r>
          </w:p>
        </w:tc>
        <w:tc>
          <w:tcPr>
            <w:tcW w:w="316" w:type="dxa"/>
            <w:tcBorders/>
            <w:shd w:fill="FFFFFF" w:val="cle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608,340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484,646</w:t>
            </w:r>
          </w:p>
        </w:tc>
        <w:tc>
          <w:tcPr>
            <w:tcW w:w="316" w:type="dxa"/>
            <w:tcBorders/>
            <w:shd w:fill="CFF0FC"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net assets </w:t>
            </w:r>
            <w:r>
              <w:rPr>
                <w:rFonts w:ascii="Times New Roman" w:hAnsi="Times New Roman"/>
                <w:color w:val="000000"/>
                <w:sz w:val="13"/>
              </w:rPr>
              <w:t>(6)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598,908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482,495</w:t>
            </w:r>
          </w:p>
        </w:tc>
        <w:tc>
          <w:tcPr>
            <w:tcW w:w="316" w:type="dxa"/>
            <w:tcBorders/>
            <w:shd w:fill="FFFFFF" w:val="cle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Ratios to average net assets: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w:t>
            </w:r>
            <w:r>
              <w:rPr>
                <w:rFonts w:ascii="Times New Roman" w:hAnsi="Times New Roman"/>
                <w:color w:val="000000"/>
                <w:sz w:val="13"/>
              </w:rPr>
              <w:t>(2)(4)(10)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investment income </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market value </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net asset value </w:t>
            </w:r>
            <w:r>
              <w:rPr>
                <w:rFonts w:ascii="Times New Roman" w:hAnsi="Times New Roman"/>
                <w:color w:val="000000"/>
                <w:sz w:val="13"/>
              </w:rPr>
              <w:t>(8)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Portfolio turnover ratio</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Data:</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5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Average debt outstanding </w:t>
            </w:r>
            <w:r>
              <w:rPr>
                <w:rFonts w:ascii="Times New Roman" w:hAnsi="Times New Roman"/>
                <w:color w:val="000000"/>
                <w:sz w:val="13"/>
              </w:rPr>
              <w:t>(7)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469,503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433,257</w:t>
            </w:r>
          </w:p>
        </w:tc>
        <w:tc>
          <w:tcPr>
            <w:tcW w:w="316" w:type="dxa"/>
            <w:tcBorders/>
            <w:shd w:fill="FFFFFF" w:val="clear"/>
            <w:vAlign w:val="center"/>
          </w:tcPr>
          <w:p>
            <w:pPr>
              <w:pStyle w:val="TableContents"/>
              <w:bidi w:val="0"/>
              <w:spacing w:before="0" w:after="283"/>
              <w:jc w:val="left"/>
              <w:rPr/>
            </w:pPr>
            <w:r>
              <w:rPr/>
              <w:t> </w:t>
            </w:r>
          </w:p>
        </w:tc>
      </w:tr>
      <w:tr>
        <w:trPr/>
        <w:tc>
          <w:tcPr>
            <w:tcW w:w="52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Average debt per share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316"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Weighted average per share data.</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Annualized with the exception of income tax (provision) benefit from realized gains on investments.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total expenses to average net assets ratio is calculated using (i) the “total expenses, net of base management waiver”, (ii) the “income tax provision (benefit)”, and (iii) the “income tax (provision) benefit from realized gains on investments” captions, as presented on the consolidated statements of operations.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net investment income to average net assets ratio is annualized and calculated using the net investment income caption as presented on the consolidated statements of operations, which includes incentive fee.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Average net assets is calculated as the average of the net asset balances as of each quarter end during the fiscal year and the prior year end.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Average debt outstanding is calculated as the average of the outstanding debt balances, including secured borrowings, as of each quarter end during the fiscal year and the prior year end.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(8)</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(9)</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Annualized.</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(10)</w:t>
      </w:r>
    </w:p>
    <w:p>
      <w:pPr>
        <w:pStyle w:val="TextBody"/>
        <w:bidi w:val="0"/>
        <w:jc w:val="both"/>
        <w:rPr>
          <w:rFonts w:ascii="Times New Roman" w:hAnsi="Times New Roman"/>
          <w:color w:val="000000"/>
          <w:sz w:val="16"/>
        </w:rPr>
      </w:pPr>
      <w:r>
        <w:rPr>
          <w:rFonts w:ascii="Times New Roman" w:hAnsi="Times New Roman"/>
          <w:color w:val="000000"/>
          <w:sz w:val="16"/>
        </w:rPr>
        <w:t>The following are schedules of supplemental expense ratios to average net assets:</w:t>
      </w:r>
    </w:p>
    <w:p>
      <w:pPr>
        <w:pStyle w:val="TextBody"/>
        <w:bidi w:val="0"/>
        <w:jc w:val="both"/>
        <w:rPr/>
      </w:pPr>
      <w:r>
        <w:rPr/>
        <w:t> </w:t>
      </w:r>
    </w:p>
    <w:tbl>
      <w:tblPr>
        <w:tblW w:w="6866" w:type="dxa"/>
        <w:jc w:val="left"/>
        <w:tblInd w:w="0" w:type="dxa"/>
        <w:tblLayout w:type="fixed"/>
        <w:tblCellMar>
          <w:top w:w="28" w:type="dxa"/>
          <w:left w:w="28" w:type="dxa"/>
          <w:bottom w:w="28" w:type="dxa"/>
          <w:right w:w="28" w:type="dxa"/>
        </w:tblCellMar>
      </w:tblPr>
      <w:tblGrid>
        <w:gridCol w:w="3616"/>
        <w:gridCol w:w="146"/>
        <w:gridCol w:w="248"/>
        <w:gridCol w:w="792"/>
        <w:gridCol w:w="460"/>
        <w:gridCol w:w="248"/>
        <w:gridCol w:w="248"/>
        <w:gridCol w:w="792"/>
        <w:gridCol w:w="316"/>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8"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6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vAlign w:val="center"/>
          </w:tcPr>
          <w:p>
            <w:pPr>
              <w:pStyle w:val="TableContents"/>
              <w:bidi w:val="0"/>
              <w:spacing w:before="0" w:after="283"/>
              <w:jc w:val="left"/>
              <w:rPr/>
            </w:pPr>
            <w:r>
              <w:rPr/>
              <w:t> </w:t>
            </w:r>
          </w:p>
        </w:tc>
        <w:tc>
          <w:tcPr>
            <w:tcW w:w="104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Expenses other than incentive fee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Incentive fee, net of incentive fee waiver </w:t>
            </w:r>
            <w:r>
              <w:rPr>
                <w:rFonts w:ascii="Times New Roman" w:hAnsi="Times New Roman"/>
                <w:color w:val="000000"/>
                <w:sz w:val="13"/>
              </w:rPr>
              <w:t>(9)</w:t>
            </w:r>
          </w:p>
        </w:tc>
        <w:tc>
          <w:tcPr>
            <w:tcW w:w="146" w:type="dxa"/>
            <w:tcBorders/>
            <w:shd w:fill="CCEEFF" w:val="clear"/>
            <w:vAlign w:val="center"/>
          </w:tcPr>
          <w:p>
            <w:pPr>
              <w:pStyle w:val="TableContents"/>
              <w:bidi w:val="0"/>
              <w:spacing w:before="0" w:after="283"/>
              <w:jc w:val="left"/>
              <w:rPr/>
            </w:pPr>
            <w:r>
              <w:rPr/>
              <w:t> </w:t>
            </w:r>
          </w:p>
        </w:tc>
        <w:tc>
          <w:tcPr>
            <w:tcW w:w="2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8" w:type="dxa"/>
            <w:tcBorders/>
            <w:shd w:fill="CCEEFF" w:val="clear"/>
            <w:vAlign w:val="center"/>
          </w:tcPr>
          <w:p>
            <w:pPr>
              <w:pStyle w:val="TableContents"/>
              <w:bidi w:val="0"/>
              <w:spacing w:before="0" w:after="283"/>
              <w:jc w:val="left"/>
              <w:rPr/>
            </w:pPr>
            <w:r>
              <w:rPr/>
              <w:t> </w:t>
            </w:r>
          </w:p>
        </w:tc>
        <w:tc>
          <w:tcPr>
            <w:tcW w:w="2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expenses </w:t>
            </w:r>
            <w:r>
              <w:rPr>
                <w:rFonts w:ascii="Times New Roman" w:hAnsi="Times New Roman"/>
                <w:color w:val="000000"/>
                <w:sz w:val="13"/>
              </w:rPr>
              <w:t>(2)(4)</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8"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7751" w:type="dxa"/>
        <w:jc w:val="left"/>
        <w:tblInd w:w="0" w:type="dxa"/>
        <w:tblLayout w:type="fixed"/>
        <w:tblCellMar>
          <w:top w:w="28" w:type="dxa"/>
          <w:left w:w="28" w:type="dxa"/>
          <w:bottom w:w="28" w:type="dxa"/>
          <w:right w:w="28" w:type="dxa"/>
        </w:tblCellMar>
      </w:tblPr>
      <w:tblGrid>
        <w:gridCol w:w="4501"/>
        <w:gridCol w:w="146"/>
        <w:gridCol w:w="248"/>
        <w:gridCol w:w="792"/>
        <w:gridCol w:w="460"/>
        <w:gridCol w:w="248"/>
        <w:gridCol w:w="248"/>
        <w:gridCol w:w="792"/>
        <w:gridCol w:w="31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8"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6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vAlign w:val="center"/>
          </w:tcPr>
          <w:p>
            <w:pPr>
              <w:pStyle w:val="TableContents"/>
              <w:bidi w:val="0"/>
              <w:spacing w:before="0" w:after="283"/>
              <w:jc w:val="left"/>
              <w:rPr/>
            </w:pPr>
            <w:r>
              <w:rPr/>
              <w:t> </w:t>
            </w:r>
          </w:p>
        </w:tc>
        <w:tc>
          <w:tcPr>
            <w:tcW w:w="104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before base management fee waiver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 management fee waiver </w:t>
            </w:r>
            <w:r>
              <w:rPr>
                <w:rFonts w:ascii="Times New Roman" w:hAnsi="Times New Roman"/>
                <w:color w:val="000000"/>
                <w:sz w:val="13"/>
              </w:rPr>
              <w:t>(9)</w:t>
            </w:r>
          </w:p>
        </w:tc>
        <w:tc>
          <w:tcPr>
            <w:tcW w:w="146" w:type="dxa"/>
            <w:tcBorders/>
            <w:shd w:fill="CCEEFF" w:val="clear"/>
            <w:vAlign w:val="center"/>
          </w:tcPr>
          <w:p>
            <w:pPr>
              <w:pStyle w:val="TableContents"/>
              <w:bidi w:val="0"/>
              <w:spacing w:before="0" w:after="283"/>
              <w:jc w:val="left"/>
              <w:rPr/>
            </w:pPr>
            <w:r>
              <w:rPr/>
              <w:t> </w:t>
            </w:r>
          </w:p>
        </w:tc>
        <w:tc>
          <w:tcPr>
            <w:tcW w:w="2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8" w:type="dxa"/>
            <w:tcBorders/>
            <w:shd w:fill="CCEEFF" w:val="clear"/>
            <w:vAlign w:val="center"/>
          </w:tcPr>
          <w:p>
            <w:pPr>
              <w:pStyle w:val="TableContents"/>
              <w:bidi w:val="0"/>
              <w:spacing w:before="0" w:after="283"/>
              <w:jc w:val="left"/>
              <w:rPr/>
            </w:pPr>
            <w:r>
              <w:rPr/>
              <w:t> </w:t>
            </w:r>
          </w:p>
        </w:tc>
        <w:tc>
          <w:tcPr>
            <w:tcW w:w="2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w:t>
            </w:r>
            <w:r>
              <w:rPr>
                <w:rFonts w:ascii="Times New Roman" w:hAnsi="Times New Roman"/>
                <w:color w:val="000000"/>
                <w:sz w:val="13"/>
              </w:rPr>
              <w:t>(2)(4)</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8"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(11)</w:t>
      </w:r>
    </w:p>
    <w:p>
      <w:pPr>
        <w:pStyle w:val="TextBody"/>
        <w:bidi w:val="0"/>
        <w:jc w:val="left"/>
        <w:rPr>
          <w:rFonts w:ascii="Times New Roman" w:hAnsi="Times New Roman"/>
          <w:color w:val="000000"/>
          <w:sz w:val="16"/>
        </w:rPr>
      </w:pPr>
      <w:r>
        <w:rPr>
          <w:rFonts w:ascii="Times New Roman" w:hAnsi="Times New Roman"/>
          <w:color w:val="000000"/>
          <w:sz w:val="16"/>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11. Subsequent Events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29, 2024, the Board declared a regular quarterly dividend of $0.43 per share and a supplemental dividend of $0.16 per share payable June 26, 2024, to stockholders of record as of June 19, 2024.</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2_mda"/>
      <w:bookmarkEnd w:id="14"/>
      <w:r>
        <w:rPr>
          <w:rFonts w:ascii="Times New Roman" w:hAnsi="Times New Roman"/>
          <w:b/>
          <w:color w:val="000000"/>
          <w:sz w:val="20"/>
        </w:rPr>
        <w:t>Item 2. Management’s Discussion and Analysis of Financial Condition and Results</w:t>
      </w:r>
      <w:r>
        <w:rPr>
          <w:rFonts w:ascii="Times New Roman" w:hAnsi="Times New Roman"/>
          <w:color w:val="000000"/>
          <w:sz w:val="20"/>
        </w:rPr>
        <w:t xml:space="preserve"> </w:t>
      </w:r>
      <w:r>
        <w:rPr>
          <w:rFonts w:ascii="Times New Roman" w:hAnsi="Times New Roman"/>
          <w:b/>
          <w:color w:val="000000"/>
          <w:sz w:val="20"/>
        </w:rPr>
        <w:t>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The following discussion and analysis of our financial condition and</w:t>
      </w:r>
      <w:r>
        <w:rPr>
          <w:rFonts w:ascii="Times New Roman" w:hAnsi="Times New Roman"/>
          <w:color w:val="000000"/>
          <w:sz w:val="20"/>
        </w:rPr>
        <w:t xml:space="preserve"> </w:t>
      </w:r>
      <w:r>
        <w:rPr>
          <w:rFonts w:ascii="Times New Roman" w:hAnsi="Times New Roman"/>
          <w:i/>
          <w:color w:val="000000"/>
          <w:sz w:val="20"/>
        </w:rPr>
        <w:t>results of operations should be read in conjunction with Fidus Investment Corporation’s consolidated financial statements and related notes appearing</w:t>
      </w:r>
      <w:r>
        <w:rPr>
          <w:rFonts w:ascii="Times New Roman" w:hAnsi="Times New Roman"/>
          <w:color w:val="000000"/>
          <w:sz w:val="20"/>
        </w:rPr>
        <w:t xml:space="preserve"> </w:t>
      </w:r>
      <w:r>
        <w:rPr>
          <w:rFonts w:ascii="Times New Roman" w:hAnsi="Times New Roman"/>
          <w:i/>
          <w:color w:val="000000"/>
          <w:sz w:val="20"/>
        </w:rPr>
        <w:t>in our annual report on Form 10-K for the year ended December 31, 2023, filed with the SEC on February 29, 2024. The</w:t>
      </w:r>
      <w:r>
        <w:rPr>
          <w:rFonts w:ascii="Times New Roman" w:hAnsi="Times New Roman"/>
          <w:color w:val="000000"/>
          <w:sz w:val="20"/>
        </w:rPr>
        <w:t xml:space="preserve"> </w:t>
      </w:r>
      <w:r>
        <w:rPr>
          <w:rFonts w:ascii="Times New Roman" w:hAnsi="Times New Roman"/>
          <w:i/>
          <w:color w:val="000000"/>
          <w:sz w:val="20"/>
        </w:rPr>
        <w:t>information contained in this section should also be read in conjunction with</w:t>
      </w:r>
      <w:r>
        <w:rPr>
          <w:rFonts w:ascii="Times New Roman" w:hAnsi="Times New Roman"/>
          <w:color w:val="000000"/>
          <w:sz w:val="20"/>
        </w:rPr>
        <w:t xml:space="preserve"> </w:t>
      </w:r>
      <w:r>
        <w:rPr>
          <w:rFonts w:ascii="Times New Roman" w:hAnsi="Times New Roman"/>
          <w:i/>
          <w:color w:val="000000"/>
          <w:sz w:val="20"/>
        </w:rPr>
        <w:t>our unaudited consolidated financial statements and related notes thereto</w:t>
      </w:r>
      <w:r>
        <w:rPr>
          <w:rFonts w:ascii="Times New Roman" w:hAnsi="Times New Roman"/>
          <w:color w:val="000000"/>
          <w:sz w:val="20"/>
        </w:rPr>
        <w:t xml:space="preserve"> </w:t>
      </w:r>
      <w:r>
        <w:rPr>
          <w:rFonts w:ascii="Times New Roman" w:hAnsi="Times New Roman"/>
          <w:i/>
          <w:color w:val="000000"/>
          <w:sz w:val="20"/>
        </w:rPr>
        <w:t>appearing elsewhere in this Quarterly Report on Form 10-Q.</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Except as otherwise specified, references to “we,” “us,” “our,” “Fidus” and “FIC” refer to Fidus Investment Corporation and its consolidated subsidiaries.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future operating results;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the financial and lending markets;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business prospects and the prospects of our portfolio companies, including our and their ability to achieve our respective objectives;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investments that we expect to make;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contractual arrangements and relationships with third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dependence of our future success on the general economy and its impact on the industries in which we invest;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 economic downturn and its impacts on the ability of our portfolio companies to operate and the investment opportunities available to us;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impact of geopolitical conditions, including the ongoing conflict between Ukraine and Russia, the ongoing conflicts in the Middle East, and U.S. and China relations, and its impact on financial market volatility, global economic markets, and various sectors, industries and markets for commodities globally;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our portfolio companies to achieve their objectives;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expected financing and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adequacy of our cash resources and working capital;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timing of cash flows, if any, from the operations of our portfolio companies;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the Investment Advisor to locate suitable investments for us and to monitor and administer our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our Investment Advisor to attract and retain highly talented professionals;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regulatory structure and tax treatment;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operate as a BDC and a RIC and Fund III to operate as an SBIC;</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form and amount of any dividend distributions;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interest rate volatility, including the replacement of LIBOR with alternate rates and high interest rates, and the elevated level of inflation on our business and portfolio companies;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valuation of any investments in portfolio companies, particularly those having no liquid trading market;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recover unrealized losses.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 economic downturn and significant disruptions to our portfolio companies, including supply chain disruptions and labor shortages, could impair our portfolio companies’ ability to continue to operate, which could lead to the loss of some or all of our investments in such portfolio companies;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contraction of available credit and/or an inability to access the equity markets could impair our lending and investment activities;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interest rate vo</w:t>
      </w:r>
      <w:r>
        <w:rPr>
          <w:rFonts w:ascii="Times New Roman" w:hAnsi="Times New Roman"/>
          <w:color w:val="000000"/>
          <w:sz w:val="20"/>
          <w:u w:val="single"/>
        </w:rPr>
        <w:t>l</w:t>
      </w:r>
      <w:r>
        <w:rPr>
          <w:rFonts w:ascii="Times New Roman" w:hAnsi="Times New Roman"/>
          <w:color w:val="000000"/>
          <w:sz w:val="20"/>
        </w:rPr>
        <w:t>atility, could adversely affect our results, particularly because we use leverage as part of our investment strategy;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alternative reference rates that have replaced LIBOR may not yield the same or similar economic results as LIBOR over the life of such transaction;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elevated level of inflation could adversely affect our business, results of operations and financial condition of our portfolio companies, which may, in turn, impact the valuation of such portfolio companies;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risks, uncertainties and other factors we identify in Item 1A. – Risk Factors contained in our Annual Report on Form 10-K for the year ended December 31, 2023, elsewhere in this Quarterly Report on Form 10-Q and in our other filings with the SEC.</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Times New Roman" w:hAnsi="Times New Roman"/>
          <w:i/>
          <w:color w:val="000000"/>
          <w:sz w:val="20"/>
        </w:rPr>
        <w:t>Item 1.A – Risk Factors</w:t>
      </w:r>
      <w:r>
        <w:rPr>
          <w:rFonts w:ascii="Times New Roman" w:hAnsi="Times New Roman"/>
          <w:color w:val="000000"/>
          <w:sz w:val="20"/>
        </w:rPr>
        <w:t xml:space="preserve"> contained in our Annual Report on Form 10-K for the year ended December 31, 2023, filed with the SEC on February 29, 2024. You should not place undue reliance on these forward-looking statements, which apply only as of the date of this Quarterly Report on Form 10-Q.</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General and Corporate Structure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FIC was formed as a Maryland corporation on February 14, 2011. We completed our initial public offering, or IPO, in June 2011. 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Fund II and Fund III received their SBIC licenses on May 28, 2013 and March 21, 2019, respectively. We plan to continue to operate Fund III as a SBIC, subject to SBA approval, and to utilize the proceeds of the sale of SBA-guaranteed debentures to enhance returns to our stockholders. Fund II completed its wind-down plan, can no longer issue additional SBA debentures, and relinquished its SBIC license on March 7, 2024, which remains subject to the SBA's approval. We have also made, and continue to make, investments directly through FIC. We believe that utilizing FIC and Fund III as investment vehicles provides us with access to a broader array of investment opportunities.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certain wholly-owned subsidiaries (the “Taxable Subsidiaries”), each of which generally holds one or more of our portfolio investments listed on the consolidated schedules of investments, that have elected to be treated as corporations for U.S. federal income tax purposes and are thus subject to U.S. federal income tax at corporate rates.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Investments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pStyle w:val="TextBody"/>
        <w:bidi w:val="0"/>
        <w:spacing w:before="0" w:after="180"/>
        <w:jc w:val="both"/>
        <w:rPr>
          <w:rFonts w:ascii="Times New Roman" w:hAnsi="Times New Roman"/>
          <w:sz w:val="20"/>
        </w:rPr>
      </w:pPr>
      <w:r>
        <w:rPr>
          <w:rFonts w:ascii="Times New Roman" w:hAnsi="Times New Roman"/>
          <w:i/>
          <w:color w:val="000000"/>
          <w:sz w:val="20"/>
        </w:rPr>
        <w:t>First Lien Debt.</w:t>
      </w:r>
      <w:r>
        <w:rPr>
          <w:rFonts w:ascii="Times New Roman" w:hAnsi="Times New Roman"/>
          <w:color w:val="000000"/>
          <w:sz w:val="20"/>
        </w:rPr>
        <w:t xml:space="preserve"> We structure some of our investments as senior secured or first lien debt investments. First lien debt 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PRIME or SOFR floor.</w:t>
      </w:r>
    </w:p>
    <w:p>
      <w:pPr>
        <w:pStyle w:val="TextBody"/>
        <w:bidi w:val="0"/>
        <w:spacing w:before="0" w:after="180"/>
        <w:jc w:val="both"/>
        <w:rPr>
          <w:rFonts w:ascii="Times New Roman" w:hAnsi="Times New Roman"/>
          <w:sz w:val="20"/>
        </w:rPr>
      </w:pPr>
      <w:r>
        <w:rPr>
          <w:rFonts w:ascii="Times New Roman" w:hAnsi="Times New Roman"/>
          <w:i/>
          <w:color w:val="000000"/>
          <w:sz w:val="20"/>
        </w:rPr>
        <w:t>Second Lien Debt.</w:t>
      </w:r>
      <w:r>
        <w:rPr>
          <w:rFonts w:ascii="Times New Roman" w:hAnsi="Times New Roman"/>
          <w:color w:val="000000"/>
          <w:sz w:val="20"/>
        </w:rPr>
        <w:t xml:space="preserve"> Some of our debt investments take the form of second lien debt, which includes senior subordinated notes. Second lien 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 </w:t>
      </w:r>
    </w:p>
    <w:p>
      <w:pPr>
        <w:pStyle w:val="TextBody"/>
        <w:bidi w:val="0"/>
        <w:spacing w:before="0" w:after="180"/>
        <w:jc w:val="both"/>
        <w:rPr>
          <w:rFonts w:ascii="Times New Roman" w:hAnsi="Times New Roman"/>
          <w:sz w:val="20"/>
        </w:rPr>
      </w:pPr>
      <w:r>
        <w:rPr>
          <w:rFonts w:ascii="Times New Roman" w:hAnsi="Times New Roman"/>
          <w:i/>
          <w:color w:val="000000"/>
          <w:sz w:val="20"/>
        </w:rPr>
        <w:t>Subordinated Debt.</w:t>
      </w:r>
      <w:r>
        <w:rPr>
          <w:rFonts w:ascii="Times New Roman" w:hAnsi="Times New Roman"/>
          <w:color w:val="000000"/>
          <w:sz w:val="20"/>
        </w:rPr>
        <w:t xml:space="preserve"> These investments are typically structured as unsecured, subordinated notes. Structurally, subordinated debt usually ranks 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pStyle w:val="TextBody"/>
        <w:bidi w:val="0"/>
        <w:spacing w:before="240" w:after="180"/>
        <w:jc w:val="both"/>
        <w:rPr>
          <w:rFonts w:ascii="Times New Roman" w:hAnsi="Times New Roman"/>
          <w:sz w:val="20"/>
        </w:rPr>
      </w:pPr>
      <w:r>
        <w:rPr>
          <w:rFonts w:ascii="Times New Roman" w:hAnsi="Times New Roman"/>
          <w:i/>
          <w:color w:val="000000"/>
          <w:sz w:val="20"/>
        </w:rPr>
        <w:t>Equity Securities</w:t>
      </w:r>
      <w:r>
        <w:rPr>
          <w:rFonts w:ascii="Times New Roman" w:hAnsi="Times New Roman"/>
          <w:color w:val="000000"/>
          <w:sz w:val="20"/>
        </w:rPr>
        <w:t>. Our equity investments typically consist of either a direct minority equity investment in common or preferred stock or 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pStyle w:val="TextBody"/>
        <w:bidi w:val="0"/>
        <w:spacing w:before="180" w:after="283"/>
        <w:jc w:val="both"/>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We generate revenue in the form of interest and fee income on debt investments and dividends, if any, on equity investments. Our debt 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Expenses</w:t>
      </w:r>
      <w:r>
        <w:rPr>
          <w:rFonts w:ascii="Times New Roman" w:hAnsi="Times New Roman"/>
          <w:color w:val="000000"/>
          <w:sz w:val="20"/>
        </w:rPr>
        <w:t xml:space="preserve">: All investment professionals of the Investment Advisor and/or its affiliates, when and to the extent engaged in providing investment 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organization;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calculating our net asset value (including the cost and expenses of any independent valuation firm);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interest payable on debt, if any, incurred to finance our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offerings of our common stock and other securities;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advisory fees and management fees;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transfer agent, dividend agent and custodial fees and expenses;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federal and state registration fees;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costs of registration and listing our shares on any securities exchange;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U.S. federal, state and local taxes;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Independent Directors’ fees and expenses;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of preparing and filing reports or other documents required by the SEC or other regulators including printing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of any reports, proxy statements or other notices to stockholders, including printing and mailing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allocable portion of any fidelity bond, directors and officers/errors and omissions liability insurance, and any other insurance premiums;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direct costs and expenses of administration, including printing, mailing, long distance telephone, copying, secretarial and other staff, independent auditors and outside legal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proxy voting expenses;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all other expenses reasonably incurred by us or the Investment Advisor in connection with administering our business.</w:t>
      </w:r>
    </w:p>
    <w:p>
      <w:pPr>
        <w:pStyle w:val="TextBody"/>
        <w:bidi w:val="0"/>
        <w:spacing w:before="180" w:after="283"/>
        <w:jc w:val="left"/>
        <w:rPr>
          <w:rFonts w:ascii="Times New Roman" w:hAnsi="Times New Roman"/>
          <w:sz w:val="20"/>
        </w:rPr>
      </w:pPr>
      <w:r>
        <w:rPr>
          <w:rFonts w:ascii="Times New Roman" w:hAnsi="Times New Roman"/>
          <w:b/>
          <w:color w:val="000000"/>
          <w:sz w:val="20"/>
        </w:rPr>
        <w:t>Portfolio Composition, Investment Activity and Yield</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three months ended March 31, 2024 and 2023, we invested $145.9 million and $51.5 million, respectively, in debt and equity investments including seven and three new portfolio companies, respectively. During the three months ended March 31, 2024 and 2023, we received proceeds from sales or repayments, including principal, return of capital dividends and net realized gains (losses), of $60.2 million and $15.9 million, respectively, including an exit of one and one portfolio companies, respectively. The following table summarizes purchases of investments and sales and repayments of investments by type for the three months ended March 31, 2024 and 2023 (dollars in millions).</w:t>
      </w:r>
    </w:p>
    <w:tbl>
      <w:tblPr>
        <w:tblW w:w="9957" w:type="dxa"/>
        <w:jc w:val="left"/>
        <w:tblInd w:w="0" w:type="dxa"/>
        <w:tblLayout w:type="fixed"/>
        <w:tblCellMar>
          <w:top w:w="28" w:type="dxa"/>
          <w:left w:w="28" w:type="dxa"/>
          <w:bottom w:w="28" w:type="dxa"/>
          <w:right w:w="28" w:type="dxa"/>
        </w:tblCellMar>
      </w:tblPr>
      <w:tblGrid>
        <w:gridCol w:w="1426"/>
        <w:gridCol w:w="146"/>
        <w:gridCol w:w="196"/>
        <w:gridCol w:w="511"/>
        <w:gridCol w:w="146"/>
        <w:gridCol w:w="146"/>
        <w:gridCol w:w="146"/>
        <w:gridCol w:w="511"/>
        <w:gridCol w:w="241"/>
        <w:gridCol w:w="146"/>
        <w:gridCol w:w="146"/>
        <w:gridCol w:w="196"/>
        <w:gridCol w:w="421"/>
        <w:gridCol w:w="146"/>
        <w:gridCol w:w="146"/>
        <w:gridCol w:w="146"/>
        <w:gridCol w:w="511"/>
        <w:gridCol w:w="241"/>
        <w:gridCol w:w="146"/>
        <w:gridCol w:w="146"/>
        <w:gridCol w:w="196"/>
        <w:gridCol w:w="421"/>
        <w:gridCol w:w="146"/>
        <w:gridCol w:w="146"/>
        <w:gridCol w:w="146"/>
        <w:gridCol w:w="511"/>
        <w:gridCol w:w="241"/>
        <w:gridCol w:w="146"/>
        <w:gridCol w:w="146"/>
        <w:gridCol w:w="196"/>
        <w:gridCol w:w="421"/>
        <w:gridCol w:w="146"/>
        <w:gridCol w:w="146"/>
        <w:gridCol w:w="146"/>
        <w:gridCol w:w="511"/>
        <w:gridCol w:w="241"/>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Purchases of Investments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6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Sales and Repayments of Investments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53"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24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w:t>
            </w:r>
          </w:p>
        </w:tc>
        <w:tc>
          <w:tcPr>
            <w:tcW w:w="24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w:t>
            </w:r>
          </w:p>
        </w:tc>
        <w:tc>
          <w:tcPr>
            <w:tcW w:w="24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w:t>
            </w:r>
          </w:p>
        </w:tc>
        <w:tc>
          <w:tcPr>
            <w:tcW w:w="24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CEE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color w:val="000000"/>
              </w:rPr>
            </w:pPr>
            <w:r>
              <w:rPr>
                <w:color w:val="000000"/>
              </w:rPr>
              <w:t>—</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14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For the three months ended March 31, 2024 and 2023, first lien debt includes unitranche securities, which account for 36.5% and 40.3% of purchases, respectively. For the three months ended March 31, 2024 and 2023, first lien debt includes unitranche securities, which account for 3.0% and 5.9% of repayments, respectively.</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March 31, 2024, the fair value of our investment portfolio totaled $1,048.1 million and consisted of 87 active portfolio companies and four portfolio companies that have sold their underlying operations. As of March 31, 2024, 48 portfolio companies’ debt investments bore interest at a variable rate, which represented $664.6 million, or 72.5%, of our debt investment portfolio on a fair value basis, and the remainder of our debt investment portfolio was comprised of fixed-rate investments. Overall, the portfolio had net unrealized appreciation of $22.5 million as of March 31, 2024. As of March 31, 2024, our average active portfolio company investment at amortized cost was $11.8 million, which excludes investments in four portfolio companies that have sold their underlying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2023, the fair value of our investment portfolio totaled $957.9 million and consisted of 81 active portfolio companies and one portfolio company that has sold its underlying operations. As of December 31, 2023, 46 portfolio companies’ debt investments bore interest at a variable rate, which represented $629.3 million, or 75.6%, of our debt investment portfolio on a fair value basis, and the remainder of our debt investment portfolio was comprised of fixed-rate investments. Overall, the portfolio had net unrealized appreciation of $21.3 million as of December 31, 2023. As of December 31, 2023, our average active portfolio company investment at amortized cost was $11.6 million, which excludes an investment in one portfolio company that has sold its underlying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weighted average yield on debt investments as of March 31, 2024 and December 31, 2023 was 14.0% and 14.2%,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 if any.</w:t>
      </w:r>
    </w:p>
    <w:p>
      <w:pPr>
        <w:pStyle w:val="TextBody"/>
        <w:bidi w:val="0"/>
        <w:spacing w:before="180" w:after="120"/>
        <w:jc w:val="both"/>
        <w:rPr>
          <w:rFonts w:ascii="Times New Roman" w:hAnsi="Times New Roman"/>
          <w:color w:val="000000"/>
          <w:sz w:val="20"/>
        </w:rPr>
      </w:pPr>
      <w:r>
        <w:rPr>
          <w:rFonts w:ascii="Times New Roman" w:hAnsi="Times New Roman"/>
          <w:color w:val="000000"/>
          <w:sz w:val="20"/>
        </w:rPr>
        <w:t>The following table shows the portfolio composition by investment type at fair value and cost and as a percentage of total investments (dollars in millions):</w:t>
      </w:r>
    </w:p>
    <w:tbl>
      <w:tblPr>
        <w:tblW w:w="10205" w:type="dxa"/>
        <w:jc w:val="left"/>
        <w:tblInd w:w="0" w:type="dxa"/>
        <w:tblLayout w:type="fixed"/>
        <w:tblCellMar>
          <w:top w:w="28" w:type="dxa"/>
          <w:left w:w="28" w:type="dxa"/>
          <w:bottom w:w="28" w:type="dxa"/>
          <w:right w:w="28" w:type="dxa"/>
        </w:tblCellMar>
      </w:tblPr>
      <w:tblGrid>
        <w:gridCol w:w="1134"/>
        <w:gridCol w:w="146"/>
        <w:gridCol w:w="196"/>
        <w:gridCol w:w="646"/>
        <w:gridCol w:w="146"/>
        <w:gridCol w:w="146"/>
        <w:gridCol w:w="146"/>
        <w:gridCol w:w="511"/>
        <w:gridCol w:w="241"/>
        <w:gridCol w:w="146"/>
        <w:gridCol w:w="146"/>
        <w:gridCol w:w="196"/>
        <w:gridCol w:w="511"/>
        <w:gridCol w:w="146"/>
        <w:gridCol w:w="146"/>
        <w:gridCol w:w="146"/>
        <w:gridCol w:w="511"/>
        <w:gridCol w:w="241"/>
        <w:gridCol w:w="146"/>
        <w:gridCol w:w="146"/>
        <w:gridCol w:w="196"/>
        <w:gridCol w:w="646"/>
        <w:gridCol w:w="146"/>
        <w:gridCol w:w="146"/>
        <w:gridCol w:w="146"/>
        <w:gridCol w:w="511"/>
        <w:gridCol w:w="241"/>
        <w:gridCol w:w="146"/>
        <w:gridCol w:w="146"/>
        <w:gridCol w:w="196"/>
        <w:gridCol w:w="511"/>
        <w:gridCol w:w="146"/>
        <w:gridCol w:w="146"/>
        <w:gridCol w:w="146"/>
        <w:gridCol w:w="511"/>
        <w:gridCol w:w="241"/>
        <w:gridCol w:w="191"/>
      </w:tblGrid>
      <w:tr>
        <w:trPr/>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34"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vAlign w:val="center"/>
          </w:tcPr>
          <w:p>
            <w:pPr>
              <w:pStyle w:val="TableContents"/>
              <w:bidi w:val="0"/>
              <w:spacing w:before="0" w:after="283"/>
              <w:jc w:val="left"/>
              <w:rPr/>
            </w:pPr>
            <w:r>
              <w:rPr/>
              <w:t> </w:t>
            </w:r>
          </w:p>
        </w:tc>
      </w:tr>
      <w:tr>
        <w:trPr/>
        <w:tc>
          <w:tcPr>
            <w:tcW w:w="113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3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24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13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3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13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(1) Includes unitranche investments, which account for 37.3% and 38.0% of our portfolio on a fair value and cost basis as of March 31, 2024, respectively. Includes unitranche investments, which account for 37.6% and 38.5% of our portfolio on a fair value and cost basis as of December 31, 2023, respectively.</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tbl>
      <w:tblPr>
        <w:tblW w:w="10192" w:type="dxa"/>
        <w:jc w:val="left"/>
        <w:tblInd w:w="0" w:type="dxa"/>
        <w:tblLayout w:type="fixed"/>
        <w:tblCellMar>
          <w:top w:w="28" w:type="dxa"/>
          <w:left w:w="28" w:type="dxa"/>
          <w:bottom w:w="28" w:type="dxa"/>
          <w:right w:w="28" w:type="dxa"/>
        </w:tblCellMar>
      </w:tblPr>
      <w:tblGrid>
        <w:gridCol w:w="1021"/>
        <w:gridCol w:w="146"/>
        <w:gridCol w:w="196"/>
        <w:gridCol w:w="646"/>
        <w:gridCol w:w="146"/>
        <w:gridCol w:w="146"/>
        <w:gridCol w:w="146"/>
        <w:gridCol w:w="511"/>
        <w:gridCol w:w="241"/>
        <w:gridCol w:w="146"/>
        <w:gridCol w:w="146"/>
        <w:gridCol w:w="196"/>
        <w:gridCol w:w="511"/>
        <w:gridCol w:w="146"/>
        <w:gridCol w:w="146"/>
        <w:gridCol w:w="146"/>
        <w:gridCol w:w="511"/>
        <w:gridCol w:w="241"/>
        <w:gridCol w:w="146"/>
        <w:gridCol w:w="146"/>
        <w:gridCol w:w="196"/>
        <w:gridCol w:w="646"/>
        <w:gridCol w:w="146"/>
        <w:gridCol w:w="146"/>
        <w:gridCol w:w="146"/>
        <w:gridCol w:w="511"/>
        <w:gridCol w:w="241"/>
        <w:gridCol w:w="146"/>
        <w:gridCol w:w="146"/>
        <w:gridCol w:w="196"/>
        <w:gridCol w:w="511"/>
        <w:gridCol w:w="146"/>
        <w:gridCol w:w="146"/>
        <w:gridCol w:w="146"/>
        <w:gridCol w:w="511"/>
        <w:gridCol w:w="241"/>
        <w:gridCol w:w="291"/>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0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0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24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0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24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0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24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0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24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10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The following table shows the detailed industry composition of our portfolio at fair value and cost as a percentage of total investments: </w:t>
      </w:r>
    </w:p>
    <w:tbl>
      <w:tblPr>
        <w:tblW w:w="8500" w:type="dxa"/>
        <w:jc w:val="left"/>
        <w:tblInd w:w="0" w:type="dxa"/>
        <w:tblLayout w:type="fixed"/>
        <w:tblCellMar>
          <w:top w:w="28" w:type="dxa"/>
          <w:left w:w="28" w:type="dxa"/>
          <w:bottom w:w="28" w:type="dxa"/>
          <w:right w:w="28" w:type="dxa"/>
        </w:tblCellMar>
      </w:tblPr>
      <w:tblGrid>
        <w:gridCol w:w="2701"/>
        <w:gridCol w:w="146"/>
        <w:gridCol w:w="190"/>
        <w:gridCol w:w="665"/>
        <w:gridCol w:w="241"/>
        <w:gridCol w:w="226"/>
        <w:gridCol w:w="242"/>
        <w:gridCol w:w="853"/>
        <w:gridCol w:w="241"/>
        <w:gridCol w:w="226"/>
        <w:gridCol w:w="190"/>
        <w:gridCol w:w="665"/>
        <w:gridCol w:w="241"/>
        <w:gridCol w:w="146"/>
        <w:gridCol w:w="242"/>
        <w:gridCol w:w="853"/>
        <w:gridCol w:w="24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left"/>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Information Technology Services</w:t>
            </w:r>
          </w:p>
        </w:tc>
        <w:tc>
          <w:tcPr>
            <w:tcW w:w="1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24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24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24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24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Services</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Component Manufacturing</w:t>
            </w:r>
          </w:p>
        </w:tc>
        <w:tc>
          <w:tcPr>
            <w:tcW w:w="1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Products</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Transportation Services</w:t>
            </w:r>
          </w:p>
        </w:tc>
        <w:tc>
          <w:tcPr>
            <w:tcW w:w="1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Retail</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Utilities: Services</w:t>
            </w:r>
          </w:p>
        </w:tc>
        <w:tc>
          <w:tcPr>
            <w:tcW w:w="1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Products Manufacturing</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Specialty Distribution</w:t>
            </w:r>
          </w:p>
        </w:tc>
        <w:tc>
          <w:tcPr>
            <w:tcW w:w="1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Services</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Services</w:t>
            </w:r>
          </w:p>
        </w:tc>
        <w:tc>
          <w:tcPr>
            <w:tcW w:w="1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Environmental Industries</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Promotional Products</w:t>
            </w:r>
          </w:p>
        </w:tc>
        <w:tc>
          <w:tcPr>
            <w:tcW w:w="1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Aerospace &amp; Defense Manufacturing</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Products</w:t>
            </w:r>
          </w:p>
        </w:tc>
        <w:tc>
          <w:tcPr>
            <w:tcW w:w="1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Oil &amp; Gas Services</w:t>
            </w:r>
          </w:p>
        </w:tc>
        <w:tc>
          <w:tcPr>
            <w:tcW w:w="14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 Cleaning &amp; Coatings</w:t>
            </w:r>
          </w:p>
        </w:tc>
        <w:tc>
          <w:tcPr>
            <w:tcW w:w="14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Restaurants</w:t>
            </w:r>
          </w:p>
        </w:tc>
        <w:tc>
          <w:tcPr>
            <w:tcW w:w="14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CEE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(1) Percentage is less than 0.1% of respective total.</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Portfolio Asset Quality</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4 is used for investments performing materially below expectations and the risk has increased materially since origination. The investment has the potential for some loss of investment return, but we expect no loss of principal.</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Investment Rating 5 is used for investments performing substantially below our expectations and the risks have increased substantially since origination. We expect some loss of principal.</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also have observed, and continue to observe, supply chain disruptions, labor and resource shortages, commodity inflation, elements of financial market instability (including high interest rates), an uncertain economic outlook for the United States (which may include a recession), and elements of geopolitical instability (including the ongoing war in Ukraine and U.S. and China relations and ongoing conflict in the Middle East). In the event that the U.S. economy enters into a protracted recession, it is possible that the results of certain U.S. middle market companies could experience deterioration. We are closely monitoring the effect of such market volatility may have on our portfolio companies and our investment activities. We also are maintaining close communications with our portfolio companies and have also increased oversight of credits in vulnerable industries to mitigate any decline in loan performance and reduce credit risk.</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shows the distribution of our investments on the 1 to 5 investment rating scale at fair value and cost as of March 31, 2024 and December 31, 2023 (dollars in millions):</w:t>
      </w:r>
    </w:p>
    <w:tbl>
      <w:tblPr>
        <w:tblW w:w="10205" w:type="dxa"/>
        <w:jc w:val="left"/>
        <w:tblInd w:w="0" w:type="dxa"/>
        <w:tblLayout w:type="fixed"/>
        <w:tblCellMar>
          <w:top w:w="28" w:type="dxa"/>
          <w:left w:w="28" w:type="dxa"/>
          <w:bottom w:w="28" w:type="dxa"/>
          <w:right w:w="28" w:type="dxa"/>
        </w:tblCellMar>
      </w:tblPr>
      <w:tblGrid>
        <w:gridCol w:w="1134"/>
        <w:gridCol w:w="146"/>
        <w:gridCol w:w="196"/>
        <w:gridCol w:w="646"/>
        <w:gridCol w:w="146"/>
        <w:gridCol w:w="146"/>
        <w:gridCol w:w="146"/>
        <w:gridCol w:w="511"/>
        <w:gridCol w:w="241"/>
        <w:gridCol w:w="146"/>
        <w:gridCol w:w="146"/>
        <w:gridCol w:w="196"/>
        <w:gridCol w:w="511"/>
        <w:gridCol w:w="146"/>
        <w:gridCol w:w="146"/>
        <w:gridCol w:w="146"/>
        <w:gridCol w:w="511"/>
        <w:gridCol w:w="241"/>
        <w:gridCol w:w="146"/>
        <w:gridCol w:w="146"/>
        <w:gridCol w:w="196"/>
        <w:gridCol w:w="646"/>
        <w:gridCol w:w="146"/>
        <w:gridCol w:w="146"/>
        <w:gridCol w:w="146"/>
        <w:gridCol w:w="511"/>
        <w:gridCol w:w="241"/>
        <w:gridCol w:w="146"/>
        <w:gridCol w:w="146"/>
        <w:gridCol w:w="196"/>
        <w:gridCol w:w="511"/>
        <w:gridCol w:w="146"/>
        <w:gridCol w:w="146"/>
        <w:gridCol w:w="146"/>
        <w:gridCol w:w="511"/>
        <w:gridCol w:w="241"/>
        <w:gridCol w:w="191"/>
      </w:tblGrid>
      <w:tr>
        <w:trPr/>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8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3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vAlign w:val="center"/>
          </w:tcPr>
          <w:p>
            <w:pPr>
              <w:pStyle w:val="TableContents"/>
              <w:bidi w:val="0"/>
              <w:spacing w:before="0" w:after="283"/>
              <w:jc w:val="left"/>
              <w:rPr/>
            </w:pPr>
            <w:r>
              <w:rPr/>
              <w:t> </w:t>
            </w:r>
          </w:p>
        </w:tc>
      </w:tr>
      <w:tr>
        <w:trPr/>
        <w:tc>
          <w:tcPr>
            <w:tcW w:w="113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3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24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13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3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13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Based on our investment rating system, the weighted average rating of our portfolio as of March 31, 2024 and December 31, 2023 was 2.0 and 2.0, respectively, on a fair value basis and 2.2 and 2.2, respectively, on a cost basis.</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Non-Accrual</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March 31, 2024 and December 31, 2023, we had debt investments in three portfolio companies on non-accrual status (dollars in millions), respectively.</w:t>
      </w:r>
    </w:p>
    <w:tbl>
      <w:tblPr>
        <w:tblW w:w="4473" w:type="dxa"/>
        <w:jc w:val="left"/>
        <w:tblInd w:w="0" w:type="dxa"/>
        <w:tblLayout w:type="fixed"/>
        <w:tblCellMar>
          <w:top w:w="28" w:type="dxa"/>
          <w:left w:w="28" w:type="dxa"/>
          <w:bottom w:w="28" w:type="dxa"/>
          <w:right w:w="28" w:type="dxa"/>
        </w:tblCellMar>
      </w:tblPr>
      <w:tblGrid>
        <w:gridCol w:w="1126"/>
        <w:gridCol w:w="146"/>
        <w:gridCol w:w="166"/>
        <w:gridCol w:w="346"/>
        <w:gridCol w:w="146"/>
        <w:gridCol w:w="146"/>
        <w:gridCol w:w="166"/>
        <w:gridCol w:w="316"/>
        <w:gridCol w:w="146"/>
        <w:gridCol w:w="146"/>
        <w:gridCol w:w="166"/>
        <w:gridCol w:w="346"/>
        <w:gridCol w:w="146"/>
        <w:gridCol w:w="146"/>
        <w:gridCol w:w="166"/>
        <w:gridCol w:w="316"/>
        <w:gridCol w:w="146"/>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gridSpan w:val="2"/>
            <w:tcBorders/>
            <w:shd w:fill="FFFFFF" w:val="cle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Fair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gridSpan w:val="2"/>
            <w:tcBorders/>
            <w:shd w:fill="FFFFFF" w:val="cle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Fair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1"/>
              </w:rPr>
            </w:pPr>
            <w:r>
              <w:rPr>
                <w:rFonts w:ascii="Times New Roman" w:hAnsi="Times New Roman"/>
                <w:b/>
                <w:color w:val="000000"/>
                <w:sz w:val="11"/>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US GreenFiber, LLC</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16" w:type="dxa"/>
            <w:tcBorders/>
            <w:shd w:fill="FFFFFF" w:val="cle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16" w:type="dxa"/>
            <w:tcBorders/>
            <w:shd w:fill="FFFFFF" w:val="cle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5.2</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26" w:type="dxa"/>
            <w:tcBorders/>
            <w:shd w:fill="CCEE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Suited Connector LLC</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4.9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15.9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4.3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15.9</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Virtex Enterprises, LP</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26" w:type="dxa"/>
            <w:tcBorders/>
            <w:shd w:fill="CCEE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Total</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10.1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32.0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9.6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3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1"/>
              </w:rPr>
            </w:pPr>
            <w:r>
              <w:rPr>
                <w:rFonts w:ascii="Times New Roman" w:hAnsi="Times New Roman"/>
                <w:color w:val="000000"/>
                <w:sz w:val="11"/>
              </w:rPr>
              <w:t>32.0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180"/>
        <w:jc w:val="both"/>
        <w:rPr>
          <w:rFonts w:ascii="Times New Roman" w:hAnsi="Times New Roman"/>
          <w:sz w:val="20"/>
        </w:rPr>
      </w:pPr>
      <w:r>
        <w:rPr>
          <w:rFonts w:ascii="Times New Roman" w:hAnsi="Times New Roman"/>
          <w:b/>
          <w:color w:val="000000"/>
          <w:sz w:val="20"/>
        </w:rPr>
        <w:t>Discussion and Analysis of Results of Operations</w:t>
      </w:r>
      <w:r>
        <w:rPr>
          <w:rFonts w:ascii="Times New Roman" w:hAnsi="Times New Roman"/>
          <w:color w:val="000000"/>
          <w:sz w:val="20"/>
        </w:rPr>
        <w:t xml:space="preserve">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Comparison of three months ended March 31, 2024 and 2023</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Below is a summary of the changes in total investment income for the three months ended March 31, 2024 as compared to the same period in 2023 (dollars in millions, percent change calculated based on underlying dollar amounts in thousands):</w:t>
      </w:r>
    </w:p>
    <w:tbl>
      <w:tblPr>
        <w:tblW w:w="8216" w:type="dxa"/>
        <w:jc w:val="left"/>
        <w:tblInd w:w="0" w:type="dxa"/>
        <w:tblLayout w:type="fixed"/>
        <w:tblCellMar>
          <w:top w:w="28" w:type="dxa"/>
          <w:left w:w="28" w:type="dxa"/>
          <w:bottom w:w="28" w:type="dxa"/>
          <w:right w:w="28" w:type="dxa"/>
        </w:tblCellMar>
      </w:tblPr>
      <w:tblGrid>
        <w:gridCol w:w="2851"/>
        <w:gridCol w:w="146"/>
        <w:gridCol w:w="308"/>
        <w:gridCol w:w="662"/>
        <w:gridCol w:w="229"/>
        <w:gridCol w:w="229"/>
        <w:gridCol w:w="308"/>
        <w:gridCol w:w="662"/>
        <w:gridCol w:w="146"/>
        <w:gridCol w:w="146"/>
        <w:gridCol w:w="287"/>
        <w:gridCol w:w="509"/>
        <w:gridCol w:w="146"/>
        <w:gridCol w:w="146"/>
        <w:gridCol w:w="256"/>
        <w:gridCol w:w="899"/>
        <w:gridCol w:w="28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shd w:fill="FFFFFF" w:val="clear"/>
            <w:vAlign w:val="center"/>
          </w:tcPr>
          <w:p>
            <w:pPr>
              <w:pStyle w:val="TableContents"/>
              <w:bidi w:val="0"/>
              <w:spacing w:before="0" w:after="283"/>
              <w:jc w:val="center"/>
              <w:rPr/>
            </w:pPr>
            <w:r>
              <w:rPr/>
              <w:t> </w:t>
            </w:r>
          </w:p>
        </w:tc>
        <w:tc>
          <w:tcPr>
            <w:tcW w:w="286"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CEE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income</w:t>
            </w:r>
          </w:p>
        </w:tc>
        <w:tc>
          <w:tcPr>
            <w:tcW w:w="146" w:type="dxa"/>
            <w:tcBorders/>
            <w:shd w:fill="CCEEFF" w:val="clear"/>
            <w:vAlign w:val="center"/>
          </w:tcPr>
          <w:p>
            <w:pPr>
              <w:pStyle w:val="TableContents"/>
              <w:bidi w:val="0"/>
              <w:spacing w:before="0" w:after="283"/>
              <w:jc w:val="both"/>
              <w:rPr/>
            </w:pPr>
            <w:r>
              <w:rPr/>
              <w:t> </w:t>
            </w:r>
          </w:p>
        </w:tc>
        <w:tc>
          <w:tcPr>
            <w:tcW w:w="308"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229"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87"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28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FFFFFF" w:val="clear"/>
            <w:vAlign w:val="center"/>
          </w:tcPr>
          <w:p>
            <w:pPr>
              <w:pStyle w:val="TableContents"/>
              <w:bidi w:val="0"/>
              <w:spacing w:before="0" w:after="283"/>
              <w:jc w:val="both"/>
              <w:rPr/>
            </w:pPr>
            <w:r>
              <w:rPr/>
              <w:t> </w:t>
            </w:r>
          </w:p>
        </w:tc>
        <w:tc>
          <w:tcPr>
            <w:tcW w:w="308"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2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87"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221.7</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CCEE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Dividend income</w:t>
            </w:r>
          </w:p>
        </w:tc>
        <w:tc>
          <w:tcPr>
            <w:tcW w:w="146"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29"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55" w:type="dxa"/>
            <w:gridSpan w:val="2"/>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286" w:type="dxa"/>
            <w:tcBorders/>
            <w:shd w:fill="CCEEFF" w:val="clear"/>
            <w:vAlign w:val="center"/>
          </w:tcPr>
          <w:p>
            <w:pPr>
              <w:pStyle w:val="TableContents"/>
              <w:bidi w:val="0"/>
              <w:spacing w:before="0" w:after="283"/>
              <w:jc w:val="right"/>
              <w:rPr/>
            </w:pPr>
            <w:r>
              <w:rPr/>
              <w:t> </w:t>
            </w:r>
          </w:p>
        </w:tc>
      </w:tr>
      <w:tr>
        <w:trPr/>
        <w:tc>
          <w:tcPr>
            <w:tcW w:w="2851"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Fee income</w:t>
            </w:r>
          </w:p>
        </w:tc>
        <w:tc>
          <w:tcPr>
            <w:tcW w:w="146" w:type="dxa"/>
            <w:tcBorders/>
            <w:shd w:fill="FFFFFF" w:val="clear"/>
            <w:vAlign w:val="center"/>
          </w:tcPr>
          <w:p>
            <w:pPr>
              <w:pStyle w:val="TableContents"/>
              <w:bidi w:val="0"/>
              <w:spacing w:before="0" w:after="283"/>
              <w:jc w:val="both"/>
              <w:rPr/>
            </w:pPr>
            <w:r>
              <w:rPr/>
              <w:t> </w:t>
            </w:r>
          </w:p>
        </w:tc>
        <w:tc>
          <w:tcPr>
            <w:tcW w:w="308"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2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87"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CCEE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on idle funds and other income</w:t>
            </w:r>
          </w:p>
        </w:tc>
        <w:tc>
          <w:tcPr>
            <w:tcW w:w="146" w:type="dxa"/>
            <w:tcBorders/>
            <w:shd w:fill="CCEEFF" w:val="clear"/>
            <w:vAlign w:val="center"/>
          </w:tcPr>
          <w:p>
            <w:pPr>
              <w:pStyle w:val="TableContents"/>
              <w:bidi w:val="0"/>
              <w:spacing w:before="0" w:after="283"/>
              <w:jc w:val="both"/>
              <w:rPr/>
            </w:pPr>
            <w:r>
              <w:rPr/>
              <w:t> </w:t>
            </w:r>
          </w:p>
        </w:tc>
        <w:tc>
          <w:tcPr>
            <w:tcW w:w="3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3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165.6</w:t>
            </w:r>
          </w:p>
        </w:tc>
        <w:tc>
          <w:tcPr>
            <w:tcW w:w="2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FFFFFF" w:val="clear"/>
            <w:vAlign w:val="center"/>
          </w:tcPr>
          <w:p>
            <w:pPr>
              <w:pStyle w:val="TableContents"/>
              <w:bidi w:val="0"/>
              <w:spacing w:before="0" w:after="283"/>
              <w:jc w:val="both"/>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both"/>
        <w:rPr>
          <w:rFonts w:ascii="Times New Roman" w:hAnsi="Times New Roman"/>
          <w:color w:val="000000"/>
          <w:sz w:val="16"/>
        </w:rPr>
      </w:pPr>
      <w:r>
        <w:rPr>
          <w:rFonts w:ascii="Times New Roman" w:hAnsi="Times New Roman"/>
          <w:color w:val="000000"/>
          <w:sz w:val="16"/>
        </w:rPr>
        <w:t>(2) Percent change calculated based on underlying dollar amounts in thousands as presented on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March 31, 2024, total investment income was $34.7 million, an increase of $5.6 million or 19.3%, from the $29.1 million of total investment income for the three months ended March 31, 2023. As reflected in the table above, the increase is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$3.5 million increase in total interest income (which includes payment-in-kind ("PIK") interest income) resulting from an increase in average debt investment balances, partially offset by a decrease in weighted average yield on debt investment balances outstanding, during 2024 as compared to 2023.</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$1.0 million increase in fee income resulting from an increase in amendment and origination fees, partially offset by a decrease in prepayment fees during 2024 as compared to 2023.</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$1.1 million increase in interest on idle funds due to an increase in cash balances and the weighted average interest on cash balances outstanding.</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Expenses</w:t>
      </w:r>
    </w:p>
    <w:p>
      <w:pPr>
        <w:pStyle w:val="TextBody"/>
        <w:bidi w:val="0"/>
        <w:spacing w:before="180" w:after="200"/>
        <w:jc w:val="both"/>
        <w:rPr>
          <w:rFonts w:ascii="Times New Roman" w:hAnsi="Times New Roman"/>
          <w:color w:val="000000"/>
          <w:sz w:val="20"/>
        </w:rPr>
      </w:pPr>
      <w:r>
        <w:rPr>
          <w:rFonts w:ascii="Times New Roman" w:hAnsi="Times New Roman"/>
          <w:color w:val="000000"/>
          <w:sz w:val="20"/>
        </w:rPr>
        <w:t>Below is a summary of the changes in total expenses, including income tax provision, for the three months ended March 31, 2024 as compared to the same period in 2023 (dollars in millions, percent change calculated based on underlying dollar amounts in thousands):</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83"/>
        <w:gridCol w:w="146"/>
        <w:gridCol w:w="292"/>
        <w:gridCol w:w="629"/>
        <w:gridCol w:w="247"/>
        <w:gridCol w:w="217"/>
        <w:gridCol w:w="292"/>
        <w:gridCol w:w="629"/>
        <w:gridCol w:w="166"/>
        <w:gridCol w:w="146"/>
        <w:gridCol w:w="287"/>
        <w:gridCol w:w="509"/>
        <w:gridCol w:w="146"/>
        <w:gridCol w:w="146"/>
        <w:gridCol w:w="249"/>
        <w:gridCol w:w="876"/>
        <w:gridCol w:w="345"/>
      </w:tblGrid>
      <w:tr>
        <w:trPr/>
        <w:tc>
          <w:tcPr>
            <w:tcW w:w="4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8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pPr>
            <w:r>
              <w:rPr/>
              <w:t> </w:t>
            </w:r>
          </w:p>
        </w:tc>
        <w:tc>
          <w:tcPr>
            <w:tcW w:w="345" w:type="dxa"/>
            <w:tcBorders/>
            <w:shd w:fill="FFFFFF" w:val="clear"/>
            <w:vAlign w:val="center"/>
          </w:tcPr>
          <w:p>
            <w:pPr>
              <w:pStyle w:val="TableContents"/>
              <w:bidi w:val="0"/>
              <w:spacing w:before="0" w:after="283"/>
              <w:jc w:val="center"/>
              <w:rPr/>
            </w:pPr>
            <w:r>
              <w:rPr/>
              <w:t> </w:t>
            </w:r>
          </w:p>
        </w:tc>
      </w:tr>
      <w:tr>
        <w:trPr/>
        <w:tc>
          <w:tcPr>
            <w:tcW w:w="48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3" w:type="dxa"/>
            <w:tcBorders/>
            <w:shd w:fill="CCEE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CEEFF" w:val="clear"/>
            <w:vAlign w:val="center"/>
          </w:tcPr>
          <w:p>
            <w:pPr>
              <w:pStyle w:val="TableContents"/>
              <w:bidi w:val="0"/>
              <w:spacing w:before="0" w:after="283"/>
              <w:jc w:val="both"/>
              <w:rPr/>
            </w:pPr>
            <w:r>
              <w:rPr/>
              <w:t> </w:t>
            </w:r>
          </w:p>
        </w:tc>
        <w:tc>
          <w:tcPr>
            <w:tcW w:w="292"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247"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87"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345"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83"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vAlign w:val="center"/>
          </w:tcPr>
          <w:p>
            <w:pPr>
              <w:pStyle w:val="TableContents"/>
              <w:bidi w:val="0"/>
              <w:spacing w:before="0" w:after="283"/>
              <w:jc w:val="both"/>
              <w:rPr/>
            </w:pPr>
            <w:r>
              <w:rPr/>
              <w:t> </w:t>
            </w:r>
          </w:p>
        </w:tc>
        <w:tc>
          <w:tcPr>
            <w:tcW w:w="292"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4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87"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34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83" w:type="dxa"/>
            <w:tcBorders/>
            <w:shd w:fill="CCEE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Incentive fee - income</w:t>
            </w:r>
          </w:p>
        </w:tc>
        <w:tc>
          <w:tcPr>
            <w:tcW w:w="146"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47"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345"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83"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Incentive fee (reversal) - capital gains</w:t>
            </w:r>
          </w:p>
        </w:tc>
        <w:tc>
          <w:tcPr>
            <w:tcW w:w="146" w:type="dxa"/>
            <w:tcBorders/>
            <w:shd w:fill="FFFFFF" w:val="clear"/>
            <w:vAlign w:val="center"/>
          </w:tcPr>
          <w:p>
            <w:pPr>
              <w:pStyle w:val="TableContents"/>
              <w:bidi w:val="0"/>
              <w:spacing w:before="0" w:after="283"/>
              <w:jc w:val="both"/>
              <w:rPr/>
            </w:pPr>
            <w:r>
              <w:rPr/>
              <w:t> </w:t>
            </w:r>
          </w:p>
        </w:tc>
        <w:tc>
          <w:tcPr>
            <w:tcW w:w="292"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87"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226.1</w:t>
            </w:r>
          </w:p>
        </w:tc>
        <w:tc>
          <w:tcPr>
            <w:tcW w:w="34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83" w:type="dxa"/>
            <w:tcBorders/>
            <w:shd w:fill="CCEE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CEEFF" w:val="clear"/>
            <w:vAlign w:val="center"/>
          </w:tcPr>
          <w:p>
            <w:pPr>
              <w:pStyle w:val="TableContents"/>
              <w:bidi w:val="0"/>
              <w:spacing w:before="0" w:after="283"/>
              <w:jc w:val="both"/>
              <w:rPr/>
            </w:pPr>
            <w:r>
              <w:rPr/>
              <w:t> </w:t>
            </w:r>
          </w:p>
        </w:tc>
        <w:tc>
          <w:tcPr>
            <w:tcW w:w="292"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7"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87"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25" w:type="dxa"/>
            <w:gridSpan w:val="2"/>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45" w:type="dxa"/>
            <w:tcBorders/>
            <w:shd w:fill="CCEEFF" w:val="clear"/>
            <w:vAlign w:val="center"/>
          </w:tcPr>
          <w:p>
            <w:pPr>
              <w:pStyle w:val="TableContents"/>
              <w:bidi w:val="0"/>
              <w:spacing w:before="0" w:after="283"/>
              <w:jc w:val="right"/>
              <w:rPr/>
            </w:pPr>
            <w:r>
              <w:rPr/>
              <w:t> </w:t>
            </w:r>
          </w:p>
        </w:tc>
      </w:tr>
      <w:tr>
        <w:trPr/>
        <w:tc>
          <w:tcPr>
            <w:tcW w:w="4883"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vAlign w:val="center"/>
          </w:tcPr>
          <w:p>
            <w:pPr>
              <w:pStyle w:val="TableContents"/>
              <w:bidi w:val="0"/>
              <w:spacing w:before="0" w:after="283"/>
              <w:jc w:val="both"/>
              <w:rPr/>
            </w:pPr>
            <w:r>
              <w:rPr/>
              <w:t> </w:t>
            </w:r>
          </w:p>
        </w:tc>
        <w:tc>
          <w:tcPr>
            <w:tcW w:w="292"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87"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34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83" w:type="dxa"/>
            <w:tcBorders/>
            <w:shd w:fill="CCEE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CEEFF" w:val="clear"/>
            <w:vAlign w:val="center"/>
          </w:tcPr>
          <w:p>
            <w:pPr>
              <w:pStyle w:val="TableContents"/>
              <w:bidi w:val="0"/>
              <w:spacing w:before="0" w:after="283"/>
              <w:jc w:val="both"/>
              <w:rPr/>
            </w:pPr>
            <w:r>
              <w:rPr/>
              <w:t> </w:t>
            </w:r>
          </w:p>
        </w:tc>
        <w:tc>
          <w:tcPr>
            <w:tcW w:w="2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3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and income incentive fee waivers</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24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34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83" w:type="dxa"/>
            <w:tcBorders/>
            <w:shd w:fill="CCEE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 management and income incentive fee waivers</w:t>
            </w:r>
          </w:p>
        </w:tc>
        <w:tc>
          <w:tcPr>
            <w:tcW w:w="146" w:type="dxa"/>
            <w:tcBorders/>
            <w:shd w:fill="CCEEFF" w:val="clear"/>
            <w:vAlign w:val="center"/>
          </w:tcPr>
          <w:p>
            <w:pPr>
              <w:pStyle w:val="TableContents"/>
              <w:bidi w:val="0"/>
              <w:spacing w:before="0" w:after="283"/>
              <w:jc w:val="both"/>
              <w:rPr/>
            </w:pPr>
            <w:r>
              <w:rPr/>
              <w:t> </w:t>
            </w:r>
          </w:p>
        </w:tc>
        <w:tc>
          <w:tcPr>
            <w:tcW w:w="2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CEEFF" w:val="clear"/>
            <w:vAlign w:val="center"/>
          </w:tcPr>
          <w:p>
            <w:pPr>
              <w:pStyle w:val="TableContents"/>
              <w:bidi w:val="0"/>
              <w:spacing w:before="0" w:after="283"/>
              <w:jc w:val="left"/>
              <w:rPr/>
            </w:pPr>
            <w:r>
              <w:rPr/>
              <w:t> </w:t>
            </w:r>
          </w:p>
        </w:tc>
        <w:tc>
          <w:tcPr>
            <w:tcW w:w="2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both"/>
              <w:rPr/>
            </w:pPr>
            <w:r>
              <w:rPr/>
              <w:t> </w:t>
            </w:r>
          </w:p>
        </w:tc>
        <w:tc>
          <w:tcPr>
            <w:tcW w:w="2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48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income tax provision</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247"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34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83"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CCEEFF" w:val="clear"/>
            <w:vAlign w:val="center"/>
          </w:tcPr>
          <w:p>
            <w:pPr>
              <w:pStyle w:val="TableContents"/>
              <w:bidi w:val="0"/>
              <w:spacing w:before="0" w:after="283"/>
              <w:jc w:val="left"/>
              <w:rPr/>
            </w:pPr>
            <w:r>
              <w:rPr/>
              <w:t> </w:t>
            </w:r>
          </w:p>
        </w:tc>
        <w:tc>
          <w:tcPr>
            <w:tcW w:w="2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4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488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including income tax provision</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83"/>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both"/>
        <w:rPr>
          <w:rFonts w:ascii="Times New Roman" w:hAnsi="Times New Roman"/>
          <w:color w:val="000000"/>
          <w:sz w:val="16"/>
        </w:rPr>
      </w:pPr>
      <w:r>
        <w:rPr>
          <w:rFonts w:ascii="Times New Roman" w:hAnsi="Times New Roman"/>
          <w:color w:val="000000"/>
          <w:sz w:val="16"/>
        </w:rPr>
        <w:t>(2) Percent change calculated based on underlying dollar amounts in thousands as presented on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March 31, 2024, total expenses, including income tax provision, were $17.0 million, an increase of $2.7 million or 18.8%, from the $14.3 million of total expenses for the three months ended March 31, 2023. As reflected in the table above, changes across the periods were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$0.8 million increase in interest and financing expenses due to an increase in debt outstanding and an increase in weighted average interest rate on borrowings, during 2024 as compared to 2023.</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$0.5 million net increase in base management fee, including the base management fee waiver, due to higher average total assets during 2024 as compared to 2023.</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$0.9 million increase in the income incentive fee due to an increase in pre-incentive fee net investment income during 2024 as compared to 2023.</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$0.3 million increase in the accrued capital gains incentive fee due to an $1.7 million increase in net gain on investments (net change in unrealized appreciation (depreciation) on investments and realized losses on extinguishment of debt, as well as an increase in net realized gains (losses)) during 2024 as compared to the same period in 2023.</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$0.1 million increase in professional fees during 2024 as compared to 2023.</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Net Investment Income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Net investment income increased by $2.9 million, or 19.7%, to $17.6 million during the three months ended March 31, 2024 as compared to the same period in 2023, as a result of the $5.6 million increase in total investment income, partially offset by the $2.7 million increase in total expenses, including base management fee waiver and income tax provision. </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Net Gain (Loss) on Investments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For the three months ended March 31, 2024, the total net realized gain/(loss) on investments, before income tax (provision)/benefit, was $1.7 million. Income tax (provision) benefit from realized gains on investments was $0.1 million for the three months ended March 31, 2024. We realize a gain/(loss) on our equity investments primarily when we either sell our equity investment or the underlying portfolio company is sold. Significant realized gains (losses) for the three months ended March 31, 2024 are summarized below (dollars in millions):</w:t>
      </w:r>
    </w:p>
    <w:tbl>
      <w:tblPr>
        <w:tblW w:w="8405" w:type="dxa"/>
        <w:jc w:val="left"/>
        <w:tblInd w:w="0" w:type="dxa"/>
        <w:tblLayout w:type="fixed"/>
        <w:tblCellMar>
          <w:top w:w="28" w:type="dxa"/>
          <w:left w:w="28" w:type="dxa"/>
          <w:bottom w:w="28" w:type="dxa"/>
          <w:right w:w="28" w:type="dxa"/>
        </w:tblCellMar>
      </w:tblPr>
      <w:tblGrid>
        <w:gridCol w:w="4846"/>
        <w:gridCol w:w="146"/>
        <w:gridCol w:w="1936"/>
        <w:gridCol w:w="146"/>
        <w:gridCol w:w="423"/>
        <w:gridCol w:w="717"/>
        <w:gridCol w:w="19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4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w:t>
            </w:r>
          </w:p>
        </w:tc>
        <w:tc>
          <w:tcPr>
            <w:tcW w:w="191" w:type="dxa"/>
            <w:tcBorders/>
            <w:shd w:fill="FFFFFF" w:val="clear"/>
            <w:vAlign w:val="center"/>
          </w:tcPr>
          <w:p>
            <w:pPr>
              <w:pStyle w:val="TableContents"/>
              <w:bidi w:val="0"/>
              <w:spacing w:before="0" w:after="283"/>
              <w:jc w:val="center"/>
              <w:rPr/>
            </w:pPr>
            <w:r>
              <w:rPr/>
              <w:t> </w:t>
            </w:r>
          </w:p>
        </w:tc>
      </w:tr>
      <w:tr>
        <w:trPr/>
        <w:tc>
          <w:tcPr>
            <w:tcW w:w="4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Realization Event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(Losses)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Applied Data Corporation</w:t>
            </w:r>
          </w:p>
        </w:tc>
        <w:tc>
          <w:tcPr>
            <w:tcW w:w="146" w:type="dxa"/>
            <w:tcBorders/>
            <w:shd w:fill="CFF0FC" w:val="clear"/>
            <w:vAlign w:val="center"/>
          </w:tcPr>
          <w:p>
            <w:pPr>
              <w:pStyle w:val="TableContents"/>
              <w:bidi w:val="0"/>
              <w:spacing w:before="0" w:after="283"/>
              <w:jc w:val="left"/>
              <w:rPr/>
            </w:pPr>
            <w:r>
              <w:rPr/>
              <w:t> </w:t>
            </w:r>
          </w:p>
        </w:tc>
        <w:tc>
          <w:tcPr>
            <w:tcW w:w="19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91" w:type="dxa"/>
            <w:tcBorders/>
            <w:shd w:fill="CFF0FC" w:val="cle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Road Safety Services, Inc.</w:t>
            </w:r>
          </w:p>
        </w:tc>
        <w:tc>
          <w:tcPr>
            <w:tcW w:w="146" w:type="dxa"/>
            <w:tcBorders/>
            <w:shd w:fill="FFFFFF" w:val="clear"/>
            <w:vAlign w:val="center"/>
          </w:tcPr>
          <w:p>
            <w:pPr>
              <w:pStyle w:val="TableContents"/>
              <w:bidi w:val="0"/>
              <w:spacing w:before="0" w:after="283"/>
              <w:jc w:val="left"/>
              <w:rPr/>
            </w:pPr>
            <w:r>
              <w:rPr/>
              <w:t> </w:t>
            </w:r>
          </w:p>
        </w:tc>
        <w:tc>
          <w:tcPr>
            <w:tcW w:w="19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Escrow distribution</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91" w:type="dxa"/>
            <w:tcBorders/>
            <w:shd w:fill="FFFFFF" w:val="clear"/>
            <w:vAlign w:val="center"/>
          </w:tcPr>
          <w:p>
            <w:pPr>
              <w:pStyle w:val="TableContents"/>
              <w:bidi w:val="0"/>
              <w:spacing w:before="0" w:after="283"/>
              <w:jc w:val="lef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Power Grid Components, Inc.</w:t>
            </w:r>
          </w:p>
        </w:tc>
        <w:tc>
          <w:tcPr>
            <w:tcW w:w="146" w:type="dxa"/>
            <w:tcBorders/>
            <w:shd w:fill="CFF0FC" w:val="clear"/>
            <w:vAlign w:val="center"/>
          </w:tcPr>
          <w:p>
            <w:pPr>
              <w:pStyle w:val="TableContents"/>
              <w:bidi w:val="0"/>
              <w:spacing w:before="0" w:after="283"/>
              <w:jc w:val="left"/>
              <w:rPr/>
            </w:pPr>
            <w:r>
              <w:rPr/>
              <w:t> </w:t>
            </w:r>
          </w:p>
        </w:tc>
        <w:tc>
          <w:tcPr>
            <w:tcW w:w="19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Escrow distribution</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91" w:type="dxa"/>
            <w:tcBorders/>
            <w:shd w:fill="CFF0FC" w:val="cle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vAlign w:val="center"/>
          </w:tcPr>
          <w:p>
            <w:pPr>
              <w:pStyle w:val="TableContents"/>
              <w:bidi w:val="0"/>
              <w:spacing w:before="0" w:after="283"/>
              <w:jc w:val="left"/>
              <w:rPr/>
            </w:pPr>
            <w:r>
              <w:rPr/>
              <w:t> </w:t>
            </w:r>
          </w:p>
        </w:tc>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CFF0FC" w:val="clear"/>
            <w:vAlign w:val="center"/>
          </w:tcPr>
          <w:p>
            <w:pPr>
              <w:pStyle w:val="TableContents"/>
              <w:bidi w:val="0"/>
              <w:spacing w:before="0" w:after="283"/>
              <w:jc w:val="left"/>
              <w:rPr/>
            </w:pPr>
            <w:r>
              <w:rPr/>
              <w:t> </w:t>
            </w:r>
          </w:p>
        </w:tc>
        <w:tc>
          <w:tcPr>
            <w:tcW w:w="193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net of income tax provision, on investments</w:t>
            </w:r>
          </w:p>
        </w:tc>
        <w:tc>
          <w:tcPr>
            <w:tcW w:w="146" w:type="dxa"/>
            <w:tcBorders/>
            <w:shd w:fill="FFFFFF" w:val="clear"/>
            <w:vAlign w:val="center"/>
          </w:tcPr>
          <w:p>
            <w:pPr>
              <w:pStyle w:val="TableContents"/>
              <w:bidi w:val="0"/>
              <w:spacing w:before="0" w:after="283"/>
              <w:jc w:val="left"/>
              <w:rPr/>
            </w:pPr>
            <w:r>
              <w:rPr/>
              <w:t> </w:t>
            </w:r>
          </w:p>
        </w:tc>
        <w:tc>
          <w:tcPr>
            <w:tcW w:w="1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4"/>
        <w:gridCol w:w="9921"/>
      </w:tblGrid>
      <w:tr>
        <w:trPr/>
        <w:tc>
          <w:tcPr>
            <w:tcW w:w="284" w:type="dxa"/>
            <w:tcBorders/>
            <w:vAlign w:val="center"/>
          </w:tcPr>
          <w:p>
            <w:pPr>
              <w:pStyle w:val="TableContents"/>
              <w:bidi w:val="0"/>
              <w:spacing w:before="0" w:after="283"/>
              <w:jc w:val="left"/>
              <w:rPr>
                <w:sz w:val="4"/>
                <w:szCs w:val="4"/>
              </w:rPr>
            </w:pPr>
            <w:r>
              <w:rPr>
                <w:sz w:val="4"/>
                <w:szCs w:val="4"/>
              </w:rPr>
            </w:r>
          </w:p>
        </w:tc>
        <w:tc>
          <w:tcPr>
            <w:tcW w:w="9921" w:type="dxa"/>
            <w:tcBorders/>
            <w:vAlign w:val="center"/>
          </w:tcPr>
          <w:p>
            <w:pPr>
              <w:pStyle w:val="TableContents"/>
              <w:bidi w:val="0"/>
              <w:spacing w:before="0" w:after="283"/>
              <w:jc w:val="left"/>
              <w:rPr>
                <w:sz w:val="4"/>
                <w:szCs w:val="4"/>
              </w:rPr>
            </w:pPr>
            <w:r>
              <w:rPr>
                <w:sz w:val="4"/>
                <w:szCs w:val="4"/>
              </w:rPr>
            </w:r>
          </w:p>
        </w:tc>
      </w:tr>
      <w:tr>
        <w:trPr/>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For the three months ended March 31, 2023, the total net realized gain/(loss) on investments, before income tax (provision)/benefit, was $0.1 million. Income tax (provision) benefit from realized gains on investments was zero for the three months ended March 31, 2023, respectively. We realize a gain/(loss) on our equity investments primarily when we either sell our equity investment or the underlying portfolio company is sold. Significant realized gains (losses) for the three months ended March 31, 2023 are summarized below (dollars in millions):</w:t>
      </w:r>
    </w:p>
    <w:tbl>
      <w:tblPr>
        <w:tblW w:w="8071" w:type="dxa"/>
        <w:jc w:val="left"/>
        <w:tblInd w:w="0" w:type="dxa"/>
        <w:tblLayout w:type="fixed"/>
        <w:tblCellMar>
          <w:top w:w="28" w:type="dxa"/>
          <w:left w:w="28" w:type="dxa"/>
          <w:bottom w:w="28" w:type="dxa"/>
          <w:right w:w="28" w:type="dxa"/>
        </w:tblCellMar>
      </w:tblPr>
      <w:tblGrid>
        <w:gridCol w:w="4846"/>
        <w:gridCol w:w="146"/>
        <w:gridCol w:w="1456"/>
        <w:gridCol w:w="146"/>
        <w:gridCol w:w="411"/>
        <w:gridCol w:w="729"/>
        <w:gridCol w:w="146"/>
        <w:gridCol w:w="19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7" w:type="dxa"/>
            <w:gridSpan w:val="4"/>
            <w:tcBorders/>
            <w:shd w:fill="FFFFFF" w:val="clear"/>
            <w:vAlign w:val="center"/>
          </w:tcPr>
          <w:p>
            <w:pPr>
              <w:pStyle w:val="TableContents"/>
              <w:bidi w:val="0"/>
              <w:spacing w:before="0" w:after="283"/>
              <w:jc w:val="center"/>
              <w:rPr/>
            </w:pPr>
            <w:r>
              <w:rPr/>
              <w:t> </w:t>
            </w:r>
          </w:p>
        </w:tc>
      </w:tr>
      <w:tr>
        <w:trPr/>
        <w:tc>
          <w:tcPr>
            <w:tcW w:w="4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Realization Event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84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Tranzonic Companies</w:t>
            </w:r>
          </w:p>
        </w:tc>
        <w:tc>
          <w:tcPr>
            <w:tcW w:w="14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Escrow distribution</w:t>
            </w:r>
          </w:p>
        </w:tc>
        <w:tc>
          <w:tcPr>
            <w:tcW w:w="146" w:type="dxa"/>
            <w:tcBorders/>
            <w:shd w:fill="CCEEFF" w:val="clear"/>
            <w:vAlign w:val="center"/>
          </w:tcPr>
          <w:p>
            <w:pPr>
              <w:pStyle w:val="TableContents"/>
              <w:bidi w:val="0"/>
              <w:spacing w:before="0" w:after="283"/>
              <w:jc w:val="left"/>
              <w:rPr/>
            </w:pPr>
            <w:r>
              <w:rPr/>
              <w:t> </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84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net of income tax provision, on investments</w:t>
            </w:r>
          </w:p>
        </w:tc>
        <w:tc>
          <w:tcPr>
            <w:tcW w:w="1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4"/>
        <w:gridCol w:w="9921"/>
      </w:tblGrid>
      <w:tr>
        <w:trPr/>
        <w:tc>
          <w:tcPr>
            <w:tcW w:w="284" w:type="dxa"/>
            <w:tcBorders/>
            <w:vAlign w:val="center"/>
          </w:tcPr>
          <w:p>
            <w:pPr>
              <w:pStyle w:val="TableContents"/>
              <w:bidi w:val="0"/>
              <w:spacing w:before="0" w:after="283"/>
              <w:jc w:val="left"/>
              <w:rPr>
                <w:sz w:val="4"/>
                <w:szCs w:val="4"/>
              </w:rPr>
            </w:pPr>
            <w:r>
              <w:rPr>
                <w:sz w:val="4"/>
                <w:szCs w:val="4"/>
              </w:rPr>
            </w:r>
          </w:p>
        </w:tc>
        <w:tc>
          <w:tcPr>
            <w:tcW w:w="9921" w:type="dxa"/>
            <w:tcBorders/>
            <w:vAlign w:val="center"/>
          </w:tcPr>
          <w:p>
            <w:pPr>
              <w:pStyle w:val="TableContents"/>
              <w:bidi w:val="0"/>
              <w:spacing w:before="0" w:after="283"/>
              <w:jc w:val="left"/>
              <w:rPr>
                <w:sz w:val="4"/>
                <w:szCs w:val="4"/>
              </w:rPr>
            </w:pPr>
            <w:r>
              <w:rPr>
                <w:sz w:val="4"/>
                <w:szCs w:val="4"/>
              </w:rPr>
            </w:r>
          </w:p>
        </w:tc>
      </w:tr>
      <w:tr>
        <w:trPr/>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three months ended March 31, 2024 and 2023, we recorded a net change in unrealized appreciation (depreciation) on investments attributable to the following (dollars in millions):</w:t>
      </w:r>
    </w:p>
    <w:p>
      <w:pPr>
        <w:pStyle w:val="TextBody"/>
        <w:bidi w:val="0"/>
        <w:spacing w:before="180" w:after="283"/>
        <w:jc w:val="both"/>
        <w:rPr/>
      </w:pPr>
      <w:r>
        <w:rPr/>
        <w:t> </w:t>
      </w:r>
    </w:p>
    <w:tbl>
      <w:tblPr>
        <w:tblW w:w="6520" w:type="dxa"/>
        <w:jc w:val="left"/>
        <w:tblInd w:w="0" w:type="dxa"/>
        <w:tblLayout w:type="fixed"/>
        <w:tblCellMar>
          <w:top w:w="28" w:type="dxa"/>
          <w:left w:w="28" w:type="dxa"/>
          <w:bottom w:w="28" w:type="dxa"/>
          <w:right w:w="28" w:type="dxa"/>
        </w:tblCellMar>
      </w:tblPr>
      <w:tblGrid>
        <w:gridCol w:w="3766"/>
        <w:gridCol w:w="146"/>
        <w:gridCol w:w="316"/>
        <w:gridCol w:w="631"/>
        <w:gridCol w:w="268"/>
        <w:gridCol w:w="235"/>
        <w:gridCol w:w="316"/>
        <w:gridCol w:w="631"/>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Exit, sale or restructuring of investments</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6"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Fair value adjustments to debt investments</w:t>
            </w:r>
          </w:p>
        </w:tc>
        <w:tc>
          <w:tcPr>
            <w:tcW w:w="146" w:type="dxa"/>
            <w:tcBorders/>
            <w:shd w:fill="FFFFFF" w:val="clear"/>
            <w:vAlign w:val="center"/>
          </w:tcPr>
          <w:p>
            <w:pPr>
              <w:pStyle w:val="TableContents"/>
              <w:bidi w:val="0"/>
              <w:spacing w:before="0" w:after="283"/>
              <w:jc w:val="both"/>
              <w:rPr/>
            </w:pPr>
            <w:r>
              <w:rPr/>
              <w:t> </w:t>
            </w:r>
          </w:p>
        </w:tc>
        <w:tc>
          <w:tcPr>
            <w:tcW w:w="31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68"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6" w:type="dxa"/>
            <w:tcBorders/>
            <w:shd w:fill="CFF0FC"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Fair value adjustments to equity investments</w:t>
            </w:r>
          </w:p>
        </w:tc>
        <w:tc>
          <w:tcPr>
            <w:tcW w:w="146" w:type="dxa"/>
            <w:tcBorders/>
            <w:shd w:fill="CFF0FC" w:val="clear"/>
            <w:vAlign w:val="center"/>
          </w:tcPr>
          <w:p>
            <w:pPr>
              <w:pStyle w:val="TableContents"/>
              <w:bidi w:val="0"/>
              <w:spacing w:before="0" w:after="283"/>
              <w:jc w:val="both"/>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FFFFFF" w:val="clear"/>
            <w:vAlign w:val="center"/>
          </w:tcPr>
          <w:p>
            <w:pPr>
              <w:pStyle w:val="TableContents"/>
              <w:bidi w:val="0"/>
              <w:spacing w:before="0" w:after="283"/>
              <w:jc w:val="both"/>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Net Increase in Net Assets Resulting From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Net increase (decrease) in net assets resulting from operations during the three months ended March 31, 2024 and 2023 was $20.1 million and $15.5 million, respectively, as a result of the events described above.</w:t>
      </w:r>
    </w:p>
    <w:p>
      <w:pPr>
        <w:pStyle w:val="TextBody"/>
        <w:bidi w:val="0"/>
        <w:spacing w:before="180" w:after="283"/>
        <w:jc w:val="both"/>
        <w:rPr/>
      </w:pPr>
      <w:r>
        <w:rPr/>
        <w:t> </w:t>
      </w:r>
    </w:p>
    <w:p>
      <w:pPr>
        <w:pStyle w:val="TextBody"/>
        <w:bidi w:val="0"/>
        <w:spacing w:before="180" w:after="283"/>
        <w:jc w:val="both"/>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March 31, 2024, we had $27.1 million in cash and cash equivalents and our net assets totaled $608.3 million. We believe that our current cash and cash equivalents on hand, our Credit Facility, our anticipated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ATM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three months ended March 31, 2024, we repaid $35.0 million of SBA debentures relating to Fund II that would have matured during the period March 1, 2026 through September 1, 2027. Our remaining outstanding SBA debentures begin to mature in 2029 and subsequent years through 2034, which will require repayment on or before the respective maturity dates. In light of current market conditions, we will continually evaluate our overall liquidity position and take proactive steps to maintain that position based on the current circumstances. This “Financial Liquidity and Capital Resources” section should be read in conjunction with the notes of our consolidated financial statements. </w:t>
      </w:r>
    </w:p>
    <w:p>
      <w:pPr>
        <w:pStyle w:val="TextBody"/>
        <w:bidi w:val="0"/>
        <w:spacing w:before="180" w:after="283"/>
        <w:jc w:val="left"/>
        <w:rPr>
          <w:rFonts w:ascii="Times New Roman" w:hAnsi="Times New Roman"/>
          <w:sz w:val="20"/>
        </w:rPr>
      </w:pPr>
      <w:r>
        <w:rPr>
          <w:rFonts w:ascii="Times New Roman" w:hAnsi="Times New Roman"/>
          <w:i/>
          <w:color w:val="000000"/>
          <w:sz w:val="20"/>
        </w:rPr>
        <w:t>Cash Flows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March 31, 2024, we experienced a net decrease in cash and cash equivalents in the amount of $92.0 million. During that period, we made payments of $77.8 million of cash for operating activities, which included the funding of $145.9 million of investments that was partially offset by proceeds received from sales and repayments of investments of $60.2 million. During the same period, we repaid SBA debentures of $35.0 million relating to Fund II, borrowed $22.5 million on our line of credit, received net proceeds from the ATM Program of approximately $19.2 million, received repayments of $0.3 million on our secured borrowings, paid cash dividends to stockholders of $20.4 million, and made payment of deferred financing costs related to our debt financings of $0.2 million.</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i/>
          <w:color w:val="000000"/>
          <w:sz w:val="20"/>
        </w:rPr>
        <w:t>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anticipate that we will continue to fund our investment activities on a long-term basis through a combination of additional debt and equity capital.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SBA Debentures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Fund III is licensed to operate as a SBIC, and has the ability to issue debentures guaranteed by the SBA at favorable interest rates. Under the SBA regulations,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The SBA may limit the amount that may be drawn each year under the SBA debenture commitments, and each issuance of leverage is conditioned on SBIC's full compliance, as determined by the SBA, with the terms and conditions under SBA regulations.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March 31, 2024, Fund III had $175.0 million of outstanding SBA debentures. Fund II has completed a wind-down plan, relinquished its SBIC license and can no longer issue additional SBA debentures, effective as of March 7, 2024. Subject to SBA regulatory requirements and approval of an additional SBIC licensed fund and SBA debenture commitments, we may access up to $175.0 million of additional SBA debentures under the SBIC debenture program. For more information on the SBA debentures, please refer to Note 6 to our consolidated financial statements.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June 16, 2014, we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us, but portfolio investments held by Fund II and Fund III are not collateral for the Credit Facility. On April 24, 2019, we entered into an Amended &amp; Restated Senior Secured Revolving Credit Agreement (the “Amended Credit Agreement”) among us, as borrower, the lenders party thereto, and ING, as administrative agent. On June 26, 2020, we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the Secured Overnight Financing Rate (SOFR) from the London Interbank Offered Rate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Amounts available to borrow under the Credit Facility are subject to a minimum borrowing/collateral base that applies an advance rate to certain investments held by us, excluding investments held by Fund II and Fund III.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2024, we were in compliance in all material respects with the terms of the Credit Agreement and we had $22.5 million in borrowings outstanding under the Credit Facility.</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December 23, 2020, we closed the offering of $125.0 million in aggregate principal amount of our 4.75% notes due 2026, or the “January 2026 Notes”. The total net proceeds to us from the January 2026 Notes, based on a public offering price of 100.00% of par, after deducting underwriting discounts of $2.5 million and offering expenses of $0.4 million, were $122.1 million.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We do not intend to list the January 2026 Notes on any securities exchange or automated dealer quotation system. As of March 31, 2024, the outstanding principal balance of the January 2026 Notes was $125.0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8, 2021, we closed the offering of $125.0 million in aggregate principal amount of our 3.50% notes due 2026, or the “November 2026 Notes” (collectively with the January 2026 Notes, the “Notes”). The total net proceeds to us from the November 2026 Notes, based on a public offering price of 99.996% of par, after deducting underwriting discounts of $2.5 million and offering expenses of $0.3 million, were $122.2 million.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We do not intend to list the November 2026 Notes on any securities exchange or automated dealer quotation system. As of March 31, 2024, the outstanding principal balance of the November 2026 Notes was $125.0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 including the Credit Facility.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Secured Borrowing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March 31, 2024, the carrying value of secured borrowings totaled $15.6 million and the fair value of the associated loans included in investments was $15.6 million. As of December 31, 2023, carrying value of secured borrowings totaled $15.9 million and the fair value of the associated loans included in investments was $15.8 million.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 As a result, sale treatment was not permitted and these partial loan sales were treated as secured borrowings. The weighted average interest rate on our secured borrowings was approximately 9.363% and 9.407% as of March 31, 2024 and December 31, 2023,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March 31, 2024, the weighted average stated interest rates for our SBA debentures and the Notes were 4.316% and 4.125%, respectively. As of March 31, 2024, we had $77.5 million of unutilized commitment under our Credit Facility, and we were subject to a 0.851% fee on such amount. As of March 31, 2024, the weighted average stated interest rate on total debt outstanding was 4.568%.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effective as of April 29, 2020. We also have received exemptive relief from the U.S. Securities and Exchange Commission (“SEC”) to allow us to exclude the senior securities issued by Fund III and any future SBIC subsidiary from the definition of senior securities in the 150% asset coverage requirement applicable to the Company under the 1940 Act, which, in turn, will enable us to fund more investments with debt capital.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8, 2023, our stockholders approved a proposal to authorize us to sell or otherwise issue common stock at a price below net asset value per share for a period of one year ending on the earlier of June 8, 2024 or the date of our 2024 Annual Meeting of Stockholders. Our stockholders specified that the cumulative number of shares sold pursuant to such authority during such period may not exceed 25.0% of our then outstanding common stock immediately prior to each such sale.</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Equity ATM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 million. On August 11, 2023, the Company increased the maximum amount of shares to be sold through the ATM Program to $150.0 million from $50.0 million. On February 29, 2024, the Company increased the maximum amount of shares to be sold through the ATM Program to $300.0 million from $150.0 million. Cumulative to date, the Company has sold 6,957,913 shares of common stock under the ATM Program at a weighted-average price of $19.72, raising $137.2 million of gross proceeds. Net proceeds were $135.4 million after commissions to the sales agents on sales sold. As of March 31, 2024, the Company has $162.8 million available under the ATM Program.</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Most recently, on October 30, 2023, the Board extended the Stock Repurchase Program through December 31, 2024,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months ended March 31, 2024 and 2023. Refer to Note 8 to our consolidated financial statements for additional information concerning stock repurchases.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relating to investment valuations and transfers of financial assets are set forth below. See Note 2. Significant Accounting Policies to our consolidated financial statements for more information regarding our critical accounting policies relating to revenue recognition.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Valuation of Portfolio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 BDC, we report our assets and liabilities at fair value at all times consistent with GAAP and the 1940 Act. Accordingly, we are required to periodically determine the fair value of all of our portfolio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quotation, the fair value of our investments may differ significantly from the values that would have been used had a readily available market quotation existed for such investments, and the difference could be material.</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With respect to investments for which market quotations are not readily available, our board of directors undertakes a multi-step valuation process each quarter, as described below: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quarterly valuation process begins with each portfolio company or investment being initially evaluated and rated by the investment professionals of the Investment Advisor responsible for the portfolio investment;</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preliminary valuation conclusions are then documented and discussed with the investment committee of the Investment Advisor;</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audit committee of our board of directors reviews the preliminary valuations of the Investment Advisor and of the independent valuation firm(s) and responds and supplements the valuation recommendations to reflect any comments;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board of directors discusses the valuations and determines the fair value of each investment in our portfolio in good faith, based on the input of the Investment Advisor, the independent valuation firm(s) and the audit committee.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Board consulted with the independent third-party valuation firm(s) in arriving at our determination of fair value for 17 and 18 of our portfolio company investments representing 26.9% and 29.9% of the total portfolio investments at fair value (exclusive of new portfolio company investments made during the three months ended March 31, 2024 and December 31, 2023, respectively) as of March 31, 2024 and December 31, 2023,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also utilize an income approach when estimating the fair value of our equity investments,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Transfers of Financial Assets</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Partial loan and equity sales. </w:t>
      </w:r>
      <w:r>
        <w:rPr>
          <w:rFonts w:ascii="Times New Roman" w:hAnsi="Times New Roman"/>
          <w:color w:val="000000"/>
          <w:sz w:val="20"/>
        </w:rPr>
        <w:t xml:space="preserve">We follow the guidance in ASC 860, </w:t>
      </w:r>
      <w:r>
        <w:rPr>
          <w:rFonts w:ascii="Times New Roman" w:hAnsi="Times New Roman"/>
          <w:i/>
          <w:color w:val="000000"/>
          <w:sz w:val="20"/>
        </w:rPr>
        <w:t xml:space="preserve">Transfers and Servicing, </w:t>
      </w:r>
      <w:r>
        <w:rPr>
          <w:rFonts w:ascii="Times New Roman" w:hAnsi="Times New Roman"/>
          <w:color w:val="000000"/>
          <w:sz w:val="20"/>
        </w:rPr>
        <w:t xml:space="preserve">when accounting 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Recently Issued Accounting Standard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We are currently evaluating the impact this ASU will have on our consolidated financial position or disclosures, but we do not expect the impact to be material.</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have entered into a number of business relationships with affiliated or related parties, including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 a base management fee and an incentive fee. See Note 5 to our consolidated financial statements. The Investment Advisor, in consultation with the Board, agreed to voluntarily waive $0.1 million and $0.1 million of the base management fees on any assets accounted for as secured borrowings as defined under GAAP for the three months ended March 31, 2024, and 2023, respectively.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entered into the Administration Agreement with Fidus Investment Advisors to provide us with the office facilities and administrative services necessary to conduct day-to-day operations. See Note 5 to our consolidated financial statements.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We entered into a license agreement with Fidus Partners, LLC, pursuant to which Fidus Partners, LLC has granted us a non-exclusive, royalty-free license to use the name “Fidus.”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Fund III and any future SBIC subsidiary from the definition of senior securities in the asset coverage requirement applicable to the Company under the 1940 Act.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While we may co-invest with investment entities managed by the Investment Advisor or its affiliates, to the extent permitted by the 1940 Act and the rules and regulations thereunder, the 1940 Act imposes significant limits on co-investment. On January 4, 2017, the SEC staff has granted us relief sought in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majority” (as defined in Section 57(o) of the 1940 Act) or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jc w:val="both"/>
        <w:rPr>
          <w:rFonts w:ascii="Times New Roman" w:hAnsi="Times New Roman"/>
          <w:color w:val="000000"/>
          <w:sz w:val="20"/>
        </w:rPr>
      </w:pPr>
      <w:r>
        <w:rPr>
          <w:rFonts w:ascii="Times New Roman" w:hAnsi="Times New Roman"/>
          <w:color w:val="000000"/>
          <w:sz w:val="20"/>
        </w:rPr>
        <w:t>On April 29, 2024, our Board declared a regular quarterly dividend of $0.43 per share and a supplemental dividend of $0.16 per share payable June 26, 2024, to stockholders of record as of June 19, 2024.</w:t>
      </w:r>
    </w:p>
    <w:p>
      <w:pPr>
        <w:pStyle w:val="TextBody"/>
        <w:bidi w:val="0"/>
        <w:jc w:val="left"/>
        <w:rPr/>
      </w:pPr>
      <w:r>
        <w:rPr/>
        <w:t> </w:t>
      </w:r>
    </w:p>
    <w:p>
      <w:pPr>
        <w:pStyle w:val="TextBody"/>
        <w:bidi w:val="0"/>
        <w:jc w:val="left"/>
        <w:rPr>
          <w:rFonts w:ascii="Times New Roman" w:hAnsi="Times New Roman"/>
          <w:b/>
          <w:color w:val="000000"/>
          <w:sz w:val="20"/>
        </w:rPr>
      </w:pPr>
      <w:bookmarkStart w:id="15" w:name="item3_marketrisk"/>
      <w:bookmarkEnd w:id="15"/>
      <w:r>
        <w:rPr>
          <w:rFonts w:ascii="Times New Roman" w:hAnsi="Times New Roman"/>
          <w:b/>
          <w:color w:val="000000"/>
          <w:sz w:val="20"/>
        </w:rPr>
        <w:t>Item 3. Quantitative and Qualitative Disclosures About Market Risk.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subject to financial market risks, including changes in interest rates. Changes in interest rates affect both our cost of funding and the valuation of our investment portfolio. Uncertainty with respect to the rising interest rates, inflationary pressures, the Russia-Ukraine war and the conflict in the Middle East and the failure of financial institutions introduced significant volatility in the financial markets, and the effects of this volatility has materially impacted and could continue to materially impact our market risks. Our risk management systems and procedures are designed to identify and analyze our risk, to set appropriate policies and limits and to continually monitor these risks and limits by means of reliable administrative and information systems and other policies and programs. The prices of securities held by us may decline in response to certain events, including those directly involving the companies in which we invest and conditions affecting the general economy, including: overall market changes, including an increase in market volatility; legislative reform; local, regional, national or global political, social or economic instability; and interest rate volatility, including the replacement of LIBOR with alternate rates.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future, our investment income may also be affected by changes in various interest rates, including changes in alternate rates and prime rates, to the extent of any debt investments that include floating interest rates. Since March 2022, the Federal Reserve has been rapidly raising interest rates bringing it up to 5.25% to 5.50% range. Although the Federal Reserve left its benchmark rates steady in the fourth quarter of 2023, it has indicated that additional rate increases in the future may be necessary to mitigate inflationary pressures and there can be no assurance that the Federal Reserve will not make upwards adjustments to the federal funds rate in the future. Notwithstanding the foregoing, there are reports that the Federal Reserve may begin to cut the benchmark rates in 2024. In a rising interest rate environment, our cost of funds would increase, which could reduce our net investment income if there is not a corresponding increase in interest income generated by our investment portfolio. It is possible that the Federal Reserve's tightening cycle could result the United States into a recession, which would likely decrease interest rates. A prolonged reduction in interest rates will reduce our gross investment income and could result in a decrease in our net investment income if such decreases in base rates, such as SOFR are not offset by a corresponding increase in the spread over such base rate that we earn on any portfolio investments, a decrease in in our operating expenses, including with respect to our income incentive fee, or a decrease in the interest rate of our floating interest rate liabilities tied to such base rate. See Risk Factors contained herein under Part II, Item 1A and in our Annual Report on Form 10-K for the year ended December 31, 2023, such as "Changes in interest rates will affect our cost of capital and net investment income” and “Inflation may adversely affect the business, results of operations and financial condition of our portfolio companies, which may, in turn, impact the valuation of such portfolio companies.”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March 31, 2024 and December 31, 2023, the debt investments in 48 and 46 portfolio companies, respectively, bore interest at a variable rate, which represented $664.6 million, or 72.5%, and $629.3 million, or 75.6%,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2.675% on SOFR loans prior to satisfying certain step-down conditions (or 2.50% after satisfying certain step-down conditions, with commensurate reductions in the applicable margins for base rate loans). 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Agreement relating to the Credit Facility contains certain covenants, including a minimum asset coverage ratio of 1.50 to 1.00 (on a regulatory basis) and a senior asset coverage ratio of no less than 2.00 to 1.00. As of March 31, 2024, the Credit Facility is secured by a first priority security interest in all of our assets, excluding the assets of Fund II and Fund III.</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the approximate annualized increase or decrease in the components of net investment income due to hypothetical base rate changes in interest rates, assuming no changes in our investments and borrowings as of March 31, 2024 (dollars in millions):</w:t>
      </w:r>
    </w:p>
    <w:p>
      <w:pPr>
        <w:pStyle w:val="TextBody"/>
        <w:bidi w:val="0"/>
        <w:jc w:val="both"/>
        <w:rPr/>
      </w:pPr>
      <w:r>
        <w:rPr/>
        <w:t> </w:t>
      </w:r>
    </w:p>
    <w:tbl>
      <w:tblPr>
        <w:tblW w:w="8554" w:type="dxa"/>
        <w:jc w:val="left"/>
        <w:tblInd w:w="0" w:type="dxa"/>
        <w:tblLayout w:type="fixed"/>
        <w:tblCellMar>
          <w:top w:w="28" w:type="dxa"/>
          <w:left w:w="28" w:type="dxa"/>
          <w:bottom w:w="28" w:type="dxa"/>
          <w:right w:w="28" w:type="dxa"/>
        </w:tblCellMar>
      </w:tblPr>
      <w:tblGrid>
        <w:gridCol w:w="637"/>
        <w:gridCol w:w="1733"/>
        <w:gridCol w:w="166"/>
        <w:gridCol w:w="146"/>
        <w:gridCol w:w="356"/>
        <w:gridCol w:w="874"/>
        <w:gridCol w:w="166"/>
        <w:gridCol w:w="146"/>
        <w:gridCol w:w="429"/>
        <w:gridCol w:w="861"/>
        <w:gridCol w:w="166"/>
        <w:gridCol w:w="146"/>
        <w:gridCol w:w="290"/>
        <w:gridCol w:w="715"/>
        <w:gridCol w:w="166"/>
        <w:gridCol w:w="146"/>
        <w:gridCol w:w="346"/>
        <w:gridCol w:w="854"/>
        <w:gridCol w:w="211"/>
      </w:tblGrid>
      <w:tr>
        <w:trPr/>
        <w:tc>
          <w:tcPr>
            <w:tcW w:w="63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7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37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Investment</w:t>
            </w:r>
          </w:p>
        </w:tc>
        <w:tc>
          <w:tcPr>
            <w:tcW w:w="211" w:type="dxa"/>
            <w:tcBorders/>
            <w:shd w:fill="FFFFFF" w:val="clear"/>
            <w:vAlign w:val="center"/>
          </w:tcPr>
          <w:p>
            <w:pPr>
              <w:pStyle w:val="TableContents"/>
              <w:bidi w:val="0"/>
              <w:spacing w:before="0" w:after="283"/>
              <w:jc w:val="center"/>
              <w:rPr/>
            </w:pPr>
            <w:r>
              <w:rPr/>
              <w:t> </w:t>
            </w:r>
          </w:p>
        </w:tc>
      </w:tr>
      <w:tr>
        <w:trPr/>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Basis Point Increase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(Decrease) </w:t>
            </w:r>
            <w:r>
              <w:rPr>
                <w:rFonts w:ascii="Times New Roman" w:hAnsi="Times New Roman"/>
                <w:b/>
                <w:color w:val="000000"/>
                <w:sz w:val="11"/>
              </w:rPr>
              <w:t>(1)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(Decrease) </w:t>
            </w:r>
            <w:r>
              <w:rPr>
                <w:rFonts w:ascii="Times New Roman" w:hAnsi="Times New Roman"/>
                <w:b/>
                <w:color w:val="000000"/>
                <w:sz w:val="11"/>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Income </w:t>
            </w:r>
            <w:r>
              <w:rPr>
                <w:rFonts w:ascii="Times New Roman" w:hAnsi="Times New Roman"/>
                <w:b/>
                <w:color w:val="000000"/>
                <w:sz w:val="11"/>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21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1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1" w:type="dxa"/>
            <w:tcBorders/>
            <w:shd w:fill="CCEEFF" w:val="clear"/>
            <w:vAlign w:val="center"/>
          </w:tcPr>
          <w:p>
            <w:pPr>
              <w:pStyle w:val="TableContents"/>
              <w:bidi w:val="0"/>
              <w:spacing w:before="0" w:after="283"/>
              <w:jc w:val="left"/>
              <w:rPr/>
            </w:pPr>
            <w:r>
              <w:rPr/>
              <w:t> </w:t>
            </w:r>
          </w:p>
        </w:tc>
      </w:tr>
      <w:tr>
        <w:trPr/>
        <w:tc>
          <w:tcPr>
            <w:tcW w:w="637"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11" w:type="dxa"/>
            <w:tcBorders/>
            <w:shd w:fill="FFFFFF" w:val="clear"/>
            <w:vAlign w:val="center"/>
          </w:tcPr>
          <w:p>
            <w:pPr>
              <w:pStyle w:val="TableContents"/>
              <w:bidi w:val="0"/>
              <w:spacing w:before="0" w:after="283"/>
              <w:jc w:val="left"/>
              <w:rPr/>
            </w:pPr>
            <w:r>
              <w:rPr/>
              <w:t> </w:t>
            </w:r>
          </w:p>
        </w:tc>
      </w:tr>
      <w:tr>
        <w:trPr/>
        <w:tc>
          <w:tcPr>
            <w:tcW w:w="637"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211" w:type="dxa"/>
            <w:tcBorders/>
            <w:shd w:fill="CCEEFF" w:val="clear"/>
            <w:vAlign w:val="center"/>
          </w:tcPr>
          <w:p>
            <w:pPr>
              <w:pStyle w:val="TableContents"/>
              <w:bidi w:val="0"/>
              <w:spacing w:before="0" w:after="283"/>
              <w:jc w:val="left"/>
              <w:rPr/>
            </w:pPr>
            <w:r>
              <w:rPr/>
              <w:t> </w:t>
            </w:r>
          </w:p>
        </w:tc>
      </w:tr>
      <w:tr>
        <w:trPr/>
        <w:tc>
          <w:tcPr>
            <w:tcW w:w="637"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211" w:type="dxa"/>
            <w:tcBorders/>
            <w:shd w:fill="FFFFFF" w:val="clear"/>
            <w:vAlign w:val="center"/>
          </w:tcPr>
          <w:p>
            <w:pPr>
              <w:pStyle w:val="TableContents"/>
              <w:bidi w:val="0"/>
              <w:spacing w:before="0" w:after="283"/>
              <w:jc w:val="left"/>
              <w:rPr/>
            </w:pPr>
            <w:r>
              <w:rPr/>
              <w:t> </w:t>
            </w:r>
          </w:p>
        </w:tc>
      </w:tr>
      <w:tr>
        <w:trPr/>
        <w:tc>
          <w:tcPr>
            <w:tcW w:w="637"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211" w:type="dxa"/>
            <w:tcBorders/>
            <w:shd w:fill="CCEEFF" w:val="clear"/>
            <w:vAlign w:val="center"/>
          </w:tcPr>
          <w:p>
            <w:pPr>
              <w:pStyle w:val="TableContents"/>
              <w:bidi w:val="0"/>
              <w:spacing w:before="0" w:after="283"/>
              <w:jc w:val="left"/>
              <w:rPr/>
            </w:pPr>
            <w:r>
              <w:rPr/>
              <w:t> </w:t>
            </w:r>
          </w:p>
        </w:tc>
      </w:tr>
      <w:tr>
        <w:trPr/>
        <w:tc>
          <w:tcPr>
            <w:tcW w:w="637"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6"/>
        </w:rPr>
      </w:pPr>
      <w:r>
        <w:rPr>
          <w:rFonts w:ascii="Times New Roman" w:hAnsi="Times New Roman"/>
          <w:color w:val="000000"/>
          <w:sz w:val="16"/>
        </w:rPr>
        <w:t>(1) Certain of our variable rate debt investments have a PRIME or SOFR interest rate floor, which lessens the impact of decreases in interest rates.</w:t>
      </w:r>
    </w:p>
    <w:p>
      <w:pPr>
        <w:pStyle w:val="TextBody"/>
        <w:bidi w:val="0"/>
        <w:jc w:val="both"/>
        <w:rPr>
          <w:rFonts w:ascii="Times New Roman" w:hAnsi="Times New Roman"/>
          <w:color w:val="000000"/>
          <w:sz w:val="16"/>
        </w:rPr>
      </w:pPr>
      <w:r>
        <w:rPr>
          <w:rFonts w:ascii="Times New Roman" w:hAnsi="Times New Roman"/>
          <w:color w:val="000000"/>
          <w:sz w:val="16"/>
        </w:rPr>
        <w:t>(2) Interest income calculated assuming three-month PRIME, and SOFR rate as of March 31, 2024.</w:t>
      </w:r>
    </w:p>
    <w:p>
      <w:pPr>
        <w:pStyle w:val="TextBody"/>
        <w:bidi w:val="0"/>
        <w:jc w:val="both"/>
        <w:rPr>
          <w:rFonts w:ascii="Times New Roman" w:hAnsi="Times New Roman"/>
          <w:color w:val="000000"/>
          <w:sz w:val="16"/>
        </w:rPr>
      </w:pPr>
      <w:r>
        <w:rPr>
          <w:rFonts w:ascii="Times New Roman" w:hAnsi="Times New Roman"/>
          <w:color w:val="000000"/>
          <w:sz w:val="16"/>
        </w:rPr>
        <w:t>(3) Includes the impact of income incentive fee at 20.0% on net increase (decrease) in net interest.</w:t>
      </w:r>
    </w:p>
    <w:p>
      <w:pPr>
        <w:pStyle w:val="TextBody"/>
        <w:bidi w:val="0"/>
        <w:jc w:val="both"/>
        <w:rPr>
          <w:rFonts w:ascii="Times New Roman" w:hAnsi="Times New Roman"/>
          <w:color w:val="000000"/>
          <w:sz w:val="16"/>
        </w:rPr>
      </w:pPr>
      <w:r>
        <w:rPr>
          <w:rFonts w:ascii="Times New Roman" w:hAnsi="Times New Roman"/>
          <w:color w:val="000000"/>
          <w:sz w:val="16"/>
        </w:rPr>
        <w:t>(4) As of March 31, 2024, we had $22.5 million of borrowings outstanding under our Credit Facility.</w:t>
      </w:r>
    </w:p>
    <w:p>
      <w:pPr>
        <w:pStyle w:val="TextBody"/>
        <w:bidi w:val="0"/>
        <w:jc w:val="both"/>
        <w:rPr>
          <w:rFonts w:ascii="Times New Roman" w:hAnsi="Times New Roman"/>
          <w:sz w:val="20"/>
        </w:rPr>
      </w:pPr>
      <w:r>
        <w:rPr>
          <w:rFonts w:ascii="Times New Roman" w:hAnsi="Times New Roman"/>
          <w:color w:val="000000"/>
          <w:sz w:val="16"/>
        </w:rPr>
        <w:br/>
      </w:r>
      <w:r>
        <w:rPr>
          <w:rFonts w:ascii="Times New Roman" w:hAnsi="Times New Roman"/>
          <w:color w:val="000000"/>
          <w:sz w:val="20"/>
        </w:rPr>
        <w:t> </w:t>
      </w:r>
    </w:p>
    <w:p>
      <w:pPr>
        <w:pStyle w:val="TextBody"/>
        <w:bidi w:val="0"/>
        <w:spacing w:before="0" w:after="180"/>
        <w:jc w:val="left"/>
        <w:rPr>
          <w:rFonts w:ascii="Times New Roman" w:hAnsi="Times New Roman"/>
          <w:b/>
          <w:color w:val="000000"/>
          <w:sz w:val="20"/>
        </w:rPr>
      </w:pPr>
      <w:bookmarkStart w:id="16" w:name="item4_controls"/>
      <w:bookmarkEnd w:id="16"/>
      <w:r>
        <w:rPr>
          <w:rFonts w:ascii="Times New Roman" w:hAnsi="Times New Roman"/>
          <w:b/>
          <w:color w:val="000000"/>
          <w:sz w:val="20"/>
        </w:rPr>
        <w:t>Item 4. Controls and Procedures.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during the first quarter of 2024 that have materially affected, or are reasonably likely to materially affect, our internal control over financial reporting.</w:t>
      </w:r>
    </w:p>
    <w:p>
      <w:pPr>
        <w:pStyle w:val="TextBody"/>
        <w:bidi w:val="0"/>
        <w:jc w:val="both"/>
        <w:rPr>
          <w:rFonts w:ascii="Times New Roman" w:hAnsi="Times New Roman"/>
          <w:color w:val="000000"/>
          <w:sz w:val="20"/>
        </w:rPr>
      </w:pPr>
      <w:r>
        <w:rPr>
          <w:rFonts w:ascii="Times New Roman" w:hAnsi="Times New Roman"/>
          <w:color w:val="000000"/>
          <w:sz w:val="20"/>
        </w:rPr>
        <w:br/>
        <w:t> </w:t>
      </w:r>
    </w:p>
    <w:p>
      <w:pPr>
        <w:pStyle w:val="TextBody"/>
        <w:bidi w:val="0"/>
        <w:jc w:val="both"/>
        <w:rPr>
          <w:rFonts w:ascii="Times New Roman" w:hAnsi="Times New Roman"/>
          <w:b/>
          <w:color w:val="000000"/>
          <w:sz w:val="20"/>
        </w:rPr>
      </w:pPr>
      <w:bookmarkStart w:id="17" w:name="part_ii"/>
      <w:bookmarkEnd w:id="17"/>
      <w:r>
        <w:rPr>
          <w:rFonts w:ascii="Times New Roman" w:hAnsi="Times New Roman"/>
          <w:b/>
          <w:color w:val="000000"/>
          <w:sz w:val="20"/>
        </w:rPr>
        <w:t>PART II — OTHER INFORMATION</w:t>
      </w:r>
    </w:p>
    <w:p>
      <w:pPr>
        <w:pStyle w:val="TextBody"/>
        <w:bidi w:val="0"/>
        <w:jc w:val="both"/>
        <w:rPr/>
      </w:pPr>
      <w:r>
        <w:rPr/>
        <w:t> </w:t>
      </w:r>
    </w:p>
    <w:p>
      <w:pPr>
        <w:pStyle w:val="TextBody"/>
        <w:bidi w:val="0"/>
        <w:jc w:val="both"/>
        <w:rPr>
          <w:rFonts w:ascii="Times New Roman" w:hAnsi="Times New Roman"/>
          <w:b/>
          <w:color w:val="000000"/>
          <w:sz w:val="20"/>
        </w:rPr>
      </w:pPr>
      <w:bookmarkStart w:id="18" w:name="item1_legal_proceedings"/>
      <w:bookmarkEnd w:id="18"/>
      <w:r>
        <w:rPr>
          <w:rFonts w:ascii="Times New Roman" w:hAnsi="Times New Roman"/>
          <w:b/>
          <w:color w:val="000000"/>
          <w:sz w:val="20"/>
        </w:rPr>
        <w:t>Item 1. 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not, and the Investment Advisor is not, currently subject to any material legal proceedings.</w:t>
      </w:r>
    </w:p>
    <w:p>
      <w:pPr>
        <w:pStyle w:val="TextBody"/>
        <w:bidi w:val="0"/>
        <w:jc w:val="both"/>
        <w:rPr/>
      </w:pPr>
      <w:r>
        <w:rPr/>
        <w:t> </w:t>
      </w:r>
    </w:p>
    <w:p>
      <w:pPr>
        <w:pStyle w:val="TextBody"/>
        <w:bidi w:val="0"/>
        <w:jc w:val="both"/>
        <w:rPr>
          <w:rFonts w:ascii="Times New Roman" w:hAnsi="Times New Roman"/>
          <w:sz w:val="20"/>
        </w:rPr>
      </w:pPr>
      <w:bookmarkStart w:id="19" w:name="item1a_risk_factors"/>
      <w:bookmarkEnd w:id="19"/>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have been no material changes to the risk factors previously disclosed under "Item 1A. Risk Factors” previously disclosed in our Annual Report on Form 10-K for the year ended December 31, 2023 filed with the SEC on February 29, 2024, which are incorporated herein by reference. The risk factors therein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pStyle w:val="TextBody"/>
        <w:bidi w:val="0"/>
        <w:jc w:val="both"/>
        <w:rPr/>
      </w:pPr>
      <w:r>
        <w:rPr/>
        <w:t> </w:t>
      </w:r>
    </w:p>
    <w:p>
      <w:pPr>
        <w:pStyle w:val="TextBody"/>
        <w:bidi w:val="0"/>
        <w:jc w:val="both"/>
        <w:rPr>
          <w:rFonts w:ascii="Times New Roman" w:hAnsi="Times New Roman"/>
          <w:sz w:val="20"/>
        </w:rPr>
      </w:pPr>
      <w:bookmarkStart w:id="20" w:name="item2_unregistered_sales_equity"/>
      <w:bookmarkEnd w:id="20"/>
      <w:r>
        <w:rPr>
          <w:rFonts w:ascii="Times New Roman" w:hAnsi="Times New Roman"/>
          <w:b/>
          <w:color w:val="000000"/>
          <w:sz w:val="20"/>
        </w:rPr>
        <w:t>Item 2. Unregistered Sales of Equity</w:t>
      </w:r>
      <w:r>
        <w:rPr>
          <w:rFonts w:ascii="Times New Roman" w:hAnsi="Times New Roman"/>
          <w:color w:val="000000"/>
          <w:sz w:val="20"/>
        </w:rPr>
        <w:t xml:space="preserve"> </w:t>
      </w:r>
      <w:r>
        <w:rPr>
          <w:rFonts w:ascii="Times New Roman" w:hAnsi="Times New Roman"/>
          <w:b/>
          <w:color w:val="000000"/>
          <w:sz w:val="20"/>
        </w:rPr>
        <w:t>Securities and Use of Proceeds.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Sales of Unregistered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Issuer Purchases of Equity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Most recently, on October 30, 2023, the Board extended the Stock Repurchase Program through December 31, 2024,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t>
      </w:r>
    </w:p>
    <w:p>
      <w:pPr>
        <w:pStyle w:val="TextBody"/>
        <w:bidi w:val="0"/>
        <w:jc w:val="both"/>
        <w:rPr/>
      </w:pPr>
      <w:r>
        <w:rPr/>
        <w:t> </w:t>
      </w:r>
    </w:p>
    <w:p>
      <w:pPr>
        <w:pStyle w:val="TextBody"/>
        <w:bidi w:val="0"/>
        <w:jc w:val="both"/>
        <w:rPr>
          <w:rFonts w:ascii="Times New Roman" w:hAnsi="Times New Roman"/>
          <w:sz w:val="20"/>
        </w:rPr>
      </w:pPr>
      <w:bookmarkStart w:id="21" w:name="item3_defaults_upon_senior_securities"/>
      <w:bookmarkEnd w:id="2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3. Defaults Upon Senior Securities.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sz w:val="20"/>
        </w:rPr>
      </w:pPr>
      <w:bookmarkStart w:id="22" w:name="item4_mine_safety_disclosures"/>
      <w:bookmarkEnd w:id="22"/>
      <w:r>
        <w:rPr>
          <w:rFonts w:ascii="Times New Roman" w:hAnsi="Times New Roman"/>
          <w:b/>
          <w:color w:val="000000"/>
          <w:sz w:val="20"/>
        </w:rPr>
        <w:t>Item 4. Mine Safety Disclosures</w:t>
      </w:r>
      <w:r>
        <w:rPr>
          <w:rFonts w:ascii="Times New Roman" w:hAnsi="Times New Roman"/>
          <w:b/>
          <w:i/>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b/>
          <w:color w:val="000000"/>
          <w:sz w:val="20"/>
        </w:rPr>
      </w:pPr>
      <w:bookmarkStart w:id="23" w:name="item5_other_information"/>
      <w:bookmarkEnd w:id="23"/>
      <w:r>
        <w:rPr>
          <w:rFonts w:ascii="Times New Roman" w:hAnsi="Times New Roman"/>
          <w:b/>
          <w:color w:val="000000"/>
          <w:sz w:val="20"/>
        </w:rPr>
        <w:t>Item 5. Other Information.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4"/>
        <w:gridCol w:w="9901"/>
      </w:tblGrid>
      <w:tr>
        <w:trPr/>
        <w:tc>
          <w:tcPr>
            <w:tcW w:w="304" w:type="dxa"/>
            <w:tcBorders/>
            <w:vAlign w:val="center"/>
          </w:tcPr>
          <w:p>
            <w:pPr>
              <w:pStyle w:val="TableContents"/>
              <w:bidi w:val="0"/>
              <w:spacing w:before="0" w:after="283"/>
              <w:jc w:val="left"/>
              <w:rPr>
                <w:sz w:val="4"/>
                <w:szCs w:val="4"/>
              </w:rPr>
            </w:pPr>
            <w:r>
              <w:rPr>
                <w:sz w:val="4"/>
                <w:szCs w:val="4"/>
              </w:rPr>
            </w:r>
          </w:p>
        </w:tc>
        <w:tc>
          <w:tcPr>
            <w:tcW w:w="9901" w:type="dxa"/>
            <w:tcBorders/>
            <w:vAlign w:val="center"/>
          </w:tcPr>
          <w:p>
            <w:pPr>
              <w:pStyle w:val="TableContents"/>
              <w:bidi w:val="0"/>
              <w:spacing w:before="0" w:after="283"/>
              <w:jc w:val="left"/>
              <w:rPr>
                <w:sz w:val="4"/>
                <w:szCs w:val="4"/>
              </w:rPr>
            </w:pPr>
            <w:r>
              <w:rPr>
                <w:sz w:val="4"/>
                <w:szCs w:val="4"/>
              </w:rPr>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9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 the period covered by this Quarterly Report on Form 10-Q, no director or officer of the Company has entered into any (i) contract, instruction or written plan for the purchase or sale of securities of the Company intended to satisfy the affirmative defense conditions of Rule 10b5-1(c) under the Exchange Act or (ii) any non-Rule 10b5-1 trading arrangement.</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4" w:name="item6_exhibits"/>
      <w:bookmarkEnd w:id="24"/>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4"/>
        <w:gridCol w:w="146"/>
        <w:gridCol w:w="9235"/>
      </w:tblGrid>
      <w:tr>
        <w:trPr/>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5" w:type="dxa"/>
            <w:tcBorders/>
            <w:vAlign w:val="center"/>
          </w:tcPr>
          <w:p>
            <w:pPr>
              <w:pStyle w:val="TableContents"/>
              <w:bidi w:val="0"/>
              <w:spacing w:before="0" w:after="283"/>
              <w:jc w:val="left"/>
              <w:rPr>
                <w:sz w:val="4"/>
                <w:szCs w:val="4"/>
              </w:rPr>
            </w:pPr>
            <w:r>
              <w:rPr>
                <w:sz w:val="4"/>
                <w:szCs w:val="4"/>
              </w:rPr>
            </w:r>
          </w:p>
        </w:tc>
      </w:tr>
      <w:tr>
        <w:trPr/>
        <w:tc>
          <w:tcPr>
            <w:tcW w:w="82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3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Articles of Amendment and Restatement of the Registrant (Filed as Exhibit (a)(1) to Pre-Effective Amendment No. 2 to the Registrant’s Registration Statement on Form N-2 (File No. 333-172550) filed with the U.S. Securities and Exchange Commission on April 29, 2011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Bylaws of the Registrant (Filed as Exhibit (b)(1) to Pre-Effective Amendment No. 2 to the Registrant’s Registration Statement on Form N-2 (File No. 333-172550) filed with the U.S. Securities and Exchange Commission on April 29, 2011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Stock Certificate of the Registrant (Filed as Exhibit (d) to Pre-Effective Amendment No. 2 to the Registrant’s Registration Statement on Form N-2 (File No. 333-172550) filed with the U.S. Securities and Exchange Commission on April 29, 2011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Agreement to Furnish Certain Instruments (Filed as Exhibit (f)(2) to Pre-Effective Amendment No. 3 to the Registrant’s Registration Statement on Form N-2 (File No. 333-172550) filed with the U.S. Securities and Exchange Commission on May 26, 2011 and incorporated herein by reference)</w:t>
              </w:r>
            </w:hyperlink>
            <w:r>
              <w:rPr>
                <w:rFonts w:ascii="Times New Roman" w:hAnsi="Times New Roman"/>
                <w:color w:val="000000"/>
                <w:sz w:val="20"/>
              </w:rPr>
              <w:t>.</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Indenture (Filed as Exhibit (d)(5) to Post-Effective Amendment No. 2 to the Registrant’s Registration Statement on Form N-2 (File No. 333-202531) filed with the U.S. Securities and Exchange Commission on April 29, 2016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Fourth Supplemental Indenture dated as of December 23, 2020 between Fidus Investment Corporation and U.S. Bank National Association, as trustee (Filed as Exhibit 4.1 to the Registrant’s Current Report on Form 8-K filed with the U.S. Securities and Exchange Commission on December 23, 2020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Global Note with respect to the 4.75% Notes due 2026 (Filed as Exhibit 4.1 to the Registrant’s Current Report on Form 8-K filed with the U.S. Securities and Exchange Commission on December 23, 2020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Fifth Supplemental Indenture dated as of October 8, 2021 between Fidus Investment Corporation and U.S. Bank National Association, as trustee (Filed as Exhibit 4.1 to the Registrant’s Current Report on Form 8-K filed with the U.S. Securities and Exchange Commission on October 8, 2021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Global Note with respect to the 3.50% Notes due 2026 (Filed as Exhibit 4.1 to the Registrant’s Current Report on Form 8-K filed with the U.S. Securities and Exchange Commission on October 8, 2021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Amendment No. 2, dated February 29, 2024, to Equity Distribution Agreement by and among Fidus Investment Corporation and Fidus Investment Advisors, LLC, on the one hand, and Raymond James &amp; Associates, Inc. and B. Riley Securities, Inc., on the other hand (Filed as Exhibit 10.1 to the Registrant’s Current Report on Form 8-K filed with the U.S. Securities and Exchange Commission on February 29, 2024 and incorporated herein by reference).</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w:anchor="fdus-ex31_1.htm">
              <w:r>
                <w:rPr>
                  <w:rStyle w:val="InternetLink"/>
                  <w:rFonts w:ascii="Times New Roman" w:hAnsi="Times New Roman"/>
                  <w:color w:val="0000FF"/>
                  <w:sz w:val="20"/>
                  <w:u w:val="single"/>
                </w:rPr>
                <w:t>Chief Executive Officer Certification Pursuant to Rule 13a-14 of the Securities Exchange Act of 1934, as adopted pursuant to Section 302 of the Sarbanes-Oxley Act of 2002.*</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w:anchor="fdus-ex31_2.htm">
              <w:r>
                <w:rPr>
                  <w:rStyle w:val="InternetLink"/>
                  <w:rFonts w:ascii="Times New Roman" w:hAnsi="Times New Roman"/>
                  <w:color w:val="0000FF"/>
                  <w:sz w:val="20"/>
                  <w:u w:val="single"/>
                </w:rPr>
                <w:t>Chief Financial Officer Certification Pursuant to Rule 13a-14 of the Securities Exchange Act of 1934, as adopted pursuant to Section 302 of the Sarbanes-Oxley Act of 2002.*</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hyperlink w:anchor="fdus-ex32_1.htm">
              <w:r>
                <w:rPr>
                  <w:rStyle w:val="InternetLink"/>
                  <w:rFonts w:ascii="Times New Roman" w:hAnsi="Times New Roman"/>
                  <w:color w:val="0000FF"/>
                  <w:sz w:val="20"/>
                  <w:u w:val="single"/>
                </w:rPr>
                <w:t>Certification pursuant to Section 1350, Chapter 63 of Title 18, United States Code, as adopted pursuant to Section 906 of the Sarbanes-Oxley Act of 2002.*</w:t>
              </w:r>
            </w:hyperlink>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bl>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723" w:type="dxa"/>
        <w:jc w:val="left"/>
        <w:tblInd w:w="0" w:type="dxa"/>
        <w:tblLayout w:type="fixed"/>
        <w:tblCellMar>
          <w:top w:w="28" w:type="dxa"/>
          <w:left w:w="28" w:type="dxa"/>
          <w:bottom w:w="28" w:type="dxa"/>
          <w:right w:w="28" w:type="dxa"/>
        </w:tblCellMar>
      </w:tblPr>
      <w:tblGrid>
        <w:gridCol w:w="871"/>
        <w:gridCol w:w="146"/>
        <w:gridCol w:w="670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*Filed herewith.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signatures"/>
      <w:bookmarkEnd w:id="25"/>
      <w:r>
        <w:rPr>
          <w:rFonts w:ascii="Times New Roman" w:hAnsi="Times New Roman"/>
          <w:b/>
          <w:color w:val="000000"/>
          <w:sz w:val="20"/>
        </w:rPr>
        <w:t>SIGNATURES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5402" w:type="dxa"/>
        <w:jc w:val="left"/>
        <w:tblInd w:w="0" w:type="dxa"/>
        <w:tblLayout w:type="fixed"/>
        <w:tblCellMar>
          <w:top w:w="28" w:type="dxa"/>
          <w:left w:w="28" w:type="dxa"/>
          <w:bottom w:w="28" w:type="dxa"/>
          <w:right w:w="28" w:type="dxa"/>
        </w:tblCellMar>
      </w:tblPr>
      <w:tblGrid>
        <w:gridCol w:w="163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FIDUS INVESTMENT CORPORATION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2, 2024</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EDWARD H. ROSS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H. Ross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 2024</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SHELBY E. SHERARD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bookmarkStart w:id="26" w:name="fdus-ex31_1.htm"/>
      <w:bookmarkStart w:id="27" w:name="ksfdusex31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 Chief Executive Officer 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Edward H. Ross, as Chief Executive Officer of Fidus Investment Corporation,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Fidus Investment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May 2, 2024</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EDWARD H. ROSS </w:t>
      </w:r>
    </w:p>
    <w:p>
      <w:pPr>
        <w:pStyle w:val="TextBody"/>
        <w:bidi w:val="0"/>
        <w:jc w:val="left"/>
        <w:rPr>
          <w:rFonts w:ascii="Times New Roman" w:hAnsi="Times New Roman"/>
          <w:color w:val="000000"/>
          <w:sz w:val="20"/>
        </w:rPr>
      </w:pPr>
      <w:r>
        <w:rPr>
          <w:rFonts w:ascii="Times New Roman" w:hAnsi="Times New Roman"/>
          <w:color w:val="000000"/>
          <w:sz w:val="20"/>
        </w:rPr>
        <w:t>Edward H. Ross</w:t>
      </w:r>
    </w:p>
    <w:p>
      <w:pPr>
        <w:pStyle w:val="TextBody"/>
        <w:bidi w:val="0"/>
        <w:jc w:val="left"/>
        <w:rPr>
          <w:rFonts w:ascii="Times New Roman" w:hAnsi="Times New Roman"/>
          <w:color w:val="000000"/>
          <w:sz w:val="20"/>
        </w:rPr>
      </w:pPr>
      <w:r>
        <w:rPr>
          <w:rFonts w:ascii="Times New Roman" w:hAnsi="Times New Roman"/>
          <w:color w:val="000000"/>
          <w:sz w:val="20"/>
        </w:rPr>
        <w:t>Chairman and Chief Executive Officer</w:t>
      </w:r>
    </w:p>
    <w:p>
      <w:pPr>
        <w:pStyle w:val="TextBody"/>
        <w:bidi w:val="0"/>
        <w:jc w:val="left"/>
        <w:rPr>
          <w:rFonts w:ascii="Times New Roman" w:hAnsi="Times New Roman"/>
          <w:color w:val="000000"/>
          <w:sz w:val="20"/>
        </w:rPr>
      </w:pPr>
      <w:r>
        <w:rPr>
          <w:rFonts w:ascii="Times New Roman" w:hAnsi="Times New Roman"/>
          <w:color w:val="000000"/>
          <w:sz w:val="20"/>
        </w:rPr>
        <w:t>(Principal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fdus-ex31_2.htm"/>
      <w:bookmarkStart w:id="29" w:name="ksfdus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 Chief Financial Officer 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Shelby E. Sherard, as Chief Financial Officer of Fidus Investment Corporation,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Fidus Investment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May 2, 2024</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SHELBY E. SHERARD </w:t>
      </w:r>
    </w:p>
    <w:p>
      <w:pPr>
        <w:pStyle w:val="TextBody"/>
        <w:bidi w:val="0"/>
        <w:jc w:val="left"/>
        <w:rPr>
          <w:rFonts w:ascii="Times New Roman" w:hAnsi="Times New Roman"/>
          <w:color w:val="000000"/>
          <w:sz w:val="20"/>
        </w:rPr>
      </w:pPr>
      <w:r>
        <w:rPr>
          <w:rFonts w:ascii="Times New Roman" w:hAnsi="Times New Roman"/>
          <w:color w:val="000000"/>
          <w:sz w:val="20"/>
        </w:rPr>
        <w:t>Shelby E. Sherard</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rFonts w:ascii="Times New Roman" w:hAnsi="Times New Roman"/>
          <w:color w:val="000000"/>
          <w:sz w:val="20"/>
        </w:rPr>
      </w:pPr>
      <w:r>
        <w:rPr>
          <w:rFonts w:ascii="Times New Roman" w:hAnsi="Times New Roman"/>
          <w:color w:val="000000"/>
          <w:sz w:val="20"/>
        </w:rPr>
        <w:t>(Principal Financial and Accounting Officer)</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fdus-ex32_1.htm"/>
      <w:bookmarkStart w:id="31" w:name="ksfdus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Fidus Investment Corporation (the “Company”) for the quarterly period ended March 31, 2024,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both"/>
        <w:rPr/>
      </w:pPr>
      <w:r>
        <w:rPr/>
        <w:t> </w:t>
      </w:r>
    </w:p>
    <w:tbl>
      <w:tblPr>
        <w:tblW w:w="5402" w:type="dxa"/>
        <w:jc w:val="left"/>
        <w:tblInd w:w="0" w:type="dxa"/>
        <w:tblLayout w:type="fixed"/>
        <w:tblCellMar>
          <w:top w:w="28" w:type="dxa"/>
          <w:left w:w="28" w:type="dxa"/>
          <w:bottom w:w="28" w:type="dxa"/>
          <w:right w:w="28" w:type="dxa"/>
        </w:tblCellMar>
      </w:tblPr>
      <w:tblGrid>
        <w:gridCol w:w="163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 2024</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EDWARD H. ROSS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H. Ross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SHELBY E. SHERARD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180" w:after="283"/>
        <w:jc w:val="left"/>
        <w:rPr/>
      </w:pPr>
      <w:r>
        <w:rPr/>
        <w:t> </w:t>
      </w:r>
    </w:p>
    <w:p>
      <w:pPr>
        <w:pStyle w:val="TextBody"/>
        <w:bidi w:val="0"/>
        <w:jc w:val="left"/>
        <w:rPr/>
      </w:pPr>
      <w:r>
        <w:rPr/>
        <w:t> </w:t>
      </w:r>
    </w:p>
    <w:p>
      <w:pPr>
        <w:pStyle w:val="TextBody"/>
        <w:bidi w:val="0"/>
        <w:jc w:val="both"/>
        <w:rPr/>
      </w:pPr>
      <w:r>
        <w:rPr/>
        <w:t> </w:t>
      </w:r>
    </w:p>
    <w:p>
      <w:pPr>
        <w:pStyle w:val="TextBody"/>
        <w:bidi w:val="0"/>
        <w:spacing w:before="0" w:after="18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3363/000095012311041885/w81466a2exv99wxayx1y.htm" TargetMode="External"/><Relationship Id="rId3" Type="http://schemas.openxmlformats.org/officeDocument/2006/relationships/hyperlink" Target="https://www.sec.gov/Archives/edgar/data/1513363/000095012311041885/w81466a2exv99wxbyx1y.htm" TargetMode="External"/><Relationship Id="rId4" Type="http://schemas.openxmlformats.org/officeDocument/2006/relationships/hyperlink" Target="https://www.sec.gov/Archives/edgar/data/1513363/000095012311041885/w81466a2exv99wxdy.htm" TargetMode="External"/><Relationship Id="rId5" Type="http://schemas.openxmlformats.org/officeDocument/2006/relationships/hyperlink" Target="https://www.sec.gov/Archives/edgar/data/1513363/000095012311054001/w81466a3exv99wxfyx2y.htm" TargetMode="External"/><Relationship Id="rId6" Type="http://schemas.openxmlformats.org/officeDocument/2006/relationships/hyperlink" Target="https://www.sec.gov/Archives/edgar/data/1513363/000119312516569246/d141023dex99d5.htm" TargetMode="External"/><Relationship Id="rId7" Type="http://schemas.openxmlformats.org/officeDocument/2006/relationships/hyperlink" Target="https://www.sec.gov/Archives/edgar/data/1513363/000119312520325989/d97521dex41.htm" TargetMode="External"/><Relationship Id="rId8" Type="http://schemas.openxmlformats.org/officeDocument/2006/relationships/hyperlink" Target="https://www.sec.gov/Archives/edgar/data/1513363/000119312520325989/d97521dex41.htm" TargetMode="External"/><Relationship Id="rId9" Type="http://schemas.openxmlformats.org/officeDocument/2006/relationships/hyperlink" Target="https://www.sec.gov/Archives/edgar/data/0001513363/000119312521295460/d193806dex41.htm" TargetMode="External"/><Relationship Id="rId10" Type="http://schemas.openxmlformats.org/officeDocument/2006/relationships/hyperlink" Target="https://www.sec.gov/Archives/edgar/data/0001513363/000119312521295460/d193806dex41.htm" TargetMode="External"/><Relationship Id="rId11" Type="http://schemas.openxmlformats.org/officeDocument/2006/relationships/hyperlink" Target="https://www.sec.gov/ix?doc=/Archives/edgar/data/0001513363/000119312524053672/d803783d8k.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44957</Words>
  <Characters>244737</Characters>
  <CharactersWithSpaces>300110</CharactersWithSpaces>
  <Paragraphs>25469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