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11247d40app.htm"/>
      <w:bookmarkStart w:id="1" w:name="ksd111247d40app"/>
      <w:bookmarkEnd w:id="0"/>
      <w:bookmarkEnd w:id="1"/>
      <w:r>
        <w:rPr>
          <w:rFonts w:ascii="Times New Roman" w:hAnsi="Times New Roman"/>
          <w:b/>
          <w:sz w:val="20"/>
        </w:rPr>
        <w:t xml:space="preserve">File No. </w:t>
      </w:r>
    </w:p>
    <w:p>
      <w:pPr>
        <w:pStyle w:val="TextBody"/>
        <w:bidi w:val="0"/>
        <w:spacing w:before="480" w:after="0"/>
        <w:jc w:val="center"/>
        <w:rPr>
          <w:rFonts w:ascii="Times New Roman" w:hAnsi="Times New Roman"/>
          <w:b/>
          <w:sz w:val="36"/>
        </w:rPr>
      </w:pPr>
      <w:r>
        <w:rPr>
          <w:rFonts w:ascii="Times New Roman" w:hAnsi="Times New Roman"/>
          <w:b/>
          <w:sz w:val="36"/>
        </w:rPr>
        <w:t xml:space="preserve">U.S. 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EXPEDITED REVIEW REQUESTED UNDER 17 CFR 270.0-5(d)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i/>
          <w:sz w:val="20"/>
        </w:rPr>
      </w:pPr>
      <w:r>
        <w:rPr>
          <w:rFonts w:ascii="Times New Roman" w:hAnsi="Times New Roman"/>
          <w:i/>
          <w:sz w:val="20"/>
        </w:rPr>
        <w:t xml:space="preserve">In the Matter of the Application of: </w:t>
      </w:r>
    </w:p>
    <w:p>
      <w:pPr>
        <w:pStyle w:val="TextBody"/>
        <w:bidi w:val="0"/>
        <w:spacing w:before="240" w:after="0"/>
        <w:jc w:val="center"/>
        <w:rPr>
          <w:rFonts w:ascii="Times New Roman" w:hAnsi="Times New Roman"/>
          <w:b/>
          <w:sz w:val="20"/>
        </w:rPr>
      </w:pPr>
      <w:r>
        <w:rPr>
          <w:rFonts w:ascii="Times New Roman" w:hAnsi="Times New Roman"/>
          <w:b/>
          <w:sz w:val="20"/>
        </w:rPr>
        <w:t xml:space="preserve">FIDUS INVESTMENT CORPORATION, FIDUS CREDIT OPPORTUNITIES, L.P., FIDUS EQUITY OPPORTUNITIES FUND, L.P., FIDUS MEZZANINE CAPITAL, L.P., FIDUS MEZZANINE CAPITAL II, L.P., FIDUS MEZZANINE CAPITAL III, L.P., FIDUS MEZZANINE CAPITAL IV, L.P., FIC FUNDING, LLC, FIDUS INVESTMENT HOLDINGS, INC., AND FIDUS INVESTMENT ADVISORS, LLC </w:t>
      </w:r>
    </w:p>
    <w:p>
      <w:pPr>
        <w:pStyle w:val="TextBody"/>
        <w:bidi w:val="0"/>
        <w:spacing w:before="240" w:after="0"/>
        <w:jc w:val="center"/>
        <w:rPr>
          <w:rFonts w:ascii="Times New Roman" w:hAnsi="Times New Roman"/>
          <w:sz w:val="20"/>
        </w:rPr>
      </w:pPr>
      <w:r>
        <w:rPr>
          <w:rFonts w:ascii="Times New Roman" w:hAnsi="Times New Roman"/>
          <w:sz w:val="20"/>
        </w:rPr>
        <w:t xml:space="preserve">1603 Orrington Avenue, Suite 1005 </w:t>
      </w:r>
    </w:p>
    <w:p>
      <w:pPr>
        <w:pStyle w:val="TextBody"/>
        <w:bidi w:val="0"/>
        <w:spacing w:before="0" w:after="0"/>
        <w:jc w:val="center"/>
        <w:rPr>
          <w:rFonts w:ascii="Times New Roman" w:hAnsi="Times New Roman"/>
          <w:sz w:val="20"/>
        </w:rPr>
      </w:pPr>
      <w:r>
        <w:rPr>
          <w:rFonts w:ascii="Times New Roman" w:hAnsi="Times New Roman"/>
          <w:sz w:val="20"/>
        </w:rPr>
        <w:t xml:space="preserve">Evanston, Illinois 60201 </w:t>
      </w:r>
    </w:p>
    <w:p>
      <w:pPr>
        <w:pStyle w:val="TextBody"/>
        <w:bidi w:val="0"/>
        <w:spacing w:before="0" w:after="0"/>
        <w:jc w:val="center"/>
        <w:rPr>
          <w:rFonts w:ascii="Times New Roman" w:hAnsi="Times New Roman"/>
          <w:sz w:val="20"/>
        </w:rPr>
      </w:pPr>
      <w:r>
        <w:rPr>
          <w:rFonts w:ascii="Times New Roman" w:hAnsi="Times New Roman"/>
          <w:sz w:val="20"/>
        </w:rPr>
        <w:t xml:space="preserve">(847) 859-3940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i/>
          <w:sz w:val="20"/>
        </w:rPr>
      </w:pPr>
      <w:r>
        <w:rPr>
          <w:rFonts w:ascii="Times New Roman" w:hAnsi="Times New Roman"/>
          <w:i/>
          <w:sz w:val="20"/>
        </w:rPr>
        <w:t xml:space="preserve">All Communications, Notices and Orders to: </w:t>
      </w:r>
    </w:p>
    <w:p>
      <w:pPr>
        <w:pStyle w:val="TextBody"/>
        <w:bidi w:val="0"/>
        <w:spacing w:before="240" w:after="0"/>
        <w:jc w:val="center"/>
        <w:rPr>
          <w:rFonts w:ascii="Times New Roman" w:hAnsi="Times New Roman"/>
          <w:sz w:val="20"/>
        </w:rPr>
      </w:pPr>
      <w:r>
        <w:rPr>
          <w:rFonts w:ascii="Times New Roman" w:hAnsi="Times New Roman"/>
          <w:sz w:val="20"/>
        </w:rPr>
        <w:t xml:space="preserve">Edward H. Ross </w:t>
      </w:r>
    </w:p>
    <w:p>
      <w:pPr>
        <w:pStyle w:val="TextBody"/>
        <w:bidi w:val="0"/>
        <w:spacing w:before="0" w:after="0"/>
        <w:jc w:val="center"/>
        <w:rPr>
          <w:rFonts w:ascii="Times New Roman" w:hAnsi="Times New Roman"/>
          <w:sz w:val="20"/>
        </w:rPr>
      </w:pPr>
      <w:r>
        <w:rPr>
          <w:rFonts w:ascii="Times New Roman" w:hAnsi="Times New Roman"/>
          <w:sz w:val="20"/>
        </w:rPr>
        <w:t xml:space="preserve">Chief Executive Officer </w:t>
      </w:r>
    </w:p>
    <w:p>
      <w:pPr>
        <w:pStyle w:val="TextBody"/>
        <w:bidi w:val="0"/>
        <w:spacing w:before="0" w:after="0"/>
        <w:jc w:val="center"/>
        <w:rPr>
          <w:rFonts w:ascii="Times New Roman" w:hAnsi="Times New Roman"/>
          <w:sz w:val="20"/>
        </w:rPr>
      </w:pPr>
      <w:r>
        <w:rPr>
          <w:rFonts w:ascii="Times New Roman" w:hAnsi="Times New Roman"/>
          <w:sz w:val="20"/>
        </w:rPr>
        <w:t xml:space="preserve">Fidus Investment Corporation </w:t>
      </w:r>
    </w:p>
    <w:p>
      <w:pPr>
        <w:pStyle w:val="TextBody"/>
        <w:bidi w:val="0"/>
        <w:spacing w:before="0" w:after="0"/>
        <w:jc w:val="center"/>
        <w:rPr>
          <w:rFonts w:ascii="Times New Roman" w:hAnsi="Times New Roman"/>
          <w:sz w:val="20"/>
        </w:rPr>
      </w:pPr>
      <w:r>
        <w:rPr>
          <w:rFonts w:ascii="Times New Roman" w:hAnsi="Times New Roman"/>
          <w:sz w:val="20"/>
        </w:rPr>
        <w:t xml:space="preserve">1603 Orrington Avenue, Suite 1005 </w:t>
      </w:r>
    </w:p>
    <w:p>
      <w:pPr>
        <w:pStyle w:val="TextBody"/>
        <w:bidi w:val="0"/>
        <w:spacing w:before="0" w:after="0"/>
        <w:jc w:val="center"/>
        <w:rPr>
          <w:rFonts w:ascii="Times New Roman" w:hAnsi="Times New Roman"/>
          <w:sz w:val="20"/>
        </w:rPr>
      </w:pPr>
      <w:r>
        <w:rPr>
          <w:rFonts w:ascii="Times New Roman" w:hAnsi="Times New Roman"/>
          <w:sz w:val="20"/>
        </w:rPr>
        <w:t xml:space="preserve">Evanston, Illinois 60201 </w:t>
      </w:r>
    </w:p>
    <w:p>
      <w:pPr>
        <w:pStyle w:val="TextBody"/>
        <w:bidi w:val="0"/>
        <w:spacing w:before="0" w:after="0"/>
        <w:jc w:val="center"/>
        <w:rPr>
          <w:rFonts w:ascii="Times New Roman" w:hAnsi="Times New Roman"/>
          <w:sz w:val="20"/>
        </w:rPr>
      </w:pPr>
      <w:r>
        <w:rPr>
          <w:rFonts w:ascii="Times New Roman" w:hAnsi="Times New Roman"/>
          <w:sz w:val="20"/>
        </w:rPr>
        <w:t xml:space="preserve">(847) 859-3940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eross@fidusinv.com </w:t>
      </w:r>
    </w:p>
    <w:p>
      <w:pPr>
        <w:pStyle w:val="TextBody"/>
        <w:bidi w:val="0"/>
        <w:spacing w:before="240" w:after="0"/>
        <w:jc w:val="center"/>
        <w:rPr>
          <w:rFonts w:ascii="Times New Roman" w:hAnsi="Times New Roman"/>
          <w:i/>
          <w:sz w:val="20"/>
        </w:rPr>
      </w:pPr>
      <w:r>
        <w:rPr>
          <w:rFonts w:ascii="Times New Roman" w:hAnsi="Times New Roman"/>
          <w:i/>
          <w:sz w:val="20"/>
        </w:rPr>
        <w:t xml:space="preserve">Copies to: </w:t>
      </w:r>
    </w:p>
    <w:p>
      <w:pPr>
        <w:pStyle w:val="TextBody"/>
        <w:bidi w:val="0"/>
        <w:spacing w:before="120" w:after="0"/>
        <w:jc w:val="center"/>
        <w:rPr>
          <w:rFonts w:ascii="Times New Roman" w:hAnsi="Times New Roman"/>
          <w:sz w:val="20"/>
        </w:rPr>
      </w:pPr>
      <w:r>
        <w:rPr>
          <w:rFonts w:ascii="Times New Roman" w:hAnsi="Times New Roman"/>
          <w:sz w:val="20"/>
        </w:rPr>
        <w:t xml:space="preserve">Steven B. Boehm </w:t>
      </w:r>
    </w:p>
    <w:p>
      <w:pPr>
        <w:pStyle w:val="TextBody"/>
        <w:bidi w:val="0"/>
        <w:spacing w:before="0" w:after="0"/>
        <w:jc w:val="center"/>
        <w:rPr>
          <w:rFonts w:ascii="Times New Roman" w:hAnsi="Times New Roman"/>
          <w:sz w:val="20"/>
        </w:rPr>
      </w:pPr>
      <w:r>
        <w:rPr>
          <w:rFonts w:ascii="Times New Roman" w:hAnsi="Times New Roman"/>
          <w:sz w:val="20"/>
        </w:rPr>
        <w:t xml:space="preserve">Anne G. Oberndorf </w:t>
      </w:r>
    </w:p>
    <w:p>
      <w:pPr>
        <w:pStyle w:val="TextBody"/>
        <w:bidi w:val="0"/>
        <w:spacing w:before="0" w:after="0"/>
        <w:jc w:val="center"/>
        <w:rPr>
          <w:rFonts w:ascii="Times New Roman" w:hAnsi="Times New Roman"/>
          <w:sz w:val="20"/>
        </w:rPr>
      </w:pPr>
      <w:r>
        <w:rPr>
          <w:rFonts w:ascii="Times New Roman" w:hAnsi="Times New Roman"/>
          <w:sz w:val="20"/>
        </w:rPr>
        <w:t xml:space="preserve">Payam Siadatpour </w:t>
      </w:r>
    </w:p>
    <w:p>
      <w:pPr>
        <w:pStyle w:val="TextBody"/>
        <w:bidi w:val="0"/>
        <w:spacing w:before="0" w:after="0"/>
        <w:jc w:val="center"/>
        <w:rPr>
          <w:rFonts w:ascii="Times New Roman" w:hAnsi="Times New Roman"/>
          <w:sz w:val="20"/>
        </w:rPr>
      </w:pPr>
      <w:r>
        <w:rPr>
          <w:rFonts w:ascii="Times New Roman" w:hAnsi="Times New Roman"/>
          <w:sz w:val="20"/>
        </w:rPr>
        <w:t xml:space="preserve">Eversheds Sutherland (US) LLP </w:t>
      </w:r>
    </w:p>
    <w:p>
      <w:pPr>
        <w:pStyle w:val="TextBody"/>
        <w:bidi w:val="0"/>
        <w:spacing w:before="0" w:after="0"/>
        <w:jc w:val="center"/>
        <w:rPr>
          <w:rFonts w:ascii="Times New Roman" w:hAnsi="Times New Roman"/>
          <w:sz w:val="20"/>
        </w:rPr>
      </w:pPr>
      <w:r>
        <w:rPr>
          <w:rFonts w:ascii="Times New Roman" w:hAnsi="Times New Roman"/>
          <w:sz w:val="20"/>
        </w:rPr>
        <w:t xml:space="preserve">700 6th Street, N.W. </w:t>
      </w:r>
    </w:p>
    <w:p>
      <w:pPr>
        <w:pStyle w:val="TextBody"/>
        <w:bidi w:val="0"/>
        <w:spacing w:before="0" w:after="0"/>
        <w:jc w:val="center"/>
        <w:rPr>
          <w:rFonts w:ascii="Times New Roman" w:hAnsi="Times New Roman"/>
          <w:sz w:val="20"/>
        </w:rPr>
      </w:pPr>
      <w:r>
        <w:rPr>
          <w:rFonts w:ascii="Times New Roman" w:hAnsi="Times New Roman"/>
          <w:sz w:val="20"/>
        </w:rPr>
        <w:t xml:space="preserve">Washington, D.C. 20001 </w:t>
      </w:r>
    </w:p>
    <w:p>
      <w:pPr>
        <w:pStyle w:val="TextBody"/>
        <w:bidi w:val="0"/>
        <w:spacing w:before="0" w:after="0"/>
        <w:jc w:val="center"/>
        <w:rPr>
          <w:rFonts w:ascii="Times New Roman" w:hAnsi="Times New Roman"/>
          <w:sz w:val="20"/>
        </w:rPr>
      </w:pPr>
      <w:r>
        <w:rPr>
          <w:rFonts w:ascii="Times New Roman" w:hAnsi="Times New Roman"/>
          <w:sz w:val="20"/>
        </w:rPr>
        <w:t xml:space="preserve">(202) 383-0100 </w:t>
      </w:r>
    </w:p>
    <w:p>
      <w:pPr>
        <w:pStyle w:val="TextBody"/>
        <w:bidi w:val="0"/>
        <w:spacing w:before="0" w:after="0"/>
        <w:jc w:val="center"/>
        <w:rPr>
          <w:rFonts w:ascii="Times New Roman" w:hAnsi="Times New Roman"/>
          <w:sz w:val="20"/>
        </w:rPr>
      </w:pPr>
      <w:r>
        <w:rPr>
          <w:rFonts w:ascii="Times New Roman" w:hAnsi="Times New Roman"/>
          <w:sz w:val="20"/>
        </w:rPr>
        <w:t xml:space="preserve">anneoberndorf@eversheds-sutherland.us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August 28,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SUMMARY OF APPLCIATION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The following entities hereby request an order (the “</w:t>
      </w:r>
      <w:r>
        <w:rPr>
          <w:rFonts w:ascii="Times New Roman" w:hAnsi="Times New Roman"/>
          <w:b/>
          <w:i/>
          <w:sz w:val="20"/>
        </w:rPr>
        <w:t>Order</w:t>
      </w:r>
      <w:r>
        <w:rPr>
          <w:rFonts w:ascii="Times New Roman" w:hAnsi="Times New Roman"/>
          <w:sz w:val="20"/>
        </w:rPr>
        <w:t>”) of the U.S. Securities and Exchange Commission (the “</w:t>
      </w:r>
      <w:r>
        <w:rPr>
          <w:rFonts w:ascii="Times New Roman" w:hAnsi="Times New Roman"/>
          <w:b/>
          <w:i/>
          <w:sz w:val="20"/>
        </w:rPr>
        <w:t>SEC</w:t>
      </w:r>
      <w:r>
        <w:rPr>
          <w:rFonts w:ascii="Times New Roman" w:hAnsi="Times New Roman"/>
          <w:sz w:val="20"/>
        </w:rPr>
        <w:t>” or “</w:t>
      </w:r>
      <w:r>
        <w:rPr>
          <w:rFonts w:ascii="Times New Roman" w:hAnsi="Times New Roman"/>
          <w:b/>
          <w:i/>
          <w:sz w:val="20"/>
        </w:rPr>
        <w:t>Commission</w:t>
      </w:r>
      <w:r>
        <w:rPr>
          <w:rFonts w:ascii="Times New Roman" w:hAnsi="Times New Roman"/>
          <w:sz w:val="20"/>
        </w:rPr>
        <w:t>”) under Sections 17(d) and 57(i) of the Investment Company Act of 1940, as amended (the “</w:t>
      </w:r>
      <w:r>
        <w:rPr>
          <w:rFonts w:ascii="Times New Roman" w:hAnsi="Times New Roman"/>
          <w:b/>
          <w:i/>
          <w:sz w:val="20"/>
        </w:rPr>
        <w:t>1940 Act</w:t>
      </w:r>
      <w:r>
        <w:rPr>
          <w:rFonts w:ascii="Times New Roman" w:hAnsi="Times New Roman"/>
          <w:sz w:val="20"/>
        </w:rPr>
        <w:t>”),1 and Rule 17d-1, permitting certain joint transactions otherwise prohibited by Sections 17(d) and 57(a)(4) of the 1940 Act and Rule 17d-1 thereunder. The Order would supersede the exemptive order issued by the Commission on August 29, 2024 (the “</w:t>
      </w:r>
      <w:r>
        <w:rPr>
          <w:rFonts w:ascii="Times New Roman" w:hAnsi="Times New Roman"/>
          <w:b/>
          <w:i/>
          <w:sz w:val="20"/>
        </w:rPr>
        <w:t>Prior Order</w:t>
      </w:r>
      <w:r>
        <w:rPr>
          <w:rFonts w:ascii="Times New Roman" w:hAnsi="Times New Roman"/>
          <w:sz w:val="20"/>
        </w:rPr>
        <w:t xml:space="preserve">”)2 that was granted pursuant to Sections 17(d), 57(i) and Rule 17d-1, with the result that no person will continue to rely on the Prior Order if the Order is granted.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Fidus Investment Corporation (the “</w:t>
            </w:r>
            <w:r>
              <w:rPr>
                <w:rFonts w:ascii="Times New Roman" w:hAnsi="Times New Roman"/>
                <w:b/>
                <w:i/>
                <w:sz w:val="20"/>
              </w:rPr>
              <w:t>Existing Regulated Fund</w:t>
            </w:r>
            <w:r>
              <w:rPr>
                <w:rFonts w:ascii="Times New Roman" w:hAnsi="Times New Roman"/>
                <w:sz w:val="20"/>
              </w:rPr>
              <w:t>”), a corporation formed under the General Corporate Laws of the State of Maryland for the purpose of operating as an externally-managed, non-diversified, closed-end management investment company that has elected to be regulated as a business development company (“</w:t>
            </w:r>
            <w:r>
              <w:rPr>
                <w:rFonts w:ascii="Times New Roman" w:hAnsi="Times New Roman"/>
                <w:b/>
                <w:i/>
                <w:sz w:val="20"/>
              </w:rPr>
              <w:t>BDC</w:t>
            </w:r>
            <w:r>
              <w:rPr>
                <w:rFonts w:ascii="Times New Roman" w:hAnsi="Times New Roman"/>
                <w:sz w:val="20"/>
              </w:rPr>
              <w:t xml:space="preserve">”) under the 1940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Certain vehicles (as identified on</w:t>
            </w:r>
            <w:r>
              <w:rPr>
                <w:rFonts w:ascii="Times New Roman" w:hAnsi="Times New Roman"/>
                <w:sz w:val="20"/>
                <w:u w:val="single"/>
              </w:rPr>
              <w:t> Schedule A</w:t>
            </w:r>
            <w:r>
              <w:rPr>
                <w:rFonts w:ascii="Times New Roman" w:hAnsi="Times New Roman"/>
                <w:sz w:val="20"/>
              </w:rPr>
              <w:t> hereto) (the “</w:t>
            </w:r>
            <w:r>
              <w:rPr>
                <w:rFonts w:ascii="Times New Roman" w:hAnsi="Times New Roman"/>
                <w:b/>
                <w:i/>
                <w:sz w:val="20"/>
              </w:rPr>
              <w:t>Existing Wholly-Owned Subsidiaries</w:t>
            </w:r>
            <w:r>
              <w:rPr>
                <w:rFonts w:ascii="Times New Roman" w:hAnsi="Times New Roman"/>
                <w:sz w:val="20"/>
              </w:rPr>
              <w:t xml:space="preserve">”), each of which is a separate and distinct legal entity and each of which is a Wholly-Owned Investment Sub (as defined below) of the Existing Regulated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Fidus Investment Advisors, LLC, and its successors3 (the “</w:t>
            </w:r>
            <w:r>
              <w:rPr>
                <w:rFonts w:ascii="Times New Roman" w:hAnsi="Times New Roman"/>
                <w:b/>
                <w:i/>
                <w:sz w:val="20"/>
              </w:rPr>
              <w:t>Existing Adviser</w:t>
            </w:r>
            <w:r>
              <w:rPr>
                <w:rFonts w:ascii="Times New Roman" w:hAnsi="Times New Roman"/>
                <w:sz w:val="20"/>
              </w:rPr>
              <w:t>”), an investment adviser registered with the Commission under the Investment Advisers Act of 1940 (the “</w:t>
            </w:r>
            <w:r>
              <w:rPr>
                <w:rFonts w:ascii="Times New Roman" w:hAnsi="Times New Roman"/>
                <w:b/>
                <w:i/>
                <w:sz w:val="20"/>
              </w:rPr>
              <w:t>Advisers Act</w:t>
            </w:r>
            <w:r>
              <w:rPr>
                <w:rFonts w:ascii="Times New Roman" w:hAnsi="Times New Roman"/>
                <w:sz w:val="20"/>
              </w:rPr>
              <w:t xml:space="preserve">”), which serves as the investment adviser to the Existing Regulated Fund and the Existing Affiliated Funds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investment vehicles (as identified on</w:t>
            </w:r>
            <w:r>
              <w:rPr>
                <w:rFonts w:ascii="Times New Roman" w:hAnsi="Times New Roman"/>
                <w:sz w:val="20"/>
                <w:u w:val="single"/>
              </w:rPr>
              <w:t> Schedule B</w:t>
            </w:r>
            <w:r>
              <w:rPr>
                <w:rFonts w:ascii="Times New Roman" w:hAnsi="Times New Roman"/>
                <w:sz w:val="20"/>
              </w:rPr>
              <w:t> hereto), each of which is a separate and distinct legal entity and each of which would be an investment company but for Section 3(c)(7) of the 1940 Act (the “</w:t>
            </w:r>
            <w:r>
              <w:rPr>
                <w:rFonts w:ascii="Times New Roman" w:hAnsi="Times New Roman"/>
                <w:b/>
                <w:i/>
                <w:sz w:val="20"/>
              </w:rPr>
              <w:t>Existing Affiliated Funds</w:t>
            </w:r>
            <w:r>
              <w:rPr>
                <w:rFonts w:ascii="Times New Roman" w:hAnsi="Times New Roman"/>
                <w:sz w:val="20"/>
              </w:rPr>
              <w:t>” and collectively with the Existing Regulated Funds, the Existing Wholly-Owned Subsidiaries, and the Existing Adviser, the “</w:t>
            </w:r>
            <w:r>
              <w:rPr>
                <w:rFonts w:ascii="Times New Roman" w:hAnsi="Times New Roman"/>
                <w:b/>
                <w:i/>
                <w:sz w:val="20"/>
              </w:rPr>
              <w:t>Applicants</w:t>
            </w:r>
            <w:r>
              <w:rPr>
                <w:rFonts w:ascii="Times New Roman" w:hAnsi="Times New Roman"/>
                <w:sz w:val="20"/>
              </w:rPr>
              <w:t xml:space="preserve">”).4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indicated, all section and rule references herein are to the 1940 Act and rules promulgated thereunder.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Fidus Investment Corporation, et al. (File No. 812-15496) Release No. IC-35289 (August 2, 2024) (notice), Release No. IC-35309 (August 29, 2024) (order).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term “</w:t>
            </w:r>
            <w:r>
              <w:rPr>
                <w:rFonts w:ascii="Times New Roman" w:hAnsi="Times New Roman"/>
                <w:b/>
                <w:i/>
                <w:sz w:val="20"/>
              </w:rPr>
              <w:t>successor</w:t>
            </w:r>
            <w:r>
              <w:rPr>
                <w:rFonts w:ascii="Times New Roman" w:hAnsi="Times New Roman"/>
                <w:sz w:val="20"/>
              </w:rPr>
              <w:t xml:space="preserve">” means an entity that results from a reorganization into another jurisdiction or change in the type of business organization.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existing entities that currently intend to rely upon the requested Order have been named as Applicants. Any other existing or future entity that subsequently relies on the Order will comply with the terms and conditions of the Application.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relief requested in this application for the Order (the “</w:t>
      </w:r>
      <w:r>
        <w:rPr>
          <w:rFonts w:ascii="Times New Roman" w:hAnsi="Times New Roman"/>
          <w:b/>
          <w:i/>
          <w:sz w:val="20"/>
        </w:rPr>
        <w:t>Application</w:t>
      </w:r>
      <w:r>
        <w:rPr>
          <w:rFonts w:ascii="Times New Roman" w:hAnsi="Times New Roman"/>
          <w:sz w:val="20"/>
        </w:rPr>
        <w:t>”) would allow a Regulated Fund5 and one or more Affiliated Entities6 to engage in Co-Investment Transactions7 subject to the terms and conditions described herein. The Regulated Funds and Affiliated Entities that participate in a Co-Investment Transaction are collectively referred to herein as “</w:t>
      </w:r>
      <w:r>
        <w:rPr>
          <w:rFonts w:ascii="Times New Roman" w:hAnsi="Times New Roman"/>
          <w:b/>
          <w:i/>
          <w:sz w:val="20"/>
        </w:rPr>
        <w:t>Participants</w:t>
      </w:r>
      <w:r>
        <w:rPr>
          <w:rFonts w:ascii="Times New Roman" w:hAnsi="Times New Roman"/>
          <w:sz w:val="20"/>
        </w:rPr>
        <w:t xml:space="preserve">.”8 The Applicants do not seek relief for transactions effected consistent with Commission staff no-action positions.9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GENERAL DESCRIPTION OF THE APPLICANTS</w:t>
            </w:r>
            <w:r>
              <w:rPr>
                <w:rFonts w:ascii="Times New Roman" w:hAnsi="Times New Roman"/>
                <w:b/>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The Existing Regulated Fund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Existing Regulated Fund was organized under the General Corporate Laws of the state of Maryland on February 14, 2011, for the purpose of operating as an externally-managed, non-diversified, closed-end management investment company that has elected to be regulated as a business development company under the 1940 Act. The Existing Regulated Fund completed its initial public offering on June 24, 2011, and its common stock is traded on the NASDAQ Global Market under the symbol “FDUS.” The Existing Regulated Fund has elected and intends to qualify annually to be treated as a regulated investment company under Sub-Chapter M of the Internal Revenue Code of 1986, as amended. The Existing Regulated Fund’s principal place of business is 1603 Orrington Avenue, Suite 1005, Evanston, Illinois 60201.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5 </w:t>
            </w:r>
          </w:p>
        </w:tc>
        <w:tc>
          <w:tcPr>
            <w:tcW w:w="9799" w:type="dxa"/>
            <w:tcBorders/>
          </w:tcPr>
          <w:p>
            <w:pPr>
              <w:pStyle w:val="TableContents"/>
              <w:bidi w:val="0"/>
              <w:spacing w:before="0" w:after="0"/>
              <w:jc w:val="left"/>
              <w:rPr/>
            </w:pPr>
            <w:r>
              <w:rPr/>
              <w:t>“</w:t>
            </w:r>
            <w:r>
              <w:rPr>
                <w:rFonts w:ascii="Times New Roman" w:hAnsi="Times New Roman"/>
                <w:b/>
                <w:i/>
                <w:sz w:val="20"/>
              </w:rPr>
              <w:t>Regulated Fund</w:t>
            </w:r>
            <w:r>
              <w:rPr>
                <w:rFonts w:ascii="Times New Roman" w:hAnsi="Times New Roman"/>
                <w:sz w:val="20"/>
              </w:rPr>
              <w:t>” means the Existing Regulated Fund and any Future Regulated Funds. “</w:t>
            </w:r>
            <w:r>
              <w:rPr>
                <w:rFonts w:ascii="Times New Roman" w:hAnsi="Times New Roman"/>
                <w:b/>
                <w:i/>
                <w:sz w:val="20"/>
              </w:rPr>
              <w:t>Future Regulated Fund</w:t>
            </w:r>
            <w:r>
              <w:rPr>
                <w:rFonts w:ascii="Times New Roman" w:hAnsi="Times New Roman"/>
                <w:sz w:val="20"/>
              </w:rPr>
              <w:t xml:space="preserve">” means an entity (or series thereof, as applicable) (a) that is an open-end or closed-end management investment company registered under the 1940 Act, or a closed-end management investment company that has elected to 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 </w:t>
            </w:r>
          </w:p>
        </w:tc>
      </w:tr>
    </w:tbl>
    <w:p>
      <w:pPr>
        <w:pStyle w:val="TextBody"/>
        <w:bidi w:val="0"/>
        <w:spacing w:before="120" w:after="0"/>
        <w:jc w:val="left"/>
        <w:rPr>
          <w:rFonts w:ascii="Times New Roman" w:hAnsi="Times New Roman"/>
          <w:sz w:val="20"/>
        </w:rPr>
      </w:pPr>
      <w:r>
        <w:rPr>
          <w:rFonts w:ascii="Times New Roman" w:hAnsi="Times New Roman"/>
          <w:sz w:val="20"/>
        </w:rPr>
        <w:t>The term Regulated Fund also includes (a) any Wholly-Owned Investment Sub (as defined below) of a Regulated Fund, (b) any Joint Venture (as defined below) of a Regulated Fund, and (c) any BDC Downstream Fund (as defined below) of a Regulated Fund that is a business development company. “</w:t>
      </w:r>
      <w:r>
        <w:rPr>
          <w:rFonts w:ascii="Times New Roman" w:hAnsi="Times New Roman"/>
          <w:b/>
          <w:i/>
          <w:sz w:val="20"/>
        </w:rPr>
        <w:t>Wholly-Owned Investment Sub</w:t>
      </w:r>
      <w:r>
        <w:rPr>
          <w:rFonts w:ascii="Times New Roman" w:hAnsi="Times New Roman"/>
          <w:sz w:val="20"/>
        </w:rPr>
        <w:t>”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w:t>
      </w:r>
      <w:r>
        <w:rPr>
          <w:rFonts w:ascii="Times New Roman" w:hAnsi="Times New Roman"/>
          <w:b/>
          <w:i/>
          <w:sz w:val="20"/>
        </w:rPr>
        <w:t>Joint Venture</w:t>
      </w:r>
      <w:r>
        <w:rPr>
          <w:rFonts w:ascii="Times New Roman" w:hAnsi="Times New Roman"/>
          <w:sz w:val="20"/>
        </w:rPr>
        <w:t>”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 w:hAnsi="Times New Roman"/>
          <w:b/>
          <w:i/>
          <w:sz w:val="20"/>
        </w:rPr>
        <w:t>BDC Downstream Fund</w:t>
      </w:r>
      <w:r>
        <w:rPr>
          <w:rFonts w:ascii="Times New Roman" w:hAnsi="Times New Roman"/>
          <w:sz w:val="20"/>
        </w:rPr>
        <w:t xml:space="preserve">”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 </w:t>
      </w:r>
    </w:p>
    <w:p>
      <w:pPr>
        <w:pStyle w:val="TextBody"/>
        <w:bidi w:val="0"/>
        <w:spacing w:before="120" w:after="0"/>
        <w:jc w:val="left"/>
        <w:rPr>
          <w:rFonts w:ascii="Times New Roman" w:hAnsi="Times New Roman"/>
          <w:sz w:val="20"/>
        </w:rPr>
      </w:pPr>
      <w:r>
        <w:rPr>
          <w:rFonts w:ascii="Times New Roman" w:hAnsi="Times New Roman"/>
          <w:sz w:val="20"/>
        </w:rPr>
        <w:t xml:space="preserve">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6 </w:t>
            </w:r>
          </w:p>
        </w:tc>
        <w:tc>
          <w:tcPr>
            <w:tcW w:w="9798" w:type="dxa"/>
            <w:tcBorders/>
          </w:tcPr>
          <w:p>
            <w:pPr>
              <w:pStyle w:val="TableContents"/>
              <w:bidi w:val="0"/>
              <w:spacing w:before="0" w:after="0"/>
              <w:jc w:val="left"/>
              <w:rPr/>
            </w:pPr>
            <w:r>
              <w:rPr/>
              <w:t>“</w:t>
            </w:r>
            <w:r>
              <w:rPr>
                <w:rFonts w:ascii="Times New Roman" w:hAnsi="Times New Roman"/>
                <w:b/>
                <w:i/>
                <w:sz w:val="20"/>
              </w:rPr>
              <w:t>Affiliated Entity</w:t>
            </w:r>
            <w:r>
              <w:rPr>
                <w:rFonts w:ascii="Times New Roman" w:hAnsi="Times New Roman"/>
                <w:sz w:val="20"/>
              </w:rPr>
              <w:t xml:space="preserve">” means an entity not controlled by a Regulated Fund that intends to engage in Co-Investment Transactions and that is (a) with respect to a Regulated Fund, another Regulated Fund; (b) an Adviser or its affiliates, and any direct or indirect, wholly- or majority-owned subsidiary of an Adviser or its affiliates, that is participating in a Co-Investment Transaction in a principal capacity; or (c) any entity that would be an investment company but for Section 3(c) of the 1940 Act or Rule 3a-7 thereunder and whose investment adviser is an Adviser.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that an entity described in clause (b) is not advised by an Adviser, such entity shall be deemed to be an Adviser for purposes of the conditions.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7 </w:t>
            </w:r>
          </w:p>
        </w:tc>
        <w:tc>
          <w:tcPr>
            <w:tcW w:w="9799" w:type="dxa"/>
            <w:tcBorders/>
          </w:tcPr>
          <w:p>
            <w:pPr>
              <w:pStyle w:val="TableContents"/>
              <w:bidi w:val="0"/>
              <w:spacing w:before="0" w:after="0"/>
              <w:jc w:val="left"/>
              <w:rPr/>
            </w:pPr>
            <w:r>
              <w:rPr/>
              <w:t>“</w:t>
            </w:r>
            <w:r>
              <w:rPr>
                <w:rFonts w:ascii="Times New Roman" w:hAnsi="Times New Roman"/>
                <w:b/>
                <w:i/>
                <w:sz w:val="20"/>
              </w:rPr>
              <w:t>Co-Investment Transaction</w:t>
            </w:r>
            <w:r>
              <w:rPr>
                <w:rFonts w:ascii="Times New Roman" w:hAnsi="Times New Roman"/>
                <w:sz w:val="20"/>
              </w:rPr>
              <w:t xml:space="preserve">” means the acquisition or Disposition of securities of an issuer in a transaction effected in reliance on the Order or previously granted relief.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8 </w:t>
            </w:r>
          </w:p>
        </w:tc>
        <w:tc>
          <w:tcPr>
            <w:tcW w:w="9798" w:type="dxa"/>
            <w:tcBorders/>
          </w:tcPr>
          <w:p>
            <w:pPr>
              <w:pStyle w:val="TableContents"/>
              <w:bidi w:val="0"/>
              <w:spacing w:before="0" w:after="0"/>
              <w:jc w:val="left"/>
              <w:rPr/>
            </w:pPr>
            <w:r>
              <w:rPr/>
              <w:t>“</w:t>
            </w:r>
            <w:r>
              <w:rPr>
                <w:rFonts w:ascii="Times New Roman" w:hAnsi="Times New Roman"/>
                <w:b/>
                <w:i/>
                <w:sz w:val="20"/>
              </w:rPr>
              <w:t>Adviser</w:t>
            </w:r>
            <w:r>
              <w:rPr>
                <w:rFonts w:ascii="Times New Roman" w:hAnsi="Times New Roman"/>
                <w:sz w:val="20"/>
              </w:rPr>
              <w:t xml:space="preserve">” means the Existing Adviser, and any other investment adviser controlling, controlled by, or under common control with the Existing Adviser. The term “Adviser” also includes any internally-managed Regulated Fund.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See, e.g.</w:t>
            </w:r>
            <w:r>
              <w:rPr>
                <w:rFonts w:ascii="Times New Roman" w:hAnsi="Times New Roman"/>
                <w:sz w:val="20"/>
              </w:rPr>
              <w:t xml:space="preserve">, Massachusetts Mutual Life Insurance Co. (pub. avail. June 7, 2000), Massachusetts Mutual Life Insurance Co. (pub. avail. July 28, 2000) and SMC Capital, Inc. (pub. avail. Sept. 5, 1995).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Existing Regulated Fund’s investment objective is to provide attractive risk-adjusted returns by generating both current income from its debt investments and capital appreciation from its equity related investments. The Existing Regulated Fund may invest in the equity securities of our portfolio companies, such as preferred stock, common stock, warrants and other equity interests, either directly or in conjunction with its debt investments. The Existing Regulated Fund has a five-member board (the “</w:t>
      </w:r>
      <w:r>
        <w:rPr>
          <w:rFonts w:ascii="Times New Roman" w:hAnsi="Times New Roman"/>
          <w:b/>
          <w:i/>
          <w:sz w:val="20"/>
        </w:rPr>
        <w:t>Existing Regulated Fund Board</w:t>
      </w:r>
      <w:r>
        <w:rPr>
          <w:rFonts w:ascii="Times New Roman" w:hAnsi="Times New Roman"/>
          <w:sz w:val="20"/>
        </w:rPr>
        <w:t>,” and, together with any Future Regulated Fund’s board of directors, the “</w:t>
      </w:r>
      <w:r>
        <w:rPr>
          <w:rFonts w:ascii="Times New Roman" w:hAnsi="Times New Roman"/>
          <w:b/>
          <w:i/>
          <w:sz w:val="20"/>
        </w:rPr>
        <w:t>Board</w:t>
      </w:r>
      <w:r>
        <w:rPr>
          <w:rFonts w:ascii="Times New Roman" w:hAnsi="Times New Roman"/>
          <w:sz w:val="20"/>
        </w:rPr>
        <w:t xml:space="preserve">”), of which three members are not “interested” persons of the Existing Fund within the meaning of Section 2(a)(19) of the 1940 Act.10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The Existing Wholly-Owned Subsidiaries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of the Existing Wholly-Owned Subsidiaries is a direct or indirect wholly-owned subsidiary of the Existing Regulated Fund whose sole business purpose is to hold one or more investments on behalf of the Existing Regulated Fund. Each of the Existing Wholly-Owned Subsidiaries is a separate and distinct legal entity. The Existing Wholly-Owned Subsidiaries have investment objectives and strategies that are substantially the same as, or a subset of, those of the Existing Regulated Fund. The Existing Wholly-Owned Subsidiaries are not registered investment companies or business development companies.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The Existing Affiliated Funds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The Existing Affiliated Funds are investment funds, each of whose investment adviser is an Adviser and each of which would be an investment company but for Section 3(c)(7) of the 1940 Act.11 A list of the Existing Affiliated Funds and their respective investment advisers is included on</w:t>
      </w:r>
      <w:r>
        <w:rPr>
          <w:rFonts w:ascii="Times New Roman" w:hAnsi="Times New Roman"/>
          <w:sz w:val="20"/>
          <w:u w:val="single"/>
        </w:rPr>
        <w:t> Schedule B</w:t>
      </w:r>
      <w:r>
        <w:rPr>
          <w:rFonts w:ascii="Times New Roman" w:hAnsi="Times New Roman"/>
          <w:sz w:val="20"/>
        </w:rPr>
        <w:t xml:space="preserve"> 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Existing Adviser</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Existing Adviser was organized as a limited liability company under the laws of the state of Delaware, and is privately held. </w:t>
      </w:r>
    </w:p>
    <w:p>
      <w:pPr>
        <w:pStyle w:val="TextBody"/>
        <w:bidi w:val="0"/>
        <w:spacing w:before="240" w:after="0"/>
        <w:jc w:val="left"/>
        <w:rPr>
          <w:rFonts w:ascii="Times New Roman" w:hAnsi="Times New Roman"/>
          <w:sz w:val="20"/>
        </w:rPr>
      </w:pPr>
      <w:r>
        <w:rPr>
          <w:rFonts w:ascii="Times New Roman" w:hAnsi="Times New Roman"/>
          <w:sz w:val="20"/>
        </w:rPr>
        <w:t xml:space="preserve">The Existing Adviser is registered with the Commission as an investment adviser under the Advisers Act. The Existing Adviser manages the consolidated assets of the Existing Regulated Fund and serves as the investment adviser to the Existing Regulated Fund pursuant to the terms of an investment advisory agreement that has been approved by the Board. The Existing Adviser also advises the Existing Affiliated Funds.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III.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ORDER REQUESTED</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The Applicants request an Order of the Commission under Sections 17(d) and 57(i) of the 1940 Act and Rule 17d-1 thereunder to permit, subject to the terms and conditions set forth below in this Application (the “</w:t>
      </w:r>
      <w:r>
        <w:rPr>
          <w:rFonts w:ascii="Times New Roman" w:hAnsi="Times New Roman"/>
          <w:b/>
          <w:i/>
          <w:sz w:val="20"/>
        </w:rPr>
        <w:t>Conditions</w:t>
      </w:r>
      <w:r>
        <w:rPr>
          <w:rFonts w:ascii="Times New Roman" w:hAnsi="Times New Roman"/>
          <w:sz w:val="20"/>
        </w:rPr>
        <w:t xml:space="preserve">”), each Regulated Fund to be able to participate with one or more Affiliated Entities in Co-Investment Transactions otherwise prohibited by Sections 17(d) and 57(a)(4) of the 1940 Act and Rule 17d-1 thereunder.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each Future Regulated Fund will consist of a majority of members who are not “interested persons” of such Future Regulated Fund within the meaning of Section 2(a)(19) of the 1940 Act.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future, an Existing Affiliated Fund may register as an investment company under the 1940 Act and, if so registered, will be considered a Regulated Fund for purposes of this application.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Applicable Law</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 </w:t>
      </w:r>
    </w:p>
    <w:p>
      <w:pPr>
        <w:pStyle w:val="TextBody"/>
        <w:bidi w:val="0"/>
        <w:spacing w:before="240" w:after="0"/>
        <w:jc w:val="left"/>
        <w:rPr>
          <w:rFonts w:ascii="Times New Roman" w:hAnsi="Times New Roman"/>
          <w:sz w:val="20"/>
        </w:rPr>
      </w:pPr>
      <w:r>
        <w:rPr>
          <w:rFonts w:ascii="Times New Roman" w:hAnsi="Times New Roman"/>
          <w:sz w:val="20"/>
        </w:rPr>
        <w:t xml:space="preserve">Rule 17d-1 prohibits an affiliated person, or an affiliated person of such affiliated person, of a registered investment company, acting as principal, from participating in, or effecting any transaction in connection with, any “joint enterprise or other joint arrangement or profit-sharing plan”12 in which the fund is a participant without first obtaining an order from the SEC. </w:t>
      </w:r>
    </w:p>
    <w:p>
      <w:pPr>
        <w:pStyle w:val="TextBody"/>
        <w:bidi w:val="0"/>
        <w:spacing w:before="240" w:after="0"/>
        <w:jc w:val="left"/>
        <w:rPr>
          <w:rFonts w:ascii="Times New Roman" w:hAnsi="Times New Roman"/>
          <w:sz w:val="20"/>
        </w:rPr>
      </w:pPr>
      <w:r>
        <w:rPr>
          <w:rFonts w:ascii="Times New Roman" w:hAnsi="Times New Roman"/>
          <w:sz w:val="20"/>
        </w:rPr>
        <w:t xml:space="preserve">Section 57(a)(4), in relevant part, prohibits any person related to a business development company in the manner described in Section 57(b), acting as principal, from knowingly effecting any transaction in which the business development company is a joint or a joint and several participant with such persons in contravention of such rules as the Commission may prescribe for the purpose of limiting or preventing participation by the business development company on a basis less advantageous than that of such person. Section 57(i) provides that, until the SEC prescribes rules under Section 57(a), the SEC’s rules under Section 17(d) applicable to registered closed-end investment companies will be deemed to apply to persons subject to the prohibitions of Section 57(a). Because the SEC has not adopted any rules under Section 57(a), Rule 17d-1 applies to persons subject to the prohibitions of Section 57(a). </w:t>
      </w:r>
    </w:p>
    <w:p>
      <w:pPr>
        <w:pStyle w:val="TextBody"/>
        <w:bidi w:val="0"/>
        <w:spacing w:before="240" w:after="0"/>
        <w:jc w:val="left"/>
        <w:rPr>
          <w:rFonts w:ascii="Times New Roman" w:hAnsi="Times New Roman"/>
          <w:sz w:val="20"/>
        </w:rPr>
      </w:pPr>
      <w:r>
        <w:rPr>
          <w:rFonts w:ascii="Times New Roman" w:hAnsi="Times New Roman"/>
          <w:sz w:val="20"/>
        </w:rPr>
        <w:t xml:space="preserve">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Need for Relief</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an open-end fund or closed-end fund or a business development company, respectively, including a sub-adviser. Thus, an Adviser and any Affiliated Entities that it advises could be deemed to be persons related to Regulated Funds in a manner described by Sections 17(d) and 57(b). With respect to the Existing Adviser and any other Advisers that are deemed to be affiliated persons of each other, Affiliated Entities advised by any of them could be deemed to be persons related to Regulated Funds (or a company controlled by a Regulated Fund) in a manner described by Sections 17(d) and 57(b). In addition, any entities or accounts controlled by or under common control with the Existing Adviser,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17d-1 under the 1940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Conditions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Applicants agree that any Order granting the requested relief will be subject to the following Conditions.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and any affiliated person of or principal underwriter for such registered company, or any affiliated person of such a person or principal underwriter, have a joint or a joint and several participation, or share in the profits of such enterprise or undertaking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Same Terms</w:t>
      </w:r>
      <w:r>
        <w:rPr>
          <w:rFonts w:ascii="Times New Roman" w:hAnsi="Times New Roman"/>
          <w:sz w:val="20"/>
        </w:rPr>
        <w:t xml:space="preserve">. With respect to any Co-Investment Transaction, each Regulated Fund, and Affiliated Entity participating in such transaction will 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 company, the Board of each Regulated Fund that does not hold this right must be given the opportunity to veto the selection of such person.13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 xml:space="preserve">Existing Investments in the Issuer. </w:t>
      </w:r>
      <w:r>
        <w:rPr>
          <w:rFonts w:ascii="Times New Roman" w:hAnsi="Times New Roman"/>
          <w:sz w:val="20"/>
        </w:rPr>
        <w:t>Prior to a Regulated Fund acquiring in a Co-Investment Transaction a security of an issuer in which an Affiliated Entity has an existing interest in such issuer, the “required majority,” as defined in Section 57(o) of the 1940 Act,14 of the Regulated Fund (“</w:t>
      </w:r>
      <w:r>
        <w:rPr>
          <w:rFonts w:ascii="Times New Roman" w:hAnsi="Times New Roman"/>
          <w:b/>
          <w:i/>
          <w:sz w:val="20"/>
        </w:rPr>
        <w:t>Required Majority</w:t>
      </w:r>
      <w:r>
        <w:rPr>
          <w:rFonts w:ascii="Times New Roman" w:hAnsi="Times New Roman"/>
          <w:sz w:val="20"/>
        </w:rPr>
        <w:t xml:space="preserve">”) will take the steps set forth in Section 57(f) of the 1940 Act,15 unless: (i) the Regulated Fund already holds the same security as each such Affiliated Entity; and (ii) the Regulated Fund and each other Affiliated Entity holding the security is participating in the acquisition in approximate proportion to its then-current holdings.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 xml:space="preserve">Related Expenses. </w:t>
      </w:r>
      <w:r>
        <w:rPr>
          <w:rFonts w:ascii="Times New Roman" w:hAnsi="Times New Roman"/>
          <w:sz w:val="20"/>
        </w:rPr>
        <w:t xml:space="preserve">Any expenses associated with acquiring, holding or disposing of any securities acquired in a Co-Investment Transaction, to the extent not borne by the Adviser(s), will be shared among the Participants in proportion to the relative amounts of the securities being acquired, held or disposed of, as the case may be.16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No Remuneration</w:t>
      </w:r>
      <w:r>
        <w:rPr>
          <w:rFonts w:ascii="Times New Roman" w:hAnsi="Times New Roman"/>
          <w:sz w:val="20"/>
        </w:rPr>
        <w:t xml:space="preserve">. Any transaction fee17 (including break-up, structuring, monitoring or commitment fees but excluding broker’s fees contemplated 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 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 Board can also, consistent with applicable fund documents, facilitate this opportunity by delegating the authority to veto the selection of such person to a committee of the Board.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 Solely for purposes of conditions 2 and 6(b) of this application, a designated committee of the board of a Regulated Fund may take the steps required of the Required Majority, so long as: (a) such committee consists of at least three directors who both have no financial interest in the relevant transaction and are not interested persons of the Regulated Fund, a majority of whom approve the transaction; and (b) a report on all Co-Investment Transactions considered by the designated committee, including the committee’s decision on each such transaction and the information described in Section 57(f)(3) that the committee has recorded with respect to each such transaction, is provided to the entire board of the Regulated Fund at the board’s next regularly-scheduled meeting.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 (iii) the BDC’s directors record in their minutes and preserve in their records a description of the transaction, their findings, the information or materials upon which their findings were based, and the basis for their findings.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of an individual Participant that are incurred solely by the Participant due to its unique circumstances (such as legal and compliance expenses) will be borne by such Participant.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Applicants are not requesting and the Commission is not providing any relief for transaction fees received in connection with any Co-Investment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Co-Investment Policies</w:t>
      </w:r>
      <w:r>
        <w:rPr>
          <w:rFonts w:ascii="Times New Roman" w:hAnsi="Times New Roman"/>
          <w:sz w:val="20"/>
        </w:rPr>
        <w:t>. Each Adviser (and each Affiliated Entity that is not advised by an Adviser) will adopt and implement policies and 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 w:hAnsi="Times New Roman"/>
          <w:b/>
          <w:i/>
          <w:sz w:val="20"/>
        </w:rPr>
        <w:t>Co-Investment Policies</w:t>
      </w:r>
      <w:r>
        <w:rPr>
          <w:rFonts w:ascii="Times New Roman" w:hAnsi="Times New Roman"/>
          <w:sz w:val="20"/>
        </w:rPr>
        <w:t xml:space="preserve">”). Each Adviser (and each Affiliated Entity that is not advised by an Adviser) will provide its Co-Investment Policies to the Regulated Funds and will notify the Regulated Funds of any material changes thereto.18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Dispositions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Prior to any Disposition19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 </w:t>
      </w:r>
    </w:p>
    <w:p>
      <w:pPr>
        <w:pStyle w:val="TextBody"/>
        <w:bidi w:val="0"/>
        <w:spacing w:before="120" w:after="0"/>
        <w:jc w:val="left"/>
        <w:rPr>
          <w:rFonts w:ascii="Times New Roman" w:hAnsi="Times New Roman"/>
          <w:sz w:val="20"/>
        </w:rPr>
      </w:pPr>
      <w:r>
        <w:rPr>
          <w:rFonts w:ascii="Times New Roman" w:hAnsi="Times New Roman"/>
          <w:sz w:val="20"/>
        </w:rPr>
        <w:t xml:space="preserve">(b) 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Security.20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 xml:space="preserve">Board Oversight </w:t>
      </w:r>
    </w:p>
    <w:p>
      <w:pPr>
        <w:pStyle w:val="TextBody"/>
        <w:bidi w:val="0"/>
        <w:spacing w:before="120" w:after="0"/>
        <w:jc w:val="left"/>
        <w:rPr>
          <w:rFonts w:ascii="Times New Roman" w:hAnsi="Times New Roman"/>
          <w:sz w:val="20"/>
        </w:rPr>
      </w:pPr>
      <w:r>
        <w:rPr>
          <w:rFonts w:ascii="Times New Roman" w:hAnsi="Times New Roman"/>
          <w:sz w:val="20"/>
        </w:rPr>
        <w:t xml:space="preserve">(a) Each Regulated Fund’s directors will oversee the Regulated Fund’s participation in the co-investment program in the exercise of their reasonable business judgment. </w:t>
      </w:r>
    </w:p>
    <w:p>
      <w:pPr>
        <w:pStyle w:val="TextBody"/>
        <w:bidi w:val="0"/>
        <w:spacing w:before="120" w:after="0"/>
        <w:jc w:val="left"/>
        <w:rPr>
          <w:rFonts w:ascii="Times New Roman" w:hAnsi="Times New Roman"/>
          <w:sz w:val="20"/>
        </w:rPr>
      </w:pPr>
      <w:r>
        <w:rPr>
          <w:rFonts w:ascii="Times New Roman" w:hAnsi="Times New Roman"/>
          <w:sz w:val="20"/>
        </w:rPr>
        <w:t xml:space="preserve">(b) Prior to a Regulated Fund’s participation in Co-Investment Transactions, the Regulated Fund’s Board, including a Required Majority, will: (i)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 </w:t>
      </w:r>
    </w:p>
    <w:p>
      <w:pPr>
        <w:pStyle w:val="TextBody"/>
        <w:bidi w:val="0"/>
        <w:spacing w:before="120" w:after="0"/>
        <w:jc w:val="left"/>
        <w:rPr>
          <w:rFonts w:ascii="Times New Roman" w:hAnsi="Times New Roman"/>
          <w:sz w:val="20"/>
        </w:rPr>
      </w:pPr>
      <w:r>
        <w:rPr>
          <w:rFonts w:ascii="Times New Roman" w:hAnsi="Times New Roman"/>
          <w:sz w:val="20"/>
        </w:rPr>
        <w:t xml:space="preserve">(c) 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 </w:t>
      </w:r>
    </w:p>
    <w:p>
      <w:pPr>
        <w:pStyle w:val="TextBody"/>
        <w:bidi w:val="0"/>
        <w:spacing w:before="120" w:after="0"/>
        <w:jc w:val="left"/>
        <w:rPr>
          <w:rFonts w:ascii="Times New Roman" w:hAnsi="Times New Roman"/>
          <w:sz w:val="20"/>
        </w:rPr>
      </w:pPr>
      <w:r>
        <w:rPr>
          <w:rFonts w:ascii="Times New Roman" w:hAnsi="Times New Roman"/>
          <w:sz w:val="20"/>
        </w:rPr>
        <w:t xml:space="preserve">(d) Every year, each Regulated Fund’s Adviser and chief compliance officer will provide the Regulated Fund’s Board with reports or other information requested by the Board related to the Regulated Fund’s participation in the co-investment program and any material changes in the Affiliated Entities’ participation in the co-investment program, including changes to the Affiliated Entities’ Co-Investment Policies.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Affiliated Entities may adopt shared Co-Investment Policies.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19 </w:t>
            </w:r>
          </w:p>
        </w:tc>
        <w:tc>
          <w:tcPr>
            <w:tcW w:w="9798" w:type="dxa"/>
            <w:tcBorders/>
          </w:tcPr>
          <w:p>
            <w:pPr>
              <w:pStyle w:val="TableContents"/>
              <w:bidi w:val="0"/>
              <w:spacing w:before="0" w:after="0"/>
              <w:jc w:val="left"/>
              <w:rPr/>
            </w:pPr>
            <w:r>
              <w:rPr/>
              <w:t>“</w:t>
            </w:r>
            <w:r>
              <w:rPr>
                <w:rFonts w:ascii="Times New Roman" w:hAnsi="Times New Roman"/>
                <w:b/>
                <w:i/>
                <w:sz w:val="20"/>
              </w:rPr>
              <w:t>Disposition</w:t>
            </w:r>
            <w:r>
              <w:rPr>
                <w:rFonts w:ascii="Times New Roman" w:hAnsi="Times New Roman"/>
                <w:sz w:val="20"/>
              </w:rPr>
              <w:t xml:space="preserve">” means the sale, exchange, transfer or other disposition of an interest in a security of an issuer.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20 </w:t>
            </w:r>
          </w:p>
        </w:tc>
        <w:tc>
          <w:tcPr>
            <w:tcW w:w="9797" w:type="dxa"/>
            <w:tcBorders/>
          </w:tcPr>
          <w:p>
            <w:pPr>
              <w:pStyle w:val="TableContents"/>
              <w:bidi w:val="0"/>
              <w:spacing w:before="0" w:after="0"/>
              <w:jc w:val="left"/>
              <w:rPr/>
            </w:pPr>
            <w:r>
              <w:rPr/>
              <w:t>“</w:t>
            </w:r>
            <w:r>
              <w:rPr>
                <w:rFonts w:ascii="Times New Roman" w:hAnsi="Times New Roman"/>
                <w:b/>
                <w:i/>
                <w:sz w:val="20"/>
              </w:rPr>
              <w:t>Tradable Security</w:t>
            </w:r>
            <w:r>
              <w:rPr>
                <w:rFonts w:ascii="Times New Roman" w:hAnsi="Times New Roman"/>
                <w:sz w:val="20"/>
              </w:rPr>
              <w:t xml:space="preserve">”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Recordkeeping</w:t>
      </w:r>
      <w:r>
        <w:rPr>
          <w:rFonts w:ascii="Times New Roman" w:hAnsi="Times New Roman"/>
          <w:sz w:val="20"/>
        </w:rPr>
        <w:t xml:space="preserve">. All information presented to the Board pursuant to the order will be kept for the life of the Regulated Fund and at least two years 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57(f).21 </w:t>
      </w:r>
    </w:p>
    <w:p>
      <w:pPr>
        <w:pStyle w:val="TextBody"/>
        <w:bidi w:val="0"/>
        <w:spacing w:before="120" w:after="0"/>
        <w:jc w:val="left"/>
        <w:rPr>
          <w:rFonts w:ascii="Times New Roman" w:hAnsi="Times New Roman"/>
          <w:sz w:val="20"/>
        </w:rPr>
      </w:pPr>
      <w:r>
        <w:rPr>
          <w:rFonts w:ascii="Times New Roman" w:hAnsi="Times New Roman"/>
          <w:sz w:val="20"/>
        </w:rPr>
        <w:t xml:space="preserve">9. In the event that the Commission adopts a rule under the 1940 Act allowing co-investments of the type described in this Application, any relief granted by the Order will expire on the effective date of that rule.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IV.</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STATEMENT IN SUPPORT OF RELIEF REQUESTED</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Potential Benefits to the Regulated Funds and their Shareholders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Shareholder Protections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Co-Investment Transaction would be subject to the terms and conditions of this Application. The Conditions are designed to address the concerns underlying Sections 17(d) and 57(a)(4) and Rule 17d-l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Co Investment Transaction considers the interest in the Transaction of any participating Regulated Fund. The Co-Investment Policies will require an Adviser to make an independent determination of the appropriateness of a Co-Investment Transaction and the proposed allocation size based on each Participant’s specific investment profile and other relevant characteristics.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V.</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PRECEDENTS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The Commission has previously issued orders permitting certain investment companies subject to regulation under the 1940 Act and their affiliated persons to be able to participate in Co-Investment Transactions (the “</w:t>
      </w:r>
      <w:r>
        <w:rPr>
          <w:rFonts w:ascii="Times New Roman" w:hAnsi="Times New Roman"/>
          <w:b/>
          <w:i/>
          <w:sz w:val="20"/>
        </w:rPr>
        <w:t>Existing</w:t>
      </w:r>
      <w:r>
        <w:rPr>
          <w:rFonts w:ascii="Times New Roman" w:hAnsi="Times New Roman"/>
          <w:sz w:val="20"/>
        </w:rPr>
        <w:t> </w:t>
      </w:r>
      <w:r>
        <w:rPr>
          <w:rFonts w:ascii="Times New Roman" w:hAnsi="Times New Roman"/>
          <w:b/>
          <w:i/>
          <w:sz w:val="20"/>
        </w:rPr>
        <w:t>Orders</w:t>
      </w:r>
      <w:r>
        <w:rPr>
          <w:rFonts w:ascii="Times New Roman" w:hAnsi="Times New Roman"/>
          <w:sz w:val="20"/>
        </w:rPr>
        <w:t xml:space="preserve">”).22 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See, e.g.</w:t>
            </w:r>
            <w:r>
              <w:rPr>
                <w:rFonts w:ascii="Times New Roman" w:hAnsi="Times New Roman"/>
                <w:sz w:val="20"/>
              </w:rPr>
              <w:t xml:space="preserve">, FS Credit Opportunities Corp., et al. (File No. 812-15706), Release No. IC-35520 (April 3, 2025) (notice), Release No. IC-35561 (April 29, 2025) (order); Sixth Street Specialty Lending, Inc. et al. (File No. 812-15729), Release No. IC-35531 (April 10, 2025) (notice), Release No. IC-35570 (May 6, 2025) (order); Blue Owl Capital Corporation, et al. (File No. 812-15715), Release No. IC-35530 (April 9, 2025) (notice), Release No. IC-35573 (May 6, 2025) (order); BlackRock Growth Equity Fund LP, et al. (File No. 812-15712), Release No. IC-35525 (April 8, 2025) (notice), Release No. IC-35572 (May 6, 2025) (order).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VI.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PROCEDURAL MATTERS</w:t>
            </w:r>
            <w:r>
              <w:rPr>
                <w:rFonts w:ascii="Times New Roman" w:hAnsi="Times New Roman"/>
                <w:b/>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Communications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Please address all communications concerning this Application, the Notice and the Order to: </w:t>
      </w:r>
    </w:p>
    <w:p>
      <w:pPr>
        <w:pStyle w:val="TextBody"/>
        <w:bidi w:val="0"/>
        <w:spacing w:before="240" w:after="0"/>
        <w:jc w:val="center"/>
        <w:rPr>
          <w:rFonts w:ascii="Times New Roman" w:hAnsi="Times New Roman"/>
          <w:sz w:val="20"/>
        </w:rPr>
      </w:pPr>
      <w:r>
        <w:rPr>
          <w:rFonts w:ascii="Times New Roman" w:hAnsi="Times New Roman"/>
          <w:sz w:val="20"/>
        </w:rPr>
        <w:t xml:space="preserve">Edward H. Ross </w:t>
      </w:r>
    </w:p>
    <w:p>
      <w:pPr>
        <w:pStyle w:val="TextBody"/>
        <w:bidi w:val="0"/>
        <w:spacing w:before="0" w:after="0"/>
        <w:jc w:val="center"/>
        <w:rPr>
          <w:rFonts w:ascii="Times New Roman" w:hAnsi="Times New Roman"/>
          <w:sz w:val="20"/>
        </w:rPr>
      </w:pPr>
      <w:r>
        <w:rPr>
          <w:rFonts w:ascii="Times New Roman" w:hAnsi="Times New Roman"/>
          <w:sz w:val="20"/>
        </w:rPr>
        <w:t xml:space="preserve">Chief Executive Officer </w:t>
      </w:r>
    </w:p>
    <w:p>
      <w:pPr>
        <w:pStyle w:val="TextBody"/>
        <w:bidi w:val="0"/>
        <w:spacing w:before="0" w:after="0"/>
        <w:jc w:val="center"/>
        <w:rPr>
          <w:rFonts w:ascii="Times New Roman" w:hAnsi="Times New Roman"/>
          <w:sz w:val="20"/>
        </w:rPr>
      </w:pPr>
      <w:r>
        <w:rPr>
          <w:rFonts w:ascii="Times New Roman" w:hAnsi="Times New Roman"/>
          <w:sz w:val="20"/>
        </w:rPr>
        <w:t xml:space="preserve">Fidus Investment Corporation </w:t>
      </w:r>
    </w:p>
    <w:p>
      <w:pPr>
        <w:pStyle w:val="TextBody"/>
        <w:bidi w:val="0"/>
        <w:spacing w:before="0" w:after="0"/>
        <w:jc w:val="center"/>
        <w:rPr>
          <w:rFonts w:ascii="Times New Roman" w:hAnsi="Times New Roman"/>
          <w:sz w:val="20"/>
        </w:rPr>
      </w:pPr>
      <w:r>
        <w:rPr>
          <w:rFonts w:ascii="Times New Roman" w:hAnsi="Times New Roman"/>
          <w:sz w:val="20"/>
        </w:rPr>
        <w:t xml:space="preserve">1603 Orrington Avenue, Suite 1005 </w:t>
      </w:r>
    </w:p>
    <w:p>
      <w:pPr>
        <w:pStyle w:val="TextBody"/>
        <w:bidi w:val="0"/>
        <w:spacing w:before="0" w:after="0"/>
        <w:jc w:val="center"/>
        <w:rPr>
          <w:rFonts w:ascii="Times New Roman" w:hAnsi="Times New Roman"/>
          <w:sz w:val="20"/>
        </w:rPr>
      </w:pPr>
      <w:r>
        <w:rPr>
          <w:rFonts w:ascii="Times New Roman" w:hAnsi="Times New Roman"/>
          <w:sz w:val="20"/>
        </w:rPr>
        <w:t xml:space="preserve">Evanston, Illinois 60201 </w:t>
      </w:r>
    </w:p>
    <w:p>
      <w:pPr>
        <w:pStyle w:val="TextBody"/>
        <w:bidi w:val="0"/>
        <w:spacing w:before="0" w:after="0"/>
        <w:jc w:val="center"/>
        <w:rPr>
          <w:rFonts w:ascii="Times New Roman" w:hAnsi="Times New Roman"/>
          <w:sz w:val="20"/>
        </w:rPr>
      </w:pPr>
      <w:r>
        <w:rPr>
          <w:rFonts w:ascii="Times New Roman" w:hAnsi="Times New Roman"/>
          <w:sz w:val="20"/>
        </w:rPr>
        <w:t xml:space="preserve">(847) 859-3940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eross@fidusinv.com </w:t>
      </w:r>
    </w:p>
    <w:p>
      <w:pPr>
        <w:pStyle w:val="TextBody"/>
        <w:bidi w:val="0"/>
        <w:spacing w:before="240" w:after="0"/>
        <w:jc w:val="left"/>
        <w:rPr>
          <w:rFonts w:ascii="Times New Roman" w:hAnsi="Times New Roman"/>
          <w:sz w:val="20"/>
        </w:rPr>
      </w:pPr>
      <w:r>
        <w:rPr>
          <w:rFonts w:ascii="Times New Roman" w:hAnsi="Times New Roman"/>
          <w:sz w:val="20"/>
        </w:rPr>
        <w:t xml:space="preserve">Please address any questions, and a copy of any communications, concerning this Application, the Notice, and the Order to: </w:t>
      </w:r>
    </w:p>
    <w:p>
      <w:pPr>
        <w:pStyle w:val="TextBody"/>
        <w:bidi w:val="0"/>
        <w:spacing w:before="240" w:after="0"/>
        <w:jc w:val="center"/>
        <w:rPr>
          <w:rFonts w:ascii="Times New Roman" w:hAnsi="Times New Roman"/>
          <w:sz w:val="20"/>
        </w:rPr>
      </w:pPr>
      <w:r>
        <w:rPr>
          <w:rFonts w:ascii="Times New Roman" w:hAnsi="Times New Roman"/>
          <w:sz w:val="20"/>
        </w:rPr>
        <w:t xml:space="preserve">Steven B. Boehm </w:t>
      </w:r>
    </w:p>
    <w:p>
      <w:pPr>
        <w:pStyle w:val="TextBody"/>
        <w:bidi w:val="0"/>
        <w:spacing w:before="0" w:after="0"/>
        <w:jc w:val="center"/>
        <w:rPr>
          <w:rFonts w:ascii="Times New Roman" w:hAnsi="Times New Roman"/>
          <w:sz w:val="20"/>
        </w:rPr>
      </w:pPr>
      <w:r>
        <w:rPr>
          <w:rFonts w:ascii="Times New Roman" w:hAnsi="Times New Roman"/>
          <w:sz w:val="20"/>
        </w:rPr>
        <w:t xml:space="preserve">Anne G. Oberndorf </w:t>
      </w:r>
    </w:p>
    <w:p>
      <w:pPr>
        <w:pStyle w:val="TextBody"/>
        <w:bidi w:val="0"/>
        <w:spacing w:before="0" w:after="0"/>
        <w:jc w:val="center"/>
        <w:rPr>
          <w:rFonts w:ascii="Times New Roman" w:hAnsi="Times New Roman"/>
          <w:sz w:val="20"/>
        </w:rPr>
      </w:pPr>
      <w:r>
        <w:rPr>
          <w:rFonts w:ascii="Times New Roman" w:hAnsi="Times New Roman"/>
          <w:sz w:val="20"/>
        </w:rPr>
        <w:t xml:space="preserve">Payam Siadatpour </w:t>
      </w:r>
    </w:p>
    <w:p>
      <w:pPr>
        <w:pStyle w:val="TextBody"/>
        <w:bidi w:val="0"/>
        <w:spacing w:before="0" w:after="0"/>
        <w:jc w:val="center"/>
        <w:rPr>
          <w:rFonts w:ascii="Times New Roman" w:hAnsi="Times New Roman"/>
          <w:sz w:val="20"/>
        </w:rPr>
      </w:pPr>
      <w:r>
        <w:rPr>
          <w:rFonts w:ascii="Times New Roman" w:hAnsi="Times New Roman"/>
          <w:sz w:val="20"/>
        </w:rPr>
        <w:t xml:space="preserve">Sara Sabour Nasseri, Esq. </w:t>
      </w:r>
    </w:p>
    <w:p>
      <w:pPr>
        <w:pStyle w:val="TextBody"/>
        <w:bidi w:val="0"/>
        <w:spacing w:before="0" w:after="0"/>
        <w:jc w:val="center"/>
        <w:rPr>
          <w:rFonts w:ascii="Times New Roman" w:hAnsi="Times New Roman"/>
          <w:sz w:val="20"/>
        </w:rPr>
      </w:pPr>
      <w:r>
        <w:rPr>
          <w:rFonts w:ascii="Times New Roman" w:hAnsi="Times New Roman"/>
          <w:sz w:val="20"/>
        </w:rPr>
        <w:t xml:space="preserve">Eversheds Sutherland (US) LLP </w:t>
      </w:r>
    </w:p>
    <w:p>
      <w:pPr>
        <w:pStyle w:val="TextBody"/>
        <w:bidi w:val="0"/>
        <w:spacing w:before="0" w:after="0"/>
        <w:jc w:val="center"/>
        <w:rPr>
          <w:rFonts w:ascii="Times New Roman" w:hAnsi="Times New Roman"/>
          <w:sz w:val="20"/>
        </w:rPr>
      </w:pPr>
      <w:r>
        <w:rPr>
          <w:rFonts w:ascii="Times New Roman" w:hAnsi="Times New Roman"/>
          <w:sz w:val="20"/>
        </w:rPr>
        <w:t xml:space="preserve">700 6th Street, N.W. </w:t>
      </w:r>
    </w:p>
    <w:p>
      <w:pPr>
        <w:pStyle w:val="TextBody"/>
        <w:bidi w:val="0"/>
        <w:spacing w:before="0" w:after="0"/>
        <w:jc w:val="center"/>
        <w:rPr>
          <w:rFonts w:ascii="Times New Roman" w:hAnsi="Times New Roman"/>
          <w:sz w:val="20"/>
        </w:rPr>
      </w:pPr>
      <w:r>
        <w:rPr>
          <w:rFonts w:ascii="Times New Roman" w:hAnsi="Times New Roman"/>
          <w:sz w:val="20"/>
        </w:rPr>
        <w:t xml:space="preserve">Washington, D.C. 20001 </w:t>
      </w:r>
    </w:p>
    <w:p>
      <w:pPr>
        <w:pStyle w:val="TextBody"/>
        <w:bidi w:val="0"/>
        <w:spacing w:before="0" w:after="0"/>
        <w:jc w:val="center"/>
        <w:rPr>
          <w:rFonts w:ascii="Times New Roman" w:hAnsi="Times New Roman"/>
          <w:sz w:val="20"/>
        </w:rPr>
      </w:pPr>
      <w:r>
        <w:rPr>
          <w:rFonts w:ascii="Times New Roman" w:hAnsi="Times New Roman"/>
          <w:sz w:val="20"/>
        </w:rPr>
        <w:t xml:space="preserve">(202) 383-0100 </w:t>
      </w:r>
    </w:p>
    <w:p>
      <w:pPr>
        <w:pStyle w:val="TextBody"/>
        <w:bidi w:val="0"/>
        <w:spacing w:before="0" w:after="0"/>
        <w:jc w:val="center"/>
        <w:rPr>
          <w:rFonts w:ascii="Times New Roman" w:hAnsi="Times New Roman"/>
          <w:sz w:val="20"/>
        </w:rPr>
      </w:pPr>
      <w:r>
        <w:rPr>
          <w:rFonts w:ascii="Times New Roman" w:hAnsi="Times New Roman"/>
          <w:sz w:val="20"/>
        </w:rPr>
        <w:t xml:space="preserve">anneoberndorf@eversheds-sutherland.us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Authorizations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filing of this Application for the Order sought hereby and the taking of all acts reasonably necessary to obtain the relief requested herein was authorized by the Board of each Existing Regulated Fund pursuant to resolutions duly adopted by the Board. Copies of the resolutions are provided below.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0-2(c), Applicants hereby state that each Applicant has authorized to cause to be prepared and to execute and file with the Commission this Application and any amendment thereto for an order pursuant to Sections 17(d) and 57(i) and Rule 17d-1 permitting certain joint transactions otherwise prohibited by Sections 17(d) and 57(a)(4) and Rule 17d-1. The person executing the Application on behalf of the Applicants being duly sworn deposes and says that he has duly executed the Application for and on behalf of the applicable entity listed; that he is authorized to execute the Application pursuant to the terms of an operating agreement, management agreement or otherwise; and that all actions by members, directors or other bodies necessary to authorize each such deponent to execute and file the Application have been taken.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accordance with the requirements for a request for expedited review of this Application, marked copies of two recent applications seeking the same relief as Applicants that are substantially identical as required by Rule 0-5(e) of the 1940 Act are attached as Exhibit C. </w:t>
      </w:r>
    </w:p>
    <w:p>
      <w:pPr>
        <w:pStyle w:val="TextBody"/>
        <w:bidi w:val="0"/>
        <w:spacing w:before="240" w:after="0"/>
        <w:jc w:val="left"/>
        <w:rPr>
          <w:rFonts w:ascii="Times New Roman" w:hAnsi="Times New Roman"/>
          <w:sz w:val="20"/>
        </w:rPr>
      </w:pPr>
      <w:r>
        <w:rPr>
          <w:rFonts w:ascii="Times New Roman" w:hAnsi="Times New Roman"/>
          <w:sz w:val="20"/>
        </w:rPr>
        <w:t xml:space="preserve">The Applicants have caused this Application to be duly signed on their behalf on the 28th day of August,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81"/>
        <w:gridCol w:w="91"/>
        <w:gridCol w:w="3410"/>
      </w:tblGrid>
      <w:tr>
        <w:trPr/>
        <w:tc>
          <w:tcPr>
            <w:tcW w:w="581"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FIDUS INVESTMENT CORPORATION</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581"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283"/>
              <w:jc w:val="left"/>
              <w:rPr/>
            </w:pPr>
            <w:r>
              <w:rPr/>
              <w:t>Name: Edward H. Ross</w:t>
            </w:r>
          </w:p>
        </w:tc>
      </w:tr>
      <w:tr>
        <w:trPr/>
        <w:tc>
          <w:tcPr>
            <w:tcW w:w="581"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283"/>
              <w:jc w:val="left"/>
              <w:rPr/>
            </w:pPr>
            <w:r>
              <w:rPr/>
              <w:t>Title: Authorized Person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FIDUS INVESTMENT ADVISORS, LLC</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581"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283"/>
              <w:jc w:val="left"/>
              <w:rPr/>
            </w:pPr>
            <w:r>
              <w:rPr/>
              <w:t>Name: Edward H. Ross</w:t>
            </w:r>
          </w:p>
        </w:tc>
      </w:tr>
      <w:tr>
        <w:trPr/>
        <w:tc>
          <w:tcPr>
            <w:tcW w:w="581"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283"/>
              <w:jc w:val="left"/>
              <w:rPr/>
            </w:pPr>
            <w:r>
              <w:rPr/>
              <w:t>Title: Authorized Person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EXISTING WHOLLY-OWNED SUBSIDIARIES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FIDUS MEZZANINE CAPITAL, L.P.</w:t>
            </w:r>
          </w:p>
        </w:tc>
      </w:tr>
      <w:tr>
        <w:trPr/>
        <w:tc>
          <w:tcPr>
            <w:tcW w:w="4082" w:type="dxa"/>
            <w:gridSpan w:val="3"/>
            <w:tcBorders/>
          </w:tcPr>
          <w:p>
            <w:pPr>
              <w:pStyle w:val="TableContents"/>
              <w:bidi w:val="0"/>
              <w:spacing w:before="0" w:after="283"/>
              <w:jc w:val="left"/>
              <w:rPr/>
            </w:pPr>
            <w:r>
              <w:rPr/>
              <w:t>FIDUS MEZZANINE CAPITAL II, L.P.</w:t>
            </w:r>
          </w:p>
        </w:tc>
      </w:tr>
      <w:tr>
        <w:trPr/>
        <w:tc>
          <w:tcPr>
            <w:tcW w:w="4082" w:type="dxa"/>
            <w:gridSpan w:val="3"/>
            <w:tcBorders/>
          </w:tcPr>
          <w:p>
            <w:pPr>
              <w:pStyle w:val="TableContents"/>
              <w:bidi w:val="0"/>
              <w:spacing w:before="0" w:after="283"/>
              <w:jc w:val="left"/>
              <w:rPr/>
            </w:pPr>
            <w:r>
              <w:rPr/>
              <w:t>FIDUS MEZZANINE CAPITAL III, L.P.</w:t>
            </w:r>
          </w:p>
        </w:tc>
      </w:tr>
      <w:tr>
        <w:trPr/>
        <w:tc>
          <w:tcPr>
            <w:tcW w:w="4082" w:type="dxa"/>
            <w:gridSpan w:val="3"/>
            <w:tcBorders/>
          </w:tcPr>
          <w:p>
            <w:pPr>
              <w:pStyle w:val="TableContents"/>
              <w:bidi w:val="0"/>
              <w:spacing w:before="0" w:after="283"/>
              <w:jc w:val="left"/>
              <w:rPr/>
            </w:pPr>
            <w:r>
              <w:rPr/>
              <w:t>FIDUS MEZZANINE CAPITAL IV, L.P.</w:t>
            </w:r>
          </w:p>
        </w:tc>
      </w:tr>
      <w:tr>
        <w:trPr/>
        <w:tc>
          <w:tcPr>
            <w:tcW w:w="4082" w:type="dxa"/>
            <w:gridSpan w:val="3"/>
            <w:tcBorders/>
          </w:tcPr>
          <w:p>
            <w:pPr>
              <w:pStyle w:val="TableContents"/>
              <w:bidi w:val="0"/>
              <w:spacing w:before="0" w:after="283"/>
              <w:jc w:val="left"/>
              <w:rPr/>
            </w:pPr>
            <w:r>
              <w:rPr/>
              <w:t>FIC FUNDING, LLC</w:t>
            </w:r>
          </w:p>
        </w:tc>
      </w:tr>
      <w:tr>
        <w:trPr/>
        <w:tc>
          <w:tcPr>
            <w:tcW w:w="4082" w:type="dxa"/>
            <w:gridSpan w:val="3"/>
            <w:tcBorders/>
          </w:tcPr>
          <w:p>
            <w:pPr>
              <w:pStyle w:val="TableContents"/>
              <w:bidi w:val="0"/>
              <w:spacing w:before="0" w:after="283"/>
              <w:jc w:val="left"/>
              <w:rPr/>
            </w:pPr>
            <w:r>
              <w:rPr/>
              <w:t xml:space="preserve">FIDUS INVESTMENT HOLDINGS, INC. </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581"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283"/>
              <w:jc w:val="left"/>
              <w:rPr/>
            </w:pPr>
            <w:r>
              <w:rPr/>
              <w:t>Name: Edward H. Ross</w:t>
            </w:r>
          </w:p>
        </w:tc>
      </w:tr>
      <w:tr>
        <w:trPr/>
        <w:tc>
          <w:tcPr>
            <w:tcW w:w="581"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283"/>
              <w:jc w:val="left"/>
              <w:rPr/>
            </w:pPr>
            <w:r>
              <w:rPr/>
              <w:t>Title: Authorized Person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EXISTING AFFILIATED FUNDS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FIDUS CREDIT OPPORTUNITIES, L.P.</w:t>
            </w:r>
          </w:p>
        </w:tc>
      </w:tr>
      <w:tr>
        <w:trPr/>
        <w:tc>
          <w:tcPr>
            <w:tcW w:w="4082" w:type="dxa"/>
            <w:gridSpan w:val="3"/>
            <w:tcBorders/>
          </w:tcPr>
          <w:p>
            <w:pPr>
              <w:pStyle w:val="TableContents"/>
              <w:bidi w:val="0"/>
              <w:spacing w:before="0" w:after="283"/>
              <w:jc w:val="left"/>
              <w:rPr/>
            </w:pPr>
            <w:r>
              <w:rPr/>
              <w:t>FIDUS EQUITY OPPORTUNITIES FUND, L.P.</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581"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283"/>
              <w:jc w:val="left"/>
              <w:rPr/>
            </w:pPr>
            <w:r>
              <w:rPr/>
              <w:t>Name: Edward H. Ross</w:t>
            </w:r>
          </w:p>
        </w:tc>
      </w:tr>
      <w:tr>
        <w:trPr/>
        <w:tc>
          <w:tcPr>
            <w:tcW w:w="581"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283"/>
              <w:jc w:val="left"/>
              <w:rPr/>
            </w:pPr>
            <w:r>
              <w:rPr/>
              <w:t>Title: Authorized Person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480" w:after="0"/>
        <w:jc w:val="center"/>
        <w:rPr>
          <w:rFonts w:ascii="Times New Roman" w:hAnsi="Times New Roman"/>
          <w:sz w:val="20"/>
        </w:rPr>
      </w:pPr>
      <w:r>
        <w:rPr>
          <w:rFonts w:ascii="Times New Roman" w:hAnsi="Times New Roman"/>
          <w:sz w:val="20"/>
        </w:rPr>
        <w:t xml:space="preserve">Verification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states that he has duly executed the attached Application, dated August 28, 2026, for and on behalf of the Applicants, as the case may be, that he holds the office with each such entity as indicated below, and that all actions by stockholders, officers, directors, and other bodies necessary to authorize the undersigned to execute and file such Application have been taken. The undersigned further states that he is familiar with the instrument and the contents thereof, and that the facts set forth therein are true to the best of his or her knowledge, information, and belief.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81"/>
        <w:gridCol w:w="91"/>
        <w:gridCol w:w="3410"/>
      </w:tblGrid>
      <w:tr>
        <w:trPr/>
        <w:tc>
          <w:tcPr>
            <w:tcW w:w="581"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FIDUS INVESTMENT CORPORATION</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581"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283"/>
              <w:jc w:val="left"/>
              <w:rPr/>
            </w:pPr>
            <w:r>
              <w:rPr/>
              <w:t>Name: Edward H. Ross</w:t>
            </w:r>
          </w:p>
        </w:tc>
      </w:tr>
      <w:tr>
        <w:trPr/>
        <w:tc>
          <w:tcPr>
            <w:tcW w:w="581"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283"/>
              <w:jc w:val="left"/>
              <w:rPr/>
            </w:pPr>
            <w:r>
              <w:rPr/>
              <w:t>Title: Authorized Person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FIDUS INVESTMENT ADVISORS, LLC</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581"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283"/>
              <w:jc w:val="left"/>
              <w:rPr/>
            </w:pPr>
            <w:r>
              <w:rPr/>
              <w:t>Name: Edward H. Ross</w:t>
            </w:r>
          </w:p>
        </w:tc>
      </w:tr>
      <w:tr>
        <w:trPr/>
        <w:tc>
          <w:tcPr>
            <w:tcW w:w="581"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283"/>
              <w:jc w:val="left"/>
              <w:rPr/>
            </w:pPr>
            <w:r>
              <w:rPr/>
              <w:t>Title: Authorized Person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EXISTING WHOLLY-OWNED SUBSIDIARIES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FIDUS MEZZANINE CAPITAL, L.P.</w:t>
            </w:r>
          </w:p>
        </w:tc>
      </w:tr>
      <w:tr>
        <w:trPr/>
        <w:tc>
          <w:tcPr>
            <w:tcW w:w="4082" w:type="dxa"/>
            <w:gridSpan w:val="3"/>
            <w:tcBorders/>
          </w:tcPr>
          <w:p>
            <w:pPr>
              <w:pStyle w:val="TableContents"/>
              <w:bidi w:val="0"/>
              <w:spacing w:before="0" w:after="283"/>
              <w:jc w:val="left"/>
              <w:rPr/>
            </w:pPr>
            <w:r>
              <w:rPr/>
              <w:t>FIDUS MEZZANINE CAPITAL II, L.P.</w:t>
            </w:r>
          </w:p>
        </w:tc>
      </w:tr>
      <w:tr>
        <w:trPr/>
        <w:tc>
          <w:tcPr>
            <w:tcW w:w="4082" w:type="dxa"/>
            <w:gridSpan w:val="3"/>
            <w:tcBorders/>
          </w:tcPr>
          <w:p>
            <w:pPr>
              <w:pStyle w:val="TableContents"/>
              <w:bidi w:val="0"/>
              <w:spacing w:before="0" w:after="283"/>
              <w:jc w:val="left"/>
              <w:rPr/>
            </w:pPr>
            <w:r>
              <w:rPr/>
              <w:t>FIDUS MEZZANINE CAPITAL III, L.P.</w:t>
            </w:r>
          </w:p>
        </w:tc>
      </w:tr>
      <w:tr>
        <w:trPr/>
        <w:tc>
          <w:tcPr>
            <w:tcW w:w="4082" w:type="dxa"/>
            <w:gridSpan w:val="3"/>
            <w:tcBorders/>
          </w:tcPr>
          <w:p>
            <w:pPr>
              <w:pStyle w:val="TableContents"/>
              <w:bidi w:val="0"/>
              <w:spacing w:before="0" w:after="283"/>
              <w:jc w:val="left"/>
              <w:rPr/>
            </w:pPr>
            <w:r>
              <w:rPr/>
              <w:t>FIDUS MEZZANINE CAPITAL IV, L.P.</w:t>
            </w:r>
          </w:p>
        </w:tc>
      </w:tr>
      <w:tr>
        <w:trPr/>
        <w:tc>
          <w:tcPr>
            <w:tcW w:w="4082" w:type="dxa"/>
            <w:gridSpan w:val="3"/>
            <w:tcBorders/>
          </w:tcPr>
          <w:p>
            <w:pPr>
              <w:pStyle w:val="TableContents"/>
              <w:bidi w:val="0"/>
              <w:spacing w:before="0" w:after="283"/>
              <w:jc w:val="left"/>
              <w:rPr/>
            </w:pPr>
            <w:r>
              <w:rPr/>
              <w:t>FIC FUNDING, LLC</w:t>
            </w:r>
          </w:p>
        </w:tc>
      </w:tr>
      <w:tr>
        <w:trPr/>
        <w:tc>
          <w:tcPr>
            <w:tcW w:w="4082" w:type="dxa"/>
            <w:gridSpan w:val="3"/>
            <w:tcBorders/>
          </w:tcPr>
          <w:p>
            <w:pPr>
              <w:pStyle w:val="TableContents"/>
              <w:bidi w:val="0"/>
              <w:spacing w:before="0" w:after="283"/>
              <w:jc w:val="left"/>
              <w:rPr/>
            </w:pPr>
            <w:r>
              <w:rPr/>
              <w:t xml:space="preserve">FIDUS INVESTMENT HOLDINGS, INC. </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581"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283"/>
              <w:jc w:val="left"/>
              <w:rPr/>
            </w:pPr>
            <w:r>
              <w:rPr/>
              <w:t>Name: Edward H. Ross</w:t>
            </w:r>
          </w:p>
        </w:tc>
      </w:tr>
      <w:tr>
        <w:trPr/>
        <w:tc>
          <w:tcPr>
            <w:tcW w:w="581"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283"/>
              <w:jc w:val="left"/>
              <w:rPr/>
            </w:pPr>
            <w:r>
              <w:rPr/>
              <w:t>Title: Authorized Person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EXISTING AFFILIATED FUNDS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FIDUS CREDIT OPPORTUNITIES, L.P.</w:t>
            </w:r>
          </w:p>
        </w:tc>
      </w:tr>
      <w:tr>
        <w:trPr/>
        <w:tc>
          <w:tcPr>
            <w:tcW w:w="4082" w:type="dxa"/>
            <w:gridSpan w:val="3"/>
            <w:tcBorders/>
          </w:tcPr>
          <w:p>
            <w:pPr>
              <w:pStyle w:val="TableContents"/>
              <w:bidi w:val="0"/>
              <w:spacing w:before="0" w:after="283"/>
              <w:jc w:val="left"/>
              <w:rPr/>
            </w:pPr>
            <w:r>
              <w:rPr/>
              <w:t>FIDUS EQUITY OPPORTUNITIES FUND, L.P.</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581"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283"/>
              <w:jc w:val="left"/>
              <w:rPr/>
            </w:pPr>
            <w:r>
              <w:rPr/>
              <w:t>Name: Edward H. Ross</w:t>
            </w:r>
          </w:p>
        </w:tc>
      </w:tr>
      <w:tr>
        <w:trPr/>
        <w:tc>
          <w:tcPr>
            <w:tcW w:w="581"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283"/>
              <w:jc w:val="left"/>
              <w:rPr/>
            </w:pPr>
            <w:r>
              <w:rPr/>
              <w:t>Title: Authorized Person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B </w:t>
      </w:r>
    </w:p>
    <w:p>
      <w:pPr>
        <w:pStyle w:val="TextBody"/>
        <w:bidi w:val="0"/>
        <w:spacing w:before="480" w:after="0"/>
        <w:jc w:val="center"/>
        <w:rPr>
          <w:rFonts w:ascii="Times New Roman" w:hAnsi="Times New Roman"/>
          <w:b/>
          <w:sz w:val="20"/>
        </w:rPr>
      </w:pPr>
      <w:r>
        <w:rPr>
          <w:rFonts w:ascii="Times New Roman" w:hAnsi="Times New Roman"/>
          <w:b/>
          <w:sz w:val="20"/>
        </w:rPr>
        <w:t xml:space="preserve">Resolutions of the Board of Directors (the “Board”) of </w:t>
      </w:r>
    </w:p>
    <w:p>
      <w:pPr>
        <w:pStyle w:val="TextBody"/>
        <w:bidi w:val="0"/>
        <w:spacing w:before="0" w:after="0"/>
        <w:jc w:val="center"/>
        <w:rPr>
          <w:rFonts w:ascii="Times New Roman" w:hAnsi="Times New Roman"/>
          <w:b/>
          <w:sz w:val="20"/>
        </w:rPr>
      </w:pPr>
      <w:r>
        <w:rPr>
          <w:rFonts w:ascii="Times New Roman" w:hAnsi="Times New Roman"/>
          <w:b/>
          <w:sz w:val="20"/>
        </w:rPr>
        <w:t xml:space="preserve">Fidus Investment Corporation (the “Company”)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 has reviewed the Co-Investment Exemptive Application (the “</w:t>
      </w:r>
      <w:r>
        <w:rPr>
          <w:rFonts w:ascii="Times New Roman" w:hAnsi="Times New Roman"/>
          <w:b/>
          <w:i/>
          <w:sz w:val="20"/>
        </w:rPr>
        <w:t>Exemptive Application</w:t>
      </w:r>
      <w:r>
        <w:rPr>
          <w:rFonts w:ascii="Times New Roman" w:hAnsi="Times New Roman"/>
          <w:sz w:val="20"/>
        </w:rPr>
        <w:t>”), a copy of which is attached hereto as Exhibit A, for an order of the U.S. Securities and Exchange Commission (the “</w:t>
      </w:r>
      <w:r>
        <w:rPr>
          <w:rFonts w:ascii="Times New Roman" w:hAnsi="Times New Roman"/>
          <w:b/>
          <w:i/>
          <w:sz w:val="20"/>
        </w:rPr>
        <w:t>SEC</w:t>
      </w:r>
      <w:r>
        <w:rPr>
          <w:rFonts w:ascii="Times New Roman" w:hAnsi="Times New Roman"/>
          <w:sz w:val="20"/>
        </w:rPr>
        <w:t>”) pursuant to Sections 17(d) and 57(i) of the Investment Company Act of 1940, as amended (the “</w:t>
      </w:r>
      <w:r>
        <w:rPr>
          <w:rFonts w:ascii="Times New Roman" w:hAnsi="Times New Roman"/>
          <w:b/>
          <w:i/>
          <w:sz w:val="20"/>
        </w:rPr>
        <w:t>1940 Act</w:t>
      </w:r>
      <w:r>
        <w:rPr>
          <w:rFonts w:ascii="Times New Roman" w:hAnsi="Times New Roman"/>
          <w:sz w:val="20"/>
        </w:rPr>
        <w:t xml:space="preserve">”), and Rule 17d-1 thereunder permitting certain joint transactions that otherwise may be prohibited by Sections 17(d) and 57(a)(4) of the 1940 Act and Rule 17d-1 thereunder;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deems it advisable and in the best interest of the Company that the Company file the Exemptive Application. </w:t>
      </w:r>
    </w:p>
    <w:p>
      <w:pPr>
        <w:pStyle w:val="TextBody"/>
        <w:bidi w:val="0"/>
        <w:spacing w:before="240" w:after="0"/>
        <w:jc w:val="left"/>
        <w:rPr>
          <w:rFonts w:ascii="Times New Roman" w:hAnsi="Times New Roman"/>
          <w:sz w:val="20"/>
        </w:rPr>
      </w:pPr>
      <w:r>
        <w:rPr>
          <w:rFonts w:ascii="Times New Roman" w:hAnsi="Times New Roman"/>
          <w:b/>
          <w:sz w:val="20"/>
        </w:rPr>
        <w:t>NOW, THEREFORE, BE IT RESOLVED</w:t>
      </w:r>
      <w:r>
        <w:rPr>
          <w:rFonts w:ascii="Times New Roman" w:hAnsi="Times New Roman"/>
          <w:sz w:val="20"/>
        </w:rPr>
        <w:t xml:space="preserve">, that the Board shall be, and hereby is, authorized, empowered and directed, in the name and on behalf of the Company, to cause to be executed, delivered and filed with the SEC the Exemptive Application, in substantially the form provided to the Board;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Authorized Officers (as defined below) shall be, and hereby are, authorized, empowered and directed, in the name and on behalf of the Company, to cause to be made, executed, delivered and filed with the SEC any amendments to the Exemptive Application, together with such exhibits and other documents thereto, as are satisfactory in form and substance to counsel to the Company in order to effectuate the foregoing, such determination to be conclusively evidenced by the taking of any such action;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all acts and things previously done by the Authorized Officers, on or prior to the date hereof, in the name and on behalf of the Company in connection with the foregoing resolutions are in all respects authorized, ratified, approved, confirmed and adopted as the acts and deeds by and on behalf of the Company;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that each of Chief Executive Officer and Chief Financial Officer of the Company (the “</w:t>
      </w:r>
      <w:r>
        <w:rPr>
          <w:rFonts w:ascii="Times New Roman" w:hAnsi="Times New Roman"/>
          <w:b/>
          <w:i/>
          <w:sz w:val="20"/>
        </w:rPr>
        <w:t>Authorized Officers</w:t>
      </w:r>
      <w:r>
        <w:rPr>
          <w:rFonts w:ascii="Times New Roman" w:hAnsi="Times New Roman"/>
          <w:sz w:val="20"/>
        </w:rPr>
        <w:t xml:space="preserve">”) be, and hereby is, authorized, empowered and directed to certify and deliver copies of these resolutions to such governmental bodies, agencies, persons, firms or corporations as the Authorized Officer may deem necessary and to identify by such Authorized Officer’s signature or certificate, or in such form as may be required, the documents and instruments presented to and approved herein and to furnish evidence of the approval of any document, instrument or provision or any addition, deletion or change in any document or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 Existing Wholly-Owned Subsidiaries </w:t>
      </w:r>
    </w:p>
    <w:p>
      <w:pPr>
        <w:pStyle w:val="TextBody"/>
        <w:bidi w:val="0"/>
        <w:spacing w:before="240" w:after="0"/>
        <w:jc w:val="left"/>
        <w:rPr>
          <w:rFonts w:ascii="Times New Roman" w:hAnsi="Times New Roman"/>
          <w:b/>
          <w:sz w:val="20"/>
        </w:rPr>
      </w:pPr>
      <w:r>
        <w:rPr>
          <w:rFonts w:ascii="Times New Roman" w:hAnsi="Times New Roman"/>
          <w:b/>
          <w:sz w:val="20"/>
        </w:rPr>
        <w:t xml:space="preserve">Existing Wholly-Owned Subsidiaries of Fidus Investment Corporation </w:t>
      </w:r>
    </w:p>
    <w:p>
      <w:pPr>
        <w:pStyle w:val="TextBody"/>
        <w:bidi w:val="0"/>
        <w:spacing w:before="240" w:after="0"/>
        <w:jc w:val="left"/>
        <w:rPr>
          <w:rFonts w:ascii="Times New Roman" w:hAnsi="Times New Roman"/>
          <w:sz w:val="20"/>
        </w:rPr>
      </w:pPr>
      <w:r>
        <w:rPr>
          <w:rFonts w:ascii="Times New Roman" w:hAnsi="Times New Roman"/>
          <w:sz w:val="20"/>
        </w:rPr>
        <w:t xml:space="preserve">Fidus Mezzanine Capital, L.P. </w:t>
      </w:r>
    </w:p>
    <w:p>
      <w:pPr>
        <w:pStyle w:val="TextBody"/>
        <w:bidi w:val="0"/>
        <w:spacing w:before="0" w:after="0"/>
        <w:jc w:val="left"/>
        <w:rPr>
          <w:rFonts w:ascii="Times New Roman" w:hAnsi="Times New Roman"/>
          <w:sz w:val="20"/>
        </w:rPr>
      </w:pPr>
      <w:r>
        <w:rPr>
          <w:rFonts w:ascii="Times New Roman" w:hAnsi="Times New Roman"/>
          <w:sz w:val="20"/>
        </w:rPr>
        <w:t xml:space="preserve">Fidus Mezzanine Capital II, L.P. </w:t>
      </w:r>
    </w:p>
    <w:p>
      <w:pPr>
        <w:pStyle w:val="TextBody"/>
        <w:bidi w:val="0"/>
        <w:spacing w:before="0" w:after="0"/>
        <w:jc w:val="left"/>
        <w:rPr>
          <w:rFonts w:ascii="Times New Roman" w:hAnsi="Times New Roman"/>
          <w:sz w:val="20"/>
        </w:rPr>
      </w:pPr>
      <w:r>
        <w:rPr>
          <w:rFonts w:ascii="Times New Roman" w:hAnsi="Times New Roman"/>
          <w:sz w:val="20"/>
        </w:rPr>
        <w:t xml:space="preserve">Fidus Mezzanine Capital III, L.P. </w:t>
      </w:r>
    </w:p>
    <w:p>
      <w:pPr>
        <w:pStyle w:val="TextBody"/>
        <w:bidi w:val="0"/>
        <w:spacing w:before="0" w:after="0"/>
        <w:jc w:val="left"/>
        <w:rPr>
          <w:rFonts w:ascii="Times New Roman" w:hAnsi="Times New Roman"/>
          <w:sz w:val="20"/>
        </w:rPr>
      </w:pPr>
      <w:r>
        <w:rPr>
          <w:rFonts w:ascii="Times New Roman" w:hAnsi="Times New Roman"/>
          <w:sz w:val="20"/>
        </w:rPr>
        <w:t xml:space="preserve">Fidus Mezzanine Capital IV, L.P. </w:t>
      </w:r>
    </w:p>
    <w:p>
      <w:pPr>
        <w:pStyle w:val="TextBody"/>
        <w:bidi w:val="0"/>
        <w:spacing w:before="0" w:after="0"/>
        <w:jc w:val="left"/>
        <w:rPr>
          <w:rFonts w:ascii="Times New Roman" w:hAnsi="Times New Roman"/>
          <w:sz w:val="20"/>
        </w:rPr>
      </w:pPr>
      <w:r>
        <w:rPr>
          <w:rFonts w:ascii="Times New Roman" w:hAnsi="Times New Roman"/>
          <w:sz w:val="20"/>
        </w:rPr>
        <w:t xml:space="preserve">FIC Funding, LLC </w:t>
      </w:r>
    </w:p>
    <w:p>
      <w:pPr>
        <w:pStyle w:val="TextBody"/>
        <w:bidi w:val="0"/>
        <w:spacing w:before="0" w:after="0"/>
        <w:jc w:val="left"/>
        <w:rPr>
          <w:rFonts w:ascii="Times New Roman" w:hAnsi="Times New Roman"/>
          <w:sz w:val="20"/>
        </w:rPr>
      </w:pPr>
      <w:r>
        <w:rPr>
          <w:rFonts w:ascii="Times New Roman" w:hAnsi="Times New Roman"/>
          <w:sz w:val="20"/>
        </w:rPr>
        <w:t xml:space="preserve">Fidus Investment Holdings,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B – Existing Affiliated Funds </w:t>
      </w:r>
    </w:p>
    <w:p>
      <w:pPr>
        <w:pStyle w:val="TextBody"/>
        <w:bidi w:val="0"/>
        <w:spacing w:before="240" w:after="0"/>
        <w:jc w:val="left"/>
        <w:rPr>
          <w:rFonts w:ascii="Times New Roman" w:hAnsi="Times New Roman"/>
          <w:b/>
          <w:sz w:val="20"/>
        </w:rPr>
      </w:pPr>
      <w:r>
        <w:rPr>
          <w:rFonts w:ascii="Times New Roman" w:hAnsi="Times New Roman"/>
          <w:b/>
          <w:sz w:val="20"/>
        </w:rPr>
        <w:t xml:space="preserve">Existing Affiliated Funds Advised by Fidus Investment Advisors, LLC: </w:t>
      </w:r>
    </w:p>
    <w:p>
      <w:pPr>
        <w:pStyle w:val="TextBody"/>
        <w:bidi w:val="0"/>
        <w:spacing w:before="240" w:after="0"/>
        <w:jc w:val="left"/>
        <w:rPr>
          <w:rFonts w:ascii="Times New Roman" w:hAnsi="Times New Roman"/>
          <w:sz w:val="20"/>
        </w:rPr>
      </w:pPr>
      <w:r>
        <w:rPr>
          <w:rFonts w:ascii="Times New Roman" w:hAnsi="Times New Roman"/>
          <w:sz w:val="20"/>
        </w:rPr>
        <w:t xml:space="preserve">Fidus Credit Opportunities, L.P. </w:t>
      </w:r>
    </w:p>
    <w:p>
      <w:pPr>
        <w:pStyle w:val="TextBody"/>
        <w:bidi w:val="0"/>
        <w:spacing w:before="0" w:after="0"/>
        <w:jc w:val="left"/>
        <w:rPr>
          <w:rFonts w:ascii="Times New Roman" w:hAnsi="Times New Roman"/>
          <w:sz w:val="20"/>
        </w:rPr>
      </w:pPr>
      <w:r>
        <w:rPr>
          <w:rFonts w:ascii="Times New Roman" w:hAnsi="Times New Roman"/>
          <w:sz w:val="20"/>
        </w:rPr>
        <w:t xml:space="preserve">Fidus Equity Opportunities Fund, 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C </w:t>
      </w:r>
    </w:p>
    <w:p>
      <w:pPr>
        <w:pStyle w:val="TextBody"/>
        <w:bidi w:val="0"/>
        <w:spacing w:before="480" w:after="0"/>
        <w:jc w:val="center"/>
        <w:rPr>
          <w:rFonts w:ascii="Times New Roman" w:hAnsi="Times New Roman"/>
          <w:b/>
          <w:sz w:val="20"/>
        </w:rPr>
      </w:pPr>
      <w:r>
        <w:rPr>
          <w:rFonts w:ascii="Times New Roman" w:hAnsi="Times New Roman"/>
          <w:b/>
          <w:sz w:val="20"/>
        </w:rPr>
        <w:t xml:space="preserve">Marked Copies of the Application Showing Changes from the Final Versions of the Two Applications Identified as Substantially Identical Under Rule 0-5(e)(3)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color w:val="0000FF"/>
          <w:sz w:val="20"/>
          <w:u w:val="single"/>
          <w:bdr w:val="double" w:sz="2" w:space="1" w:color="000000"/>
        </w:rPr>
        <w:t>File No.</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File No. 812-15960</w:t>
      </w:r>
      <w:r>
        <w:rPr>
          <w:rFonts w:ascii="Times New Roman" w:hAnsi="Times New Roman"/>
          <w:sz w:val="20"/>
        </w:rPr>
        <w:t xml:space="preserve"> </w:t>
      </w:r>
    </w:p>
    <w:p>
      <w:pPr>
        <w:pStyle w:val="TextBody"/>
        <w:bidi w:val="0"/>
        <w:spacing w:before="240" w:after="0"/>
        <w:jc w:val="center"/>
        <w:rPr>
          <w:rFonts w:ascii="Times New Roman" w:hAnsi="Times New Roman"/>
          <w:b/>
          <w:sz w:val="36"/>
        </w:rPr>
      </w:pPr>
      <w:r>
        <w:rPr>
          <w:rFonts w:ascii="Times New Roman" w:hAnsi="Times New Roman"/>
          <w:b/>
          <w:sz w:val="36"/>
        </w:rPr>
        <w:t xml:space="preserve">U.S. 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color w:val="0000FF"/>
          <w:sz w:val="20"/>
          <w:u w:val="single"/>
          <w:bdr w:val="double" w:sz="2" w:space="1" w:color="000000"/>
        </w:rPr>
        <w:t>EXPEDITED REVIEW REQUESTED UNDER 17 CFR 270.0-5(d)</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i/>
          <w:sz w:val="20"/>
        </w:rPr>
      </w:pPr>
      <w:r>
        <w:rPr>
          <w:rFonts w:ascii="Times New Roman" w:hAnsi="Times New Roman"/>
          <w:i/>
          <w:sz w:val="20"/>
        </w:rPr>
        <w:t xml:space="preserve">In the Matter of the Application of: </w:t>
      </w:r>
    </w:p>
    <w:p>
      <w:pPr>
        <w:pStyle w:val="TextBody"/>
        <w:bidi w:val="0"/>
        <w:spacing w:before="240" w:after="0"/>
        <w:jc w:val="center"/>
        <w:rPr>
          <w:rFonts w:ascii="Times New Roman" w:hAnsi="Times New Roman"/>
          <w:b/>
          <w:sz w:val="20"/>
        </w:rPr>
      </w:pPr>
      <w:r>
        <w:rPr>
          <w:rFonts w:ascii="Times New Roman" w:hAnsi="Times New Roman"/>
          <w:b/>
          <w:strike/>
          <w:color w:val="FF0000"/>
          <w:sz w:val="20"/>
        </w:rPr>
        <w:t>Keystone Private Income Fund, Keystone National Group, LLC, Keystone Private Market</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Opportunities IX (Q), LP, Keystone Private Market Opportunities IX, LP, Keystone Real</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Estate Lending Fund, LLC, Keystone Real Estate Investment Trust, LLC</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color w:val="0000FF"/>
          <w:sz w:val="20"/>
          <w:u w:val="single"/>
          <w:bdr w:val="double" w:sz="2" w:space="1" w:color="000000"/>
        </w:rPr>
        <w:t>FIDUS INVESTMENT CORPORATION, FIDUS CREDIT OPPORTUNITIES, L.P., FIDUS EQUITY</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OPPORTUNITIES FUND, L.P., FIDUS MEZZANINE CAPITAL, L.P., FIDUS MEZZANINE CAPITAL II,</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L.P., FIDUS MEZZANINE CAPITAL III, L.P., FIDUS MEZZANINE CAPITAL IV, L.P., FIC FUNDING,</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LLC, FIDUS INVESTMENT HOLDINGS, INC., AND FIDUS INVESTMENT ADVISORS, LLC</w:t>
      </w:r>
      <w:r>
        <w:rPr>
          <w:rFonts w:ascii="Times New Roman" w:hAnsi="Times New Roman"/>
          <w:b/>
          <w:sz w:val="20"/>
        </w:rPr>
        <w:t xml:space="preserve"> </w:t>
      </w:r>
    </w:p>
    <w:p>
      <w:pPr>
        <w:pStyle w:val="TextBody"/>
        <w:bidi w:val="0"/>
        <w:spacing w:before="240" w:after="0"/>
        <w:jc w:val="center"/>
        <w:rPr>
          <w:rFonts w:ascii="Times New Roman" w:hAnsi="Times New Roman"/>
          <w:sz w:val="20"/>
        </w:rPr>
      </w:pPr>
      <w:r>
        <w:rPr>
          <w:rFonts w:ascii="Times New Roman" w:hAnsi="Times New Roman"/>
          <w:strike/>
          <w:color w:val="FF0000"/>
          <w:sz w:val="20"/>
        </w:rPr>
        <w:t>60 E. South Temple</w:t>
      </w:r>
      <w:r>
        <w:rPr>
          <w:rFonts w:ascii="Times New Roman" w:hAnsi="Times New Roman"/>
          <w:color w:val="0000FF"/>
          <w:sz w:val="20"/>
          <w:u w:val="single"/>
          <w:bdr w:val="double" w:sz="2" w:space="1" w:color="000000"/>
        </w:rPr>
        <w:t>1603 Orrington Avenue</w:t>
      </w:r>
      <w:r>
        <w:rPr>
          <w:rFonts w:ascii="Times New Roman" w:hAnsi="Times New Roman"/>
          <w:sz w:val="20"/>
        </w:rPr>
        <w:t>, Suite</w:t>
      </w:r>
      <w:r>
        <w:rPr>
          <w:rFonts w:ascii="Times New Roman" w:hAnsi="Times New Roman"/>
          <w:strike/>
          <w:color w:val="FF0000"/>
          <w:sz w:val="20"/>
        </w:rPr>
        <w:t xml:space="preserve"> 2100</w:t>
      </w:r>
      <w:r>
        <w:rPr>
          <w:rFonts w:ascii="Times New Roman" w:hAnsi="Times New Roman"/>
          <w:color w:val="0000FF"/>
          <w:sz w:val="20"/>
          <w:u w:val="single"/>
          <w:bdr w:val="double" w:sz="2" w:space="1" w:color="000000"/>
        </w:rPr>
        <w:t>1005</w:t>
      </w:r>
      <w:r>
        <w:rPr>
          <w:rFonts w:ascii="Times New Roman" w:hAnsi="Times New Roman"/>
          <w:strike/>
          <w:color w:val="FF0000"/>
          <w:sz w:val="20"/>
        </w:rPr>
        <w:t xml:space="preserve"> </w:t>
      </w:r>
    </w:p>
    <w:p>
      <w:pPr>
        <w:pStyle w:val="TextBody"/>
        <w:bidi w:val="0"/>
        <w:spacing w:before="0" w:after="0"/>
        <w:jc w:val="center"/>
        <w:rPr>
          <w:rFonts w:ascii="Times New Roman" w:hAnsi="Times New Roman"/>
          <w:sz w:val="20"/>
        </w:rPr>
      </w:pPr>
      <w:r>
        <w:rPr>
          <w:rFonts w:ascii="Times New Roman" w:hAnsi="Times New Roman"/>
          <w:strike/>
          <w:color w:val="FF0000"/>
          <w:sz w:val="20"/>
        </w:rPr>
        <w:t>Salt Lake City, Utah 84111</w:t>
      </w:r>
      <w:r>
        <w:rPr>
          <w:rFonts w:ascii="Times New Roman" w:hAnsi="Times New Roman"/>
          <w:color w:val="0000FF"/>
          <w:sz w:val="20"/>
          <w:u w:val="single"/>
          <w:bdr w:val="double" w:sz="2" w:space="1" w:color="000000"/>
        </w:rPr>
        <w:t>Evanston, Illinois 60201</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(847) 859-3940</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trike/>
          <w:color w:val="FF0000"/>
          <w:sz w:val="20"/>
        </w:rPr>
        <w:t>AMENDMENT NO. 2 TO THE</w:t>
      </w:r>
      <w:r>
        <w:rPr>
          <w:rFonts w:ascii="Times New Roman" w:hAnsi="Times New Roman"/>
          <w:sz w:val="20"/>
        </w:rPr>
        <w:t xml:space="preserve"> 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i/>
          <w:sz w:val="20"/>
        </w:rPr>
      </w:pPr>
      <w:r>
        <w:rPr>
          <w:rFonts w:ascii="Times New Roman" w:hAnsi="Times New Roman"/>
          <w:i/>
          <w:sz w:val="20"/>
        </w:rPr>
        <w:t xml:space="preserve">All Communications, Notices and Orders to: </w:t>
      </w:r>
    </w:p>
    <w:p>
      <w:pPr>
        <w:pStyle w:val="TextBody"/>
        <w:bidi w:val="0"/>
        <w:spacing w:before="240" w:after="0"/>
        <w:jc w:val="center"/>
        <w:rPr>
          <w:rFonts w:ascii="Times New Roman" w:hAnsi="Times New Roman"/>
          <w:b/>
          <w:sz w:val="20"/>
        </w:rPr>
      </w:pPr>
      <w:r>
        <w:rPr>
          <w:rFonts w:ascii="Times New Roman" w:hAnsi="Times New Roman"/>
          <w:b/>
          <w:color w:val="0000FF"/>
          <w:sz w:val="20"/>
          <w:u w:val="single"/>
          <w:bdr w:val="double" w:sz="2" w:space="1" w:color="000000"/>
        </w:rPr>
        <w:t>Edward H. Ross</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Chief Executive Officer</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Fidus Investment Corporation</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1603 Orrington Avenue, Suite 1005</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Evanston, Illinois 60201</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(847) 859-3940</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eross@fidusinv.com</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trike/>
          <w:color w:val="FF0000"/>
          <w:sz w:val="20"/>
        </w:rPr>
        <w:t>J. Troy Beatty</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General Counsel</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60 E. South Temple, Suite 2100</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Salt Lake City, Utah 84111</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(925) 480-6050</w:t>
      </w:r>
      <w:r>
        <w:rPr>
          <w:rFonts w:ascii="Times New Roman" w:hAnsi="Times New Roman"/>
          <w:b/>
          <w:sz w:val="20"/>
        </w:rPr>
        <w:t xml:space="preserve"> </w:t>
      </w:r>
    </w:p>
    <w:p>
      <w:pPr>
        <w:pStyle w:val="TextBody"/>
        <w:bidi w:val="0"/>
        <w:spacing w:before="0" w:after="0"/>
        <w:jc w:val="center"/>
        <w:rPr>
          <w:rFonts w:ascii="Times New Roman" w:hAnsi="Times New Roman"/>
          <w:sz w:val="20"/>
        </w:rPr>
      </w:pPr>
      <w:r>
        <w:rPr>
          <w:rFonts w:ascii="Times New Roman" w:hAnsi="Times New Roman"/>
          <w:strike/>
          <w:color w:val="FF0000"/>
          <w:sz w:val="20"/>
        </w:rPr>
        <w:t>troy@keystonenational.com</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i/>
          <w:sz w:val="20"/>
        </w:rPr>
      </w:pPr>
      <w:r>
        <w:rPr>
          <w:rFonts w:ascii="Times New Roman" w:hAnsi="Times New Roman"/>
          <w:i/>
          <w:sz w:val="20"/>
        </w:rPr>
        <w:t xml:space="preserve">Copies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trike/>
          <w:color w:val="FF0000"/>
          <w:sz w:val="20"/>
        </w:rPr>
        <w:t>James E. Anderson</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Haofei Liu</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Willkie Farr &amp; Gallagher LLP</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1875 K St NW</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Washington, DC 20006</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(202) 303-1000</w:t>
      </w:r>
      <w:r>
        <w:rPr>
          <w:rFonts w:ascii="Times New Roman" w:hAnsi="Times New Roman"/>
          <w:b/>
          <w:sz w:val="20"/>
        </w:rPr>
        <w:t xml:space="preserve"> </w:t>
      </w:r>
    </w:p>
    <w:p>
      <w:pPr>
        <w:pStyle w:val="TextBody"/>
        <w:bidi w:val="0"/>
        <w:spacing w:before="0" w:after="0"/>
        <w:jc w:val="center"/>
        <w:rPr>
          <w:rFonts w:ascii="Times New Roman" w:hAnsi="Times New Roman"/>
          <w:sz w:val="20"/>
        </w:rPr>
      </w:pPr>
      <w:r>
        <w:rPr>
          <w:rFonts w:ascii="Times New Roman" w:hAnsi="Times New Roman"/>
          <w:strike/>
          <w:color w:val="FF0000"/>
          <w:sz w:val="20"/>
        </w:rPr>
        <w:t>JAnderson@willkie.com</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color w:val="0000FF"/>
          <w:sz w:val="20"/>
          <w:u w:val="single"/>
          <w:bdr w:val="double" w:sz="2" w:space="1" w:color="000000"/>
        </w:rPr>
        <w:t>Steven B. Boehm</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Anne G. Oberndorf</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Payam Siadatpour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Eversheds Sutherland (US) LLP</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700 6th Street, N.W.</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Washington, D.C. 20001</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(202) 383-0100</w:t>
      </w:r>
      <w:r>
        <w:rPr>
          <w:rFonts w:ascii="Times New Roman" w:hAnsi="Times New Roman"/>
          <w:sz w:val="20"/>
        </w:rPr>
        <w:t xml:space="preserve"> </w:t>
      </w:r>
    </w:p>
    <w:p>
      <w:pPr>
        <w:pStyle w:val="TextBody"/>
        <w:bidi w:val="0"/>
        <w:spacing w:before="0" w:after="0"/>
        <w:jc w:val="center"/>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anneoberndorf@eversheds-sutherland.us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trike/>
          <w:color w:val="FF0000"/>
          <w:sz w:val="20"/>
        </w:rPr>
        <w:t>May 8</w:t>
      </w:r>
      <w:r>
        <w:rPr>
          <w:rFonts w:ascii="Times New Roman" w:hAnsi="Times New Roman"/>
          <w:color w:val="0000FF"/>
          <w:sz w:val="20"/>
          <w:u w:val="single"/>
          <w:bdr w:val="double" w:sz="2" w:space="1" w:color="000000"/>
        </w:rPr>
        <w:t>August 28</w:t>
      </w:r>
      <w:r>
        <w:rPr>
          <w:rFonts w:ascii="Times New Roman" w:hAnsi="Times New Roman"/>
          <w:sz w:val="20"/>
        </w:rPr>
        <w:t xml:space="preserve">, 2026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trike/>
          <w:color w:val="FF0000"/>
          <w:sz w:val="20"/>
        </w:rPr>
        <w:t>UNITED STATES OF AMERICA</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BEFORE THE</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SECURITIES AND EXCHANGE COMMISSION</w:t>
      </w:r>
      <w:r>
        <w:rPr>
          <w:rFonts w:ascii="Times New Roman" w:hAnsi="Times New Roman"/>
          <w:b/>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75"/>
        <w:gridCol w:w="120"/>
        <w:gridCol w:w="110"/>
        <w:gridCol w:w="120"/>
        <w:gridCol w:w="5980"/>
      </w:tblGrid>
      <w:tr>
        <w:trPr/>
        <w:tc>
          <w:tcPr>
            <w:tcW w:w="38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980" w:type="dxa"/>
            <w:tcBorders/>
            <w:vAlign w:val="center"/>
          </w:tcPr>
          <w:p>
            <w:pPr>
              <w:pStyle w:val="TableContents"/>
              <w:bidi w:val="0"/>
              <w:spacing w:before="0" w:after="283"/>
              <w:jc w:val="left"/>
              <w:rPr>
                <w:sz w:val="4"/>
                <w:szCs w:val="4"/>
              </w:rPr>
            </w:pPr>
            <w:r>
              <w:rPr>
                <w:sz w:val="4"/>
                <w:szCs w:val="4"/>
              </w:rPr>
            </w:r>
          </w:p>
        </w:tc>
      </w:tr>
      <w:tr>
        <w:trPr/>
        <w:tc>
          <w:tcPr>
            <w:tcW w:w="3875" w:type="dxa"/>
            <w:tcBorders/>
          </w:tcPr>
          <w:p>
            <w:pPr>
              <w:pStyle w:val="TableContents"/>
              <w:bidi w:val="0"/>
              <w:spacing w:before="0" w:after="283"/>
              <w:jc w:val="left"/>
              <w:rPr>
                <w:b/>
                <w:strike/>
                <w:color w:val="FF0000"/>
              </w:rPr>
            </w:pPr>
            <w:r>
              <w:rPr>
                <w:b/>
                <w:strike/>
                <w:color w:val="FF0000"/>
              </w:rPr>
              <w:t>IN THE MATTER OF</w:t>
            </w:r>
          </w:p>
        </w:tc>
        <w:tc>
          <w:tcPr>
            <w:tcW w:w="120" w:type="dxa"/>
            <w:tcBorders/>
            <w:vAlign w:val="bottom"/>
          </w:tcPr>
          <w:p>
            <w:pPr>
              <w:pStyle w:val="TableContents"/>
              <w:bidi w:val="0"/>
              <w:spacing w:before="0" w:after="283"/>
              <w:jc w:val="left"/>
              <w:rPr/>
            </w:pPr>
            <w:r>
              <w:rPr/>
              <w:t>  </w:t>
            </w:r>
          </w:p>
        </w:tc>
        <w:tc>
          <w:tcPr>
            <w:tcW w:w="110" w:type="dxa"/>
            <w:tcBorders/>
          </w:tcPr>
          <w:p>
            <w:pPr>
              <w:pStyle w:val="TableContents"/>
              <w:bidi w:val="0"/>
              <w:spacing w:before="0" w:after="283"/>
              <w:jc w:val="left"/>
              <w:rPr>
                <w:strike/>
                <w:color w:val="FF0000"/>
              </w:rPr>
            </w:pPr>
            <w:r>
              <w:rPr>
                <w:strike/>
                <w:color w:val="FF0000"/>
              </w:rPr>
              <w:t>:</w:t>
            </w:r>
          </w:p>
        </w:tc>
        <w:tc>
          <w:tcPr>
            <w:tcW w:w="120" w:type="dxa"/>
            <w:tcBorders/>
            <w:vAlign w:val="bottom"/>
          </w:tcPr>
          <w:p>
            <w:pPr>
              <w:pStyle w:val="TableContents"/>
              <w:bidi w:val="0"/>
              <w:spacing w:before="0" w:after="283"/>
              <w:jc w:val="left"/>
              <w:rPr/>
            </w:pPr>
            <w:r>
              <w:rPr/>
              <w:t>  </w:t>
            </w:r>
          </w:p>
        </w:tc>
        <w:tc>
          <w:tcPr>
            <w:tcW w:w="5980" w:type="dxa"/>
            <w:tcBorders/>
          </w:tcPr>
          <w:p>
            <w:pPr>
              <w:pStyle w:val="TableContents"/>
              <w:bidi w:val="0"/>
              <w:spacing w:before="0" w:after="283"/>
              <w:jc w:val="left"/>
              <w:rPr>
                <w:b/>
                <w:strike/>
                <w:color w:val="FF0000"/>
              </w:rPr>
            </w:pPr>
            <w:r>
              <w:rPr>
                <w:b/>
                <w:strike/>
                <w:color w:val="FF0000"/>
              </w:rPr>
              <w:t>AMENDMENT NO. 2 TO THE</w:t>
            </w:r>
          </w:p>
        </w:tc>
      </w:tr>
      <w:tr>
        <w:trPr/>
        <w:tc>
          <w:tcPr>
            <w:tcW w:w="387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0" w:type="dxa"/>
            <w:tcBorders/>
          </w:tcPr>
          <w:p>
            <w:pPr>
              <w:pStyle w:val="TableContents"/>
              <w:bidi w:val="0"/>
              <w:spacing w:before="0" w:after="283"/>
              <w:jc w:val="left"/>
              <w:rPr>
                <w:strike/>
                <w:color w:val="FF0000"/>
              </w:rPr>
            </w:pPr>
            <w:r>
              <w:rPr>
                <w:strike/>
                <w:color w:val="FF0000"/>
              </w:rPr>
              <w:t>:</w:t>
            </w:r>
          </w:p>
        </w:tc>
        <w:tc>
          <w:tcPr>
            <w:tcW w:w="120" w:type="dxa"/>
            <w:tcBorders/>
            <w:vAlign w:val="bottom"/>
          </w:tcPr>
          <w:p>
            <w:pPr>
              <w:pStyle w:val="TableContents"/>
              <w:bidi w:val="0"/>
              <w:spacing w:before="0" w:after="283"/>
              <w:jc w:val="left"/>
              <w:rPr/>
            </w:pPr>
            <w:r>
              <w:rPr/>
              <w:t>  </w:t>
            </w:r>
          </w:p>
        </w:tc>
        <w:tc>
          <w:tcPr>
            <w:tcW w:w="5980" w:type="dxa"/>
            <w:tcBorders/>
          </w:tcPr>
          <w:p>
            <w:pPr>
              <w:pStyle w:val="TableContents"/>
              <w:bidi w:val="0"/>
              <w:spacing w:before="0" w:after="283"/>
              <w:jc w:val="left"/>
              <w:rPr>
                <w:b/>
                <w:strike/>
                <w:color w:val="FF0000"/>
              </w:rPr>
            </w:pPr>
            <w:r>
              <w:rPr>
                <w:b/>
                <w:strike/>
                <w:color w:val="FF0000"/>
              </w:rPr>
              <w:t>APPLICATION FOR AN ORDER</w:t>
            </w:r>
          </w:p>
        </w:tc>
      </w:tr>
      <w:tr>
        <w:trPr/>
        <w:tc>
          <w:tcPr>
            <w:tcW w:w="3875" w:type="dxa"/>
            <w:tcBorders/>
          </w:tcPr>
          <w:p>
            <w:pPr>
              <w:pStyle w:val="TableContents"/>
              <w:bidi w:val="0"/>
              <w:spacing w:before="0" w:after="283"/>
              <w:jc w:val="left"/>
              <w:rPr>
                <w:b/>
                <w:strike/>
                <w:color w:val="FF0000"/>
              </w:rPr>
            </w:pPr>
            <w:r>
              <w:rPr>
                <w:b/>
                <w:strike/>
                <w:color w:val="FF0000"/>
              </w:rPr>
              <w:t>KEYSTONE PRIVATE INCOME FUND,</w:t>
            </w:r>
          </w:p>
        </w:tc>
        <w:tc>
          <w:tcPr>
            <w:tcW w:w="120" w:type="dxa"/>
            <w:tcBorders/>
            <w:vAlign w:val="bottom"/>
          </w:tcPr>
          <w:p>
            <w:pPr>
              <w:pStyle w:val="TableContents"/>
              <w:bidi w:val="0"/>
              <w:spacing w:before="0" w:after="283"/>
              <w:jc w:val="left"/>
              <w:rPr/>
            </w:pPr>
            <w:r>
              <w:rPr/>
              <w:t>  </w:t>
            </w:r>
          </w:p>
        </w:tc>
        <w:tc>
          <w:tcPr>
            <w:tcW w:w="110" w:type="dxa"/>
            <w:tcBorders/>
          </w:tcPr>
          <w:p>
            <w:pPr>
              <w:pStyle w:val="TableContents"/>
              <w:bidi w:val="0"/>
              <w:spacing w:before="0" w:after="283"/>
              <w:jc w:val="left"/>
              <w:rPr>
                <w:strike/>
                <w:color w:val="FF0000"/>
              </w:rPr>
            </w:pPr>
            <w:r>
              <w:rPr>
                <w:strike/>
                <w:color w:val="FF0000"/>
              </w:rPr>
              <w:t>:</w:t>
            </w:r>
          </w:p>
        </w:tc>
        <w:tc>
          <w:tcPr>
            <w:tcW w:w="120" w:type="dxa"/>
            <w:tcBorders/>
            <w:vAlign w:val="bottom"/>
          </w:tcPr>
          <w:p>
            <w:pPr>
              <w:pStyle w:val="TableContents"/>
              <w:bidi w:val="0"/>
              <w:spacing w:before="0" w:after="283"/>
              <w:jc w:val="left"/>
              <w:rPr/>
            </w:pPr>
            <w:r>
              <w:rPr/>
              <w:t>  </w:t>
            </w:r>
          </w:p>
        </w:tc>
        <w:tc>
          <w:tcPr>
            <w:tcW w:w="5980" w:type="dxa"/>
            <w:tcBorders/>
          </w:tcPr>
          <w:p>
            <w:pPr>
              <w:pStyle w:val="TableContents"/>
              <w:bidi w:val="0"/>
              <w:spacing w:before="0" w:after="283"/>
              <w:jc w:val="left"/>
              <w:rPr>
                <w:b/>
                <w:strike/>
                <w:color w:val="FF0000"/>
              </w:rPr>
            </w:pPr>
            <w:r>
              <w:rPr>
                <w:b/>
                <w:strike/>
                <w:color w:val="FF0000"/>
              </w:rPr>
              <w:t>PURSUANT TO SECTIONS 17(d) AND</w:t>
            </w:r>
          </w:p>
        </w:tc>
      </w:tr>
      <w:tr>
        <w:trPr/>
        <w:tc>
          <w:tcPr>
            <w:tcW w:w="3875" w:type="dxa"/>
            <w:tcBorders/>
          </w:tcPr>
          <w:p>
            <w:pPr>
              <w:pStyle w:val="TableContents"/>
              <w:bidi w:val="0"/>
              <w:spacing w:before="0" w:after="283"/>
              <w:jc w:val="left"/>
              <w:rPr>
                <w:b/>
                <w:strike/>
                <w:color w:val="FF0000"/>
              </w:rPr>
            </w:pPr>
            <w:r>
              <w:rPr>
                <w:b/>
                <w:strike/>
                <w:color w:val="FF0000"/>
              </w:rPr>
              <w:t>KEYSTONE NATIONAL GROUP, LLC,</w:t>
            </w:r>
          </w:p>
        </w:tc>
        <w:tc>
          <w:tcPr>
            <w:tcW w:w="120" w:type="dxa"/>
            <w:tcBorders/>
            <w:vAlign w:val="bottom"/>
          </w:tcPr>
          <w:p>
            <w:pPr>
              <w:pStyle w:val="TableContents"/>
              <w:bidi w:val="0"/>
              <w:spacing w:before="0" w:after="283"/>
              <w:jc w:val="left"/>
              <w:rPr/>
            </w:pPr>
            <w:r>
              <w:rPr/>
              <w:t>  </w:t>
            </w:r>
          </w:p>
        </w:tc>
        <w:tc>
          <w:tcPr>
            <w:tcW w:w="110" w:type="dxa"/>
            <w:tcBorders/>
          </w:tcPr>
          <w:p>
            <w:pPr>
              <w:pStyle w:val="TableContents"/>
              <w:bidi w:val="0"/>
              <w:spacing w:before="0" w:after="283"/>
              <w:jc w:val="left"/>
              <w:rPr>
                <w:strike/>
                <w:color w:val="FF0000"/>
              </w:rPr>
            </w:pPr>
            <w:r>
              <w:rPr>
                <w:strike/>
                <w:color w:val="FF0000"/>
              </w:rPr>
              <w:t>:</w:t>
            </w:r>
          </w:p>
        </w:tc>
        <w:tc>
          <w:tcPr>
            <w:tcW w:w="120" w:type="dxa"/>
            <w:tcBorders/>
            <w:vAlign w:val="bottom"/>
          </w:tcPr>
          <w:p>
            <w:pPr>
              <w:pStyle w:val="TableContents"/>
              <w:bidi w:val="0"/>
              <w:spacing w:before="0" w:after="283"/>
              <w:jc w:val="left"/>
              <w:rPr/>
            </w:pPr>
            <w:r>
              <w:rPr/>
              <w:t>  </w:t>
            </w:r>
          </w:p>
        </w:tc>
        <w:tc>
          <w:tcPr>
            <w:tcW w:w="5980" w:type="dxa"/>
            <w:tcBorders/>
          </w:tcPr>
          <w:p>
            <w:pPr>
              <w:pStyle w:val="TableContents"/>
              <w:bidi w:val="0"/>
              <w:spacing w:before="0" w:after="283"/>
              <w:jc w:val="left"/>
              <w:rPr>
                <w:b/>
                <w:strike/>
                <w:color w:val="FF0000"/>
              </w:rPr>
            </w:pPr>
            <w:r>
              <w:rPr>
                <w:b/>
                <w:strike/>
                <w:color w:val="FF0000"/>
              </w:rPr>
              <w:t>57(i) OF THE INVESTMENT</w:t>
            </w:r>
          </w:p>
        </w:tc>
      </w:tr>
      <w:tr>
        <w:trPr/>
        <w:tc>
          <w:tcPr>
            <w:tcW w:w="3875" w:type="dxa"/>
            <w:tcBorders/>
          </w:tcPr>
          <w:p>
            <w:pPr>
              <w:pStyle w:val="TableContents"/>
              <w:bidi w:val="0"/>
              <w:spacing w:before="0" w:after="283"/>
              <w:jc w:val="left"/>
              <w:rPr>
                <w:b/>
                <w:strike/>
                <w:color w:val="FF0000"/>
              </w:rPr>
            </w:pPr>
            <w:r>
              <w:rPr>
                <w:b/>
                <w:strike/>
                <w:color w:val="FF0000"/>
              </w:rPr>
              <w:t>KEYSTONE PRIVATE MARKET</w:t>
            </w:r>
          </w:p>
        </w:tc>
        <w:tc>
          <w:tcPr>
            <w:tcW w:w="120" w:type="dxa"/>
            <w:tcBorders/>
            <w:vAlign w:val="bottom"/>
          </w:tcPr>
          <w:p>
            <w:pPr>
              <w:pStyle w:val="TableContents"/>
              <w:bidi w:val="0"/>
              <w:spacing w:before="0" w:after="283"/>
              <w:jc w:val="left"/>
              <w:rPr/>
            </w:pPr>
            <w:r>
              <w:rPr/>
              <w:t>  </w:t>
            </w:r>
          </w:p>
        </w:tc>
        <w:tc>
          <w:tcPr>
            <w:tcW w:w="110" w:type="dxa"/>
            <w:tcBorders/>
          </w:tcPr>
          <w:p>
            <w:pPr>
              <w:pStyle w:val="TableContents"/>
              <w:bidi w:val="0"/>
              <w:spacing w:before="0" w:after="283"/>
              <w:jc w:val="left"/>
              <w:rPr>
                <w:strike/>
                <w:color w:val="FF0000"/>
              </w:rPr>
            </w:pPr>
            <w:r>
              <w:rPr>
                <w:strike/>
                <w:color w:val="FF0000"/>
              </w:rPr>
              <w:t>:</w:t>
            </w:r>
          </w:p>
        </w:tc>
        <w:tc>
          <w:tcPr>
            <w:tcW w:w="120" w:type="dxa"/>
            <w:tcBorders/>
            <w:vAlign w:val="bottom"/>
          </w:tcPr>
          <w:p>
            <w:pPr>
              <w:pStyle w:val="TableContents"/>
              <w:bidi w:val="0"/>
              <w:spacing w:before="0" w:after="283"/>
              <w:jc w:val="left"/>
              <w:rPr/>
            </w:pPr>
            <w:r>
              <w:rPr/>
              <w:t>  </w:t>
            </w:r>
          </w:p>
        </w:tc>
        <w:tc>
          <w:tcPr>
            <w:tcW w:w="5980" w:type="dxa"/>
            <w:tcBorders/>
          </w:tcPr>
          <w:p>
            <w:pPr>
              <w:pStyle w:val="TableContents"/>
              <w:bidi w:val="0"/>
              <w:spacing w:before="0" w:after="283"/>
              <w:jc w:val="left"/>
              <w:rPr>
                <w:b/>
                <w:strike/>
                <w:color w:val="FF0000"/>
              </w:rPr>
            </w:pPr>
            <w:r>
              <w:rPr>
                <w:b/>
                <w:strike/>
                <w:color w:val="FF0000"/>
              </w:rPr>
              <w:t>COMPANY ACT OF 1940 AND RULE</w:t>
            </w:r>
          </w:p>
        </w:tc>
      </w:tr>
      <w:tr>
        <w:trPr/>
        <w:tc>
          <w:tcPr>
            <w:tcW w:w="3875" w:type="dxa"/>
            <w:tcBorders/>
          </w:tcPr>
          <w:p>
            <w:pPr>
              <w:pStyle w:val="TableContents"/>
              <w:bidi w:val="0"/>
              <w:spacing w:before="0" w:after="283"/>
              <w:jc w:val="left"/>
              <w:rPr>
                <w:b/>
                <w:strike/>
                <w:color w:val="FF0000"/>
              </w:rPr>
            </w:pPr>
            <w:r>
              <w:rPr>
                <w:b/>
                <w:strike/>
                <w:color w:val="FF0000"/>
              </w:rPr>
              <w:t>OPPORTUNITIES IX (Q), LP,</w:t>
            </w:r>
          </w:p>
        </w:tc>
        <w:tc>
          <w:tcPr>
            <w:tcW w:w="120" w:type="dxa"/>
            <w:tcBorders/>
            <w:vAlign w:val="bottom"/>
          </w:tcPr>
          <w:p>
            <w:pPr>
              <w:pStyle w:val="TableContents"/>
              <w:bidi w:val="0"/>
              <w:spacing w:before="0" w:after="283"/>
              <w:jc w:val="left"/>
              <w:rPr/>
            </w:pPr>
            <w:r>
              <w:rPr/>
              <w:t>  </w:t>
            </w:r>
          </w:p>
        </w:tc>
        <w:tc>
          <w:tcPr>
            <w:tcW w:w="110" w:type="dxa"/>
            <w:tcBorders/>
          </w:tcPr>
          <w:p>
            <w:pPr>
              <w:pStyle w:val="TableContents"/>
              <w:bidi w:val="0"/>
              <w:spacing w:before="0" w:after="283"/>
              <w:jc w:val="left"/>
              <w:rPr>
                <w:strike/>
                <w:color w:val="FF0000"/>
              </w:rPr>
            </w:pPr>
            <w:r>
              <w:rPr>
                <w:strike/>
                <w:color w:val="FF0000"/>
              </w:rPr>
              <w:t>:</w:t>
            </w:r>
          </w:p>
        </w:tc>
        <w:tc>
          <w:tcPr>
            <w:tcW w:w="120" w:type="dxa"/>
            <w:tcBorders/>
            <w:vAlign w:val="bottom"/>
          </w:tcPr>
          <w:p>
            <w:pPr>
              <w:pStyle w:val="TableContents"/>
              <w:bidi w:val="0"/>
              <w:spacing w:before="0" w:after="283"/>
              <w:jc w:val="left"/>
              <w:rPr/>
            </w:pPr>
            <w:r>
              <w:rPr/>
              <w:t>  </w:t>
            </w:r>
          </w:p>
        </w:tc>
        <w:tc>
          <w:tcPr>
            <w:tcW w:w="5980" w:type="dxa"/>
            <w:tcBorders/>
          </w:tcPr>
          <w:p>
            <w:pPr>
              <w:pStyle w:val="TableContents"/>
              <w:bidi w:val="0"/>
              <w:spacing w:before="0" w:after="283"/>
              <w:jc w:val="left"/>
              <w:rPr>
                <w:b/>
                <w:strike/>
                <w:color w:val="FF0000"/>
              </w:rPr>
            </w:pPr>
            <w:r>
              <w:rPr>
                <w:b/>
                <w:strike/>
                <w:color w:val="FF0000"/>
              </w:rPr>
              <w:t>17d-1 UNDER THE INVESTMENT</w:t>
            </w:r>
          </w:p>
        </w:tc>
      </w:tr>
      <w:tr>
        <w:trPr/>
        <w:tc>
          <w:tcPr>
            <w:tcW w:w="3875" w:type="dxa"/>
            <w:tcBorders/>
          </w:tcPr>
          <w:p>
            <w:pPr>
              <w:pStyle w:val="TableContents"/>
              <w:bidi w:val="0"/>
              <w:spacing w:before="0" w:after="283"/>
              <w:jc w:val="left"/>
              <w:rPr>
                <w:b/>
                <w:strike/>
                <w:color w:val="FF0000"/>
              </w:rPr>
            </w:pPr>
            <w:r>
              <w:rPr>
                <w:b/>
                <w:strike/>
                <w:color w:val="FF0000"/>
              </w:rPr>
              <w:t>KEYSTONE PRIVATE MARKET</w:t>
            </w:r>
          </w:p>
        </w:tc>
        <w:tc>
          <w:tcPr>
            <w:tcW w:w="120" w:type="dxa"/>
            <w:tcBorders/>
            <w:vAlign w:val="bottom"/>
          </w:tcPr>
          <w:p>
            <w:pPr>
              <w:pStyle w:val="TableContents"/>
              <w:bidi w:val="0"/>
              <w:spacing w:before="0" w:after="283"/>
              <w:jc w:val="left"/>
              <w:rPr/>
            </w:pPr>
            <w:r>
              <w:rPr/>
              <w:t>  </w:t>
            </w:r>
          </w:p>
        </w:tc>
        <w:tc>
          <w:tcPr>
            <w:tcW w:w="110" w:type="dxa"/>
            <w:tcBorders/>
          </w:tcPr>
          <w:p>
            <w:pPr>
              <w:pStyle w:val="TableContents"/>
              <w:bidi w:val="0"/>
              <w:spacing w:before="0" w:after="283"/>
              <w:jc w:val="left"/>
              <w:rPr>
                <w:strike/>
                <w:color w:val="FF0000"/>
              </w:rPr>
            </w:pPr>
            <w:r>
              <w:rPr>
                <w:strike/>
                <w:color w:val="FF0000"/>
              </w:rPr>
              <w:t>:</w:t>
            </w:r>
          </w:p>
        </w:tc>
        <w:tc>
          <w:tcPr>
            <w:tcW w:w="120" w:type="dxa"/>
            <w:tcBorders/>
            <w:vAlign w:val="bottom"/>
          </w:tcPr>
          <w:p>
            <w:pPr>
              <w:pStyle w:val="TableContents"/>
              <w:bidi w:val="0"/>
              <w:spacing w:before="0" w:after="283"/>
              <w:jc w:val="left"/>
              <w:rPr/>
            </w:pPr>
            <w:r>
              <w:rPr/>
              <w:t>  </w:t>
            </w:r>
          </w:p>
        </w:tc>
        <w:tc>
          <w:tcPr>
            <w:tcW w:w="5980" w:type="dxa"/>
            <w:tcBorders/>
          </w:tcPr>
          <w:p>
            <w:pPr>
              <w:pStyle w:val="TableContents"/>
              <w:bidi w:val="0"/>
              <w:spacing w:before="0" w:after="283"/>
              <w:jc w:val="left"/>
              <w:rPr>
                <w:b/>
                <w:strike/>
                <w:color w:val="FF0000"/>
              </w:rPr>
            </w:pPr>
            <w:r>
              <w:rPr>
                <w:b/>
                <w:strike/>
                <w:color w:val="FF0000"/>
              </w:rPr>
              <w:t>COMPANY ACT OF 1940</w:t>
            </w:r>
          </w:p>
        </w:tc>
      </w:tr>
      <w:tr>
        <w:trPr/>
        <w:tc>
          <w:tcPr>
            <w:tcW w:w="3875" w:type="dxa"/>
            <w:tcBorders/>
          </w:tcPr>
          <w:p>
            <w:pPr>
              <w:pStyle w:val="TableContents"/>
              <w:bidi w:val="0"/>
              <w:spacing w:before="0" w:after="283"/>
              <w:jc w:val="left"/>
              <w:rPr>
                <w:b/>
                <w:strike/>
                <w:color w:val="FF0000"/>
              </w:rPr>
            </w:pPr>
            <w:r>
              <w:rPr>
                <w:b/>
                <w:strike/>
                <w:color w:val="FF0000"/>
              </w:rPr>
              <w:t>OPPORTUNITIES IX, LP, KEYSTONE</w:t>
            </w:r>
          </w:p>
        </w:tc>
        <w:tc>
          <w:tcPr>
            <w:tcW w:w="120" w:type="dxa"/>
            <w:tcBorders/>
            <w:vAlign w:val="bottom"/>
          </w:tcPr>
          <w:p>
            <w:pPr>
              <w:pStyle w:val="TableContents"/>
              <w:bidi w:val="0"/>
              <w:spacing w:before="0" w:after="283"/>
              <w:jc w:val="left"/>
              <w:rPr/>
            </w:pPr>
            <w:r>
              <w:rPr/>
              <w:t>  </w:t>
            </w:r>
          </w:p>
        </w:tc>
        <w:tc>
          <w:tcPr>
            <w:tcW w:w="110" w:type="dxa"/>
            <w:tcBorders/>
          </w:tcPr>
          <w:p>
            <w:pPr>
              <w:pStyle w:val="TableContents"/>
              <w:bidi w:val="0"/>
              <w:spacing w:before="0" w:after="283"/>
              <w:jc w:val="left"/>
              <w:rPr>
                <w:strike/>
                <w:color w:val="FF0000"/>
              </w:rPr>
            </w:pPr>
            <w:r>
              <w:rPr>
                <w:strike/>
                <w:color w:val="FF0000"/>
              </w:rPr>
              <w:t>:</w:t>
            </w:r>
          </w:p>
        </w:tc>
        <w:tc>
          <w:tcPr>
            <w:tcW w:w="120" w:type="dxa"/>
            <w:tcBorders/>
            <w:vAlign w:val="bottom"/>
          </w:tcPr>
          <w:p>
            <w:pPr>
              <w:pStyle w:val="TableContents"/>
              <w:bidi w:val="0"/>
              <w:spacing w:before="0" w:after="283"/>
              <w:jc w:val="left"/>
              <w:rPr/>
            </w:pPr>
            <w:r>
              <w:rPr/>
              <w:t>  </w:t>
            </w:r>
          </w:p>
        </w:tc>
        <w:tc>
          <w:tcPr>
            <w:tcW w:w="5980" w:type="dxa"/>
            <w:tcBorders/>
          </w:tcPr>
          <w:p>
            <w:pPr>
              <w:pStyle w:val="TableContents"/>
              <w:bidi w:val="0"/>
              <w:spacing w:before="0" w:after="283"/>
              <w:jc w:val="left"/>
              <w:rPr>
                <w:b/>
                <w:strike/>
                <w:color w:val="FF0000"/>
              </w:rPr>
            </w:pPr>
            <w:r>
              <w:rPr>
                <w:b/>
                <w:strike/>
                <w:color w:val="FF0000"/>
              </w:rPr>
              <w:t>PERMITTING CERTAIN JOINT</w:t>
            </w:r>
          </w:p>
        </w:tc>
      </w:tr>
      <w:tr>
        <w:trPr/>
        <w:tc>
          <w:tcPr>
            <w:tcW w:w="3875" w:type="dxa"/>
            <w:tcBorders/>
          </w:tcPr>
          <w:p>
            <w:pPr>
              <w:pStyle w:val="TableContents"/>
              <w:bidi w:val="0"/>
              <w:spacing w:before="0" w:after="283"/>
              <w:jc w:val="left"/>
              <w:rPr>
                <w:b/>
                <w:strike/>
                <w:color w:val="FF0000"/>
              </w:rPr>
            </w:pPr>
            <w:r>
              <w:rPr>
                <w:b/>
                <w:strike/>
                <w:color w:val="FF0000"/>
              </w:rPr>
              <w:t>REAL ESTATE LENDING FUND, LLC,</w:t>
            </w:r>
          </w:p>
        </w:tc>
        <w:tc>
          <w:tcPr>
            <w:tcW w:w="120" w:type="dxa"/>
            <w:tcBorders/>
            <w:vAlign w:val="bottom"/>
          </w:tcPr>
          <w:p>
            <w:pPr>
              <w:pStyle w:val="TableContents"/>
              <w:bidi w:val="0"/>
              <w:spacing w:before="0" w:after="283"/>
              <w:jc w:val="left"/>
              <w:rPr/>
            </w:pPr>
            <w:r>
              <w:rPr/>
              <w:t>  </w:t>
            </w:r>
          </w:p>
        </w:tc>
        <w:tc>
          <w:tcPr>
            <w:tcW w:w="110" w:type="dxa"/>
            <w:tcBorders/>
          </w:tcPr>
          <w:p>
            <w:pPr>
              <w:pStyle w:val="TableContents"/>
              <w:bidi w:val="0"/>
              <w:spacing w:before="0" w:after="283"/>
              <w:jc w:val="left"/>
              <w:rPr>
                <w:strike/>
                <w:color w:val="FF0000"/>
              </w:rPr>
            </w:pPr>
            <w:r>
              <w:rPr>
                <w:strike/>
                <w:color w:val="FF0000"/>
              </w:rPr>
              <w:t>:</w:t>
            </w:r>
          </w:p>
        </w:tc>
        <w:tc>
          <w:tcPr>
            <w:tcW w:w="120" w:type="dxa"/>
            <w:tcBorders/>
            <w:vAlign w:val="bottom"/>
          </w:tcPr>
          <w:p>
            <w:pPr>
              <w:pStyle w:val="TableContents"/>
              <w:bidi w:val="0"/>
              <w:spacing w:before="0" w:after="283"/>
              <w:jc w:val="left"/>
              <w:rPr/>
            </w:pPr>
            <w:r>
              <w:rPr/>
              <w:t>  </w:t>
            </w:r>
          </w:p>
        </w:tc>
        <w:tc>
          <w:tcPr>
            <w:tcW w:w="5980" w:type="dxa"/>
            <w:tcBorders/>
          </w:tcPr>
          <w:p>
            <w:pPr>
              <w:pStyle w:val="TableContents"/>
              <w:bidi w:val="0"/>
              <w:spacing w:before="0" w:after="283"/>
              <w:jc w:val="left"/>
              <w:rPr>
                <w:b/>
                <w:strike/>
                <w:color w:val="FF0000"/>
              </w:rPr>
            </w:pPr>
            <w:r>
              <w:rPr>
                <w:b/>
                <w:strike/>
                <w:color w:val="FF0000"/>
              </w:rPr>
              <w:t>TRANSACTIONS OTHERWISE</w:t>
            </w:r>
          </w:p>
        </w:tc>
      </w:tr>
      <w:tr>
        <w:trPr/>
        <w:tc>
          <w:tcPr>
            <w:tcW w:w="3875" w:type="dxa"/>
            <w:tcBorders/>
          </w:tcPr>
          <w:p>
            <w:pPr>
              <w:pStyle w:val="TableContents"/>
              <w:bidi w:val="0"/>
              <w:spacing w:before="0" w:after="283"/>
              <w:jc w:val="left"/>
              <w:rPr>
                <w:b/>
                <w:strike/>
                <w:color w:val="FF0000"/>
              </w:rPr>
            </w:pPr>
            <w:r>
              <w:rPr>
                <w:b/>
                <w:strike/>
                <w:color w:val="FF0000"/>
              </w:rPr>
              <w:t>KEYSTONE REAL ESTATE</w:t>
            </w:r>
          </w:p>
        </w:tc>
        <w:tc>
          <w:tcPr>
            <w:tcW w:w="120" w:type="dxa"/>
            <w:tcBorders/>
            <w:vAlign w:val="bottom"/>
          </w:tcPr>
          <w:p>
            <w:pPr>
              <w:pStyle w:val="TableContents"/>
              <w:bidi w:val="0"/>
              <w:spacing w:before="0" w:after="283"/>
              <w:jc w:val="left"/>
              <w:rPr/>
            </w:pPr>
            <w:r>
              <w:rPr/>
              <w:t>  </w:t>
            </w:r>
          </w:p>
        </w:tc>
        <w:tc>
          <w:tcPr>
            <w:tcW w:w="110" w:type="dxa"/>
            <w:tcBorders/>
          </w:tcPr>
          <w:p>
            <w:pPr>
              <w:pStyle w:val="TableContents"/>
              <w:bidi w:val="0"/>
              <w:spacing w:before="0" w:after="283"/>
              <w:jc w:val="left"/>
              <w:rPr>
                <w:strike/>
                <w:color w:val="FF0000"/>
              </w:rPr>
            </w:pPr>
            <w:r>
              <w:rPr>
                <w:strike/>
                <w:color w:val="FF0000"/>
              </w:rPr>
              <w:t>:</w:t>
            </w:r>
          </w:p>
        </w:tc>
        <w:tc>
          <w:tcPr>
            <w:tcW w:w="120" w:type="dxa"/>
            <w:tcBorders/>
            <w:vAlign w:val="bottom"/>
          </w:tcPr>
          <w:p>
            <w:pPr>
              <w:pStyle w:val="TableContents"/>
              <w:bidi w:val="0"/>
              <w:spacing w:before="0" w:after="283"/>
              <w:jc w:val="left"/>
              <w:rPr/>
            </w:pPr>
            <w:r>
              <w:rPr/>
              <w:t>  </w:t>
            </w:r>
          </w:p>
        </w:tc>
        <w:tc>
          <w:tcPr>
            <w:tcW w:w="5980" w:type="dxa"/>
            <w:tcBorders/>
          </w:tcPr>
          <w:p>
            <w:pPr>
              <w:pStyle w:val="TableContents"/>
              <w:bidi w:val="0"/>
              <w:spacing w:before="0" w:after="283"/>
              <w:jc w:val="left"/>
              <w:rPr>
                <w:b/>
                <w:strike/>
                <w:color w:val="FF0000"/>
              </w:rPr>
            </w:pPr>
            <w:r>
              <w:rPr>
                <w:b/>
                <w:strike/>
                <w:color w:val="FF0000"/>
              </w:rPr>
              <w:t>PROHIBITED BY SECTIONS 17(d)</w:t>
            </w:r>
          </w:p>
        </w:tc>
      </w:tr>
      <w:tr>
        <w:trPr/>
        <w:tc>
          <w:tcPr>
            <w:tcW w:w="3875" w:type="dxa"/>
            <w:tcBorders/>
          </w:tcPr>
          <w:p>
            <w:pPr>
              <w:pStyle w:val="TableContents"/>
              <w:bidi w:val="0"/>
              <w:spacing w:before="0" w:after="283"/>
              <w:jc w:val="left"/>
              <w:rPr>
                <w:b/>
                <w:strike/>
                <w:color w:val="FF0000"/>
              </w:rPr>
            </w:pPr>
            <w:r>
              <w:rPr>
                <w:b/>
                <w:strike/>
                <w:color w:val="FF0000"/>
              </w:rPr>
              <w:t>INVESTMENT TRUST, LLC</w:t>
            </w:r>
          </w:p>
        </w:tc>
        <w:tc>
          <w:tcPr>
            <w:tcW w:w="120" w:type="dxa"/>
            <w:tcBorders/>
            <w:vAlign w:val="bottom"/>
          </w:tcPr>
          <w:p>
            <w:pPr>
              <w:pStyle w:val="TableContents"/>
              <w:bidi w:val="0"/>
              <w:spacing w:before="0" w:after="283"/>
              <w:jc w:val="left"/>
              <w:rPr/>
            </w:pPr>
            <w:r>
              <w:rPr/>
              <w:t>  </w:t>
            </w:r>
          </w:p>
        </w:tc>
        <w:tc>
          <w:tcPr>
            <w:tcW w:w="110" w:type="dxa"/>
            <w:tcBorders/>
          </w:tcPr>
          <w:p>
            <w:pPr>
              <w:pStyle w:val="TableContents"/>
              <w:bidi w:val="0"/>
              <w:spacing w:before="0" w:after="283"/>
              <w:jc w:val="left"/>
              <w:rPr>
                <w:strike/>
                <w:color w:val="FF0000"/>
              </w:rPr>
            </w:pPr>
            <w:r>
              <w:rPr>
                <w:strike/>
                <w:color w:val="FF0000"/>
              </w:rPr>
              <w:t>:</w:t>
            </w:r>
          </w:p>
        </w:tc>
        <w:tc>
          <w:tcPr>
            <w:tcW w:w="120" w:type="dxa"/>
            <w:tcBorders/>
            <w:vAlign w:val="bottom"/>
          </w:tcPr>
          <w:p>
            <w:pPr>
              <w:pStyle w:val="TableContents"/>
              <w:bidi w:val="0"/>
              <w:spacing w:before="0" w:after="283"/>
              <w:jc w:val="left"/>
              <w:rPr/>
            </w:pPr>
            <w:r>
              <w:rPr/>
              <w:t>  </w:t>
            </w:r>
          </w:p>
        </w:tc>
        <w:tc>
          <w:tcPr>
            <w:tcW w:w="5980" w:type="dxa"/>
            <w:tcBorders/>
          </w:tcPr>
          <w:p>
            <w:pPr>
              <w:pStyle w:val="TableContents"/>
              <w:bidi w:val="0"/>
              <w:spacing w:before="0" w:after="283"/>
              <w:jc w:val="left"/>
              <w:rPr>
                <w:b/>
                <w:strike/>
                <w:color w:val="FF0000"/>
              </w:rPr>
            </w:pPr>
            <w:r>
              <w:rPr>
                <w:b/>
                <w:strike/>
                <w:color w:val="FF0000"/>
              </w:rPr>
              <w:t>AND 57(a)(4) OF AND RULE 17d-1</w:t>
            </w:r>
          </w:p>
        </w:tc>
      </w:tr>
      <w:tr>
        <w:trPr/>
        <w:tc>
          <w:tcPr>
            <w:tcW w:w="387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0" w:type="dxa"/>
            <w:tcBorders/>
          </w:tcPr>
          <w:p>
            <w:pPr>
              <w:pStyle w:val="TableContents"/>
              <w:bidi w:val="0"/>
              <w:spacing w:before="0" w:after="283"/>
              <w:jc w:val="left"/>
              <w:rPr>
                <w:strike/>
                <w:color w:val="FF0000"/>
              </w:rPr>
            </w:pPr>
            <w:r>
              <w:rPr>
                <w:strike/>
                <w:color w:val="FF0000"/>
              </w:rPr>
              <w:t>:</w:t>
            </w:r>
          </w:p>
        </w:tc>
        <w:tc>
          <w:tcPr>
            <w:tcW w:w="120" w:type="dxa"/>
            <w:tcBorders/>
            <w:vAlign w:val="bottom"/>
          </w:tcPr>
          <w:p>
            <w:pPr>
              <w:pStyle w:val="TableContents"/>
              <w:bidi w:val="0"/>
              <w:spacing w:before="0" w:after="283"/>
              <w:jc w:val="left"/>
              <w:rPr/>
            </w:pPr>
            <w:r>
              <w:rPr/>
              <w:t>  </w:t>
            </w:r>
          </w:p>
        </w:tc>
        <w:tc>
          <w:tcPr>
            <w:tcW w:w="5980" w:type="dxa"/>
            <w:tcBorders/>
          </w:tcPr>
          <w:p>
            <w:pPr>
              <w:pStyle w:val="TableContents"/>
              <w:bidi w:val="0"/>
              <w:spacing w:before="0" w:after="283"/>
              <w:jc w:val="left"/>
              <w:rPr>
                <w:b/>
                <w:strike/>
                <w:color w:val="FF0000"/>
              </w:rPr>
            </w:pPr>
            <w:r>
              <w:rPr>
                <w:b/>
                <w:strike/>
                <w:color w:val="FF0000"/>
              </w:rPr>
              <w:t>UNDER THE INVESTMENT</w:t>
            </w:r>
          </w:p>
        </w:tc>
      </w:tr>
      <w:tr>
        <w:trPr/>
        <w:tc>
          <w:tcPr>
            <w:tcW w:w="3875" w:type="dxa"/>
            <w:tcBorders/>
          </w:tcPr>
          <w:p>
            <w:pPr>
              <w:pStyle w:val="TableContents"/>
              <w:bidi w:val="0"/>
              <w:spacing w:before="0" w:after="283"/>
              <w:jc w:val="left"/>
              <w:rPr>
                <w:b/>
                <w:strike/>
                <w:color w:val="FF0000"/>
              </w:rPr>
            </w:pPr>
            <w:r>
              <w:rPr>
                <w:b/>
                <w:strike/>
                <w:color w:val="FF0000"/>
              </w:rPr>
              <w:t>60 E. South Temple, Suite 2100</w:t>
            </w:r>
          </w:p>
        </w:tc>
        <w:tc>
          <w:tcPr>
            <w:tcW w:w="120" w:type="dxa"/>
            <w:tcBorders/>
            <w:vAlign w:val="bottom"/>
          </w:tcPr>
          <w:p>
            <w:pPr>
              <w:pStyle w:val="TableContents"/>
              <w:bidi w:val="0"/>
              <w:spacing w:before="0" w:after="283"/>
              <w:jc w:val="left"/>
              <w:rPr/>
            </w:pPr>
            <w:r>
              <w:rPr/>
              <w:t>  </w:t>
            </w:r>
          </w:p>
        </w:tc>
        <w:tc>
          <w:tcPr>
            <w:tcW w:w="110" w:type="dxa"/>
            <w:tcBorders/>
          </w:tcPr>
          <w:p>
            <w:pPr>
              <w:pStyle w:val="TableContents"/>
              <w:bidi w:val="0"/>
              <w:spacing w:before="0" w:after="283"/>
              <w:jc w:val="left"/>
              <w:rPr>
                <w:strike/>
                <w:color w:val="FF0000"/>
              </w:rPr>
            </w:pPr>
            <w:r>
              <w:rPr>
                <w:strike/>
                <w:color w:val="FF0000"/>
              </w:rPr>
              <w:t>:</w:t>
            </w:r>
          </w:p>
        </w:tc>
        <w:tc>
          <w:tcPr>
            <w:tcW w:w="120" w:type="dxa"/>
            <w:tcBorders/>
            <w:vAlign w:val="bottom"/>
          </w:tcPr>
          <w:p>
            <w:pPr>
              <w:pStyle w:val="TableContents"/>
              <w:bidi w:val="0"/>
              <w:spacing w:before="0" w:after="283"/>
              <w:jc w:val="left"/>
              <w:rPr/>
            </w:pPr>
            <w:r>
              <w:rPr/>
              <w:t>  </w:t>
            </w:r>
          </w:p>
        </w:tc>
        <w:tc>
          <w:tcPr>
            <w:tcW w:w="5980" w:type="dxa"/>
            <w:tcBorders/>
          </w:tcPr>
          <w:p>
            <w:pPr>
              <w:pStyle w:val="TableContents"/>
              <w:bidi w:val="0"/>
              <w:spacing w:before="0" w:after="283"/>
              <w:jc w:val="left"/>
              <w:rPr>
                <w:b/>
                <w:strike/>
                <w:color w:val="FF0000"/>
              </w:rPr>
            </w:pPr>
            <w:r>
              <w:rPr>
                <w:b/>
                <w:strike/>
                <w:color w:val="FF0000"/>
              </w:rPr>
              <w:t>COMPANY ACT OF 1940</w:t>
            </w:r>
          </w:p>
        </w:tc>
      </w:tr>
      <w:tr>
        <w:trPr/>
        <w:tc>
          <w:tcPr>
            <w:tcW w:w="3875" w:type="dxa"/>
            <w:tcBorders/>
          </w:tcPr>
          <w:p>
            <w:pPr>
              <w:pStyle w:val="TableContents"/>
              <w:bidi w:val="0"/>
              <w:spacing w:before="0" w:after="283"/>
              <w:jc w:val="left"/>
              <w:rPr>
                <w:b/>
                <w:strike/>
                <w:color w:val="FF0000"/>
              </w:rPr>
            </w:pPr>
            <w:r>
              <w:rPr>
                <w:b/>
                <w:strike/>
                <w:color w:val="FF0000"/>
              </w:rPr>
              <w:t>Salt Lake City, Utah 84111</w:t>
            </w:r>
          </w:p>
        </w:tc>
        <w:tc>
          <w:tcPr>
            <w:tcW w:w="120" w:type="dxa"/>
            <w:tcBorders/>
            <w:vAlign w:val="bottom"/>
          </w:tcPr>
          <w:p>
            <w:pPr>
              <w:pStyle w:val="TableContents"/>
              <w:bidi w:val="0"/>
              <w:spacing w:before="0" w:after="283"/>
              <w:jc w:val="left"/>
              <w:rPr/>
            </w:pPr>
            <w:r>
              <w:rPr/>
              <w:t>  </w:t>
            </w:r>
          </w:p>
        </w:tc>
        <w:tc>
          <w:tcPr>
            <w:tcW w:w="110" w:type="dxa"/>
            <w:tcBorders/>
          </w:tcPr>
          <w:p>
            <w:pPr>
              <w:pStyle w:val="TableContents"/>
              <w:bidi w:val="0"/>
              <w:spacing w:before="0" w:after="283"/>
              <w:jc w:val="left"/>
              <w:rPr>
                <w:strike/>
                <w:color w:val="FF0000"/>
              </w:rPr>
            </w:pPr>
            <w:r>
              <w:rPr>
                <w:strike/>
                <w:color w:val="FF0000"/>
              </w:rPr>
              <w:t>:</w:t>
            </w:r>
          </w:p>
        </w:tc>
        <w:tc>
          <w:tcPr>
            <w:tcW w:w="120" w:type="dxa"/>
            <w:tcBorders/>
            <w:vAlign w:val="bottom"/>
          </w:tcPr>
          <w:p>
            <w:pPr>
              <w:pStyle w:val="TableContents"/>
              <w:bidi w:val="0"/>
              <w:spacing w:before="0" w:after="283"/>
              <w:jc w:val="left"/>
              <w:rPr/>
            </w:pPr>
            <w:r>
              <w:rPr/>
              <w:t>  </w:t>
            </w:r>
          </w:p>
        </w:tc>
        <w:tc>
          <w:tcPr>
            <w:tcW w:w="5980" w:type="dxa"/>
            <w:tcBorders/>
          </w:tcPr>
          <w:p>
            <w:pPr>
              <w:pStyle w:val="TableContents"/>
              <w:bidi w:val="0"/>
              <w:spacing w:before="0" w:after="283"/>
              <w:jc w:val="left"/>
              <w:rPr>
                <w:sz w:val="4"/>
                <w:szCs w:val="4"/>
              </w:rPr>
            </w:pPr>
            <w:r>
              <w:rPr>
                <w:sz w:val="4"/>
                <w:szCs w:val="4"/>
              </w:rPr>
            </w:r>
          </w:p>
        </w:tc>
      </w:tr>
      <w:tr>
        <w:trPr/>
        <w:tc>
          <w:tcPr>
            <w:tcW w:w="387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0" w:type="dxa"/>
            <w:tcBorders/>
          </w:tcPr>
          <w:p>
            <w:pPr>
              <w:pStyle w:val="TableContents"/>
              <w:bidi w:val="0"/>
              <w:spacing w:before="0" w:after="283"/>
              <w:jc w:val="left"/>
              <w:rPr>
                <w:strike/>
                <w:color w:val="FF0000"/>
              </w:rPr>
            </w:pPr>
            <w:r>
              <w:rPr>
                <w:strike/>
                <w:color w:val="FF0000"/>
              </w:rPr>
              <w:t>:</w:t>
            </w:r>
          </w:p>
        </w:tc>
        <w:tc>
          <w:tcPr>
            <w:tcW w:w="120" w:type="dxa"/>
            <w:tcBorders/>
            <w:vAlign w:val="bottom"/>
          </w:tcPr>
          <w:p>
            <w:pPr>
              <w:pStyle w:val="TableContents"/>
              <w:bidi w:val="0"/>
              <w:spacing w:before="0" w:after="283"/>
              <w:jc w:val="left"/>
              <w:rPr/>
            </w:pPr>
            <w:r>
              <w:rPr/>
              <w:t>  </w:t>
            </w:r>
          </w:p>
        </w:tc>
        <w:tc>
          <w:tcPr>
            <w:tcW w:w="5980" w:type="dxa"/>
            <w:tcBorders/>
          </w:tcPr>
          <w:p>
            <w:pPr>
              <w:pStyle w:val="TableContents"/>
              <w:bidi w:val="0"/>
              <w:spacing w:before="0" w:after="283"/>
              <w:jc w:val="left"/>
              <w:rPr>
                <w:sz w:val="4"/>
                <w:szCs w:val="4"/>
              </w:rPr>
            </w:pPr>
            <w:r>
              <w:rPr>
                <w:sz w:val="4"/>
                <w:szCs w:val="4"/>
              </w:rPr>
            </w:r>
          </w:p>
        </w:tc>
      </w:tr>
      <w:tr>
        <w:trPr/>
        <w:tc>
          <w:tcPr>
            <w:tcW w:w="3875" w:type="dxa"/>
            <w:tcBorders/>
          </w:tcPr>
          <w:p>
            <w:pPr>
              <w:pStyle w:val="TableContents"/>
              <w:bidi w:val="0"/>
              <w:spacing w:before="0" w:after="283"/>
              <w:jc w:val="left"/>
              <w:rPr>
                <w:strike/>
                <w:color w:val="FF0000"/>
              </w:rPr>
            </w:pPr>
            <w:r>
              <w:rPr>
                <w:b/>
                <w:strike/>
                <w:color w:val="FF0000"/>
              </w:rPr>
              <w:t>File</w:t>
            </w:r>
            <w:r>
              <w:rPr>
                <w:strike/>
                <w:color w:val="FF0000"/>
              </w:rPr>
              <w:t xml:space="preserve"> </w:t>
            </w:r>
            <w:r>
              <w:rPr>
                <w:b/>
                <w:strike/>
                <w:color w:val="FF0000"/>
              </w:rPr>
              <w:t>No.</w:t>
            </w:r>
            <w:r>
              <w:rPr>
                <w:strike/>
                <w:color w:val="FF0000"/>
              </w:rPr>
              <w:t xml:space="preserve"> </w:t>
            </w:r>
            <w:r>
              <w:rPr>
                <w:b/>
                <w:strike/>
                <w:color w:val="FF0000"/>
              </w:rPr>
              <w:t>812-15960</w:t>
            </w:r>
          </w:p>
        </w:tc>
        <w:tc>
          <w:tcPr>
            <w:tcW w:w="120" w:type="dxa"/>
            <w:tcBorders/>
            <w:vAlign w:val="bottom"/>
          </w:tcPr>
          <w:p>
            <w:pPr>
              <w:pStyle w:val="TableContents"/>
              <w:bidi w:val="0"/>
              <w:spacing w:before="0" w:after="283"/>
              <w:jc w:val="left"/>
              <w:rPr/>
            </w:pPr>
            <w:r>
              <w:rPr/>
              <w:t>  </w:t>
            </w:r>
          </w:p>
        </w:tc>
        <w:tc>
          <w:tcPr>
            <w:tcW w:w="110" w:type="dxa"/>
            <w:tcBorders/>
          </w:tcPr>
          <w:p>
            <w:pPr>
              <w:pStyle w:val="TableContents"/>
              <w:bidi w:val="0"/>
              <w:spacing w:before="0" w:after="283"/>
              <w:jc w:val="left"/>
              <w:rPr>
                <w:strike/>
                <w:color w:val="FF0000"/>
              </w:rPr>
            </w:pPr>
            <w:r>
              <w:rPr>
                <w:strike/>
                <w:color w:val="FF0000"/>
              </w:rPr>
              <w:t>:</w:t>
            </w:r>
          </w:p>
        </w:tc>
        <w:tc>
          <w:tcPr>
            <w:tcW w:w="120" w:type="dxa"/>
            <w:tcBorders/>
            <w:vAlign w:val="bottom"/>
          </w:tcPr>
          <w:p>
            <w:pPr>
              <w:pStyle w:val="TableContents"/>
              <w:bidi w:val="0"/>
              <w:spacing w:before="0" w:after="283"/>
              <w:jc w:val="left"/>
              <w:rPr/>
            </w:pPr>
            <w:r>
              <w:rPr/>
              <w:t>  </w:t>
            </w:r>
          </w:p>
        </w:tc>
        <w:tc>
          <w:tcPr>
            <w:tcW w:w="598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strike/>
                <w:color w:val="FF0000"/>
              </w:rPr>
            </w:pPr>
            <w:r>
              <w:rPr>
                <w:b/>
                <w:strike/>
                <w:color w:val="FF0000"/>
              </w:rPr>
              <w:t>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trike/>
                <w:color w:val="FF0000"/>
                <w:sz w:val="20"/>
              </w:rPr>
              <w:t>SUMMARY OF APPLICATION</w:t>
            </w:r>
            <w:r>
              <w:rPr>
                <w:rFonts w:ascii="Times New Roman" w:hAnsi="Times New Roman"/>
                <w:b/>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color w:val="0000FF"/>
                <w:u w:val="single"/>
                <w:bdr w:val="double" w:sz="2" w:space="1" w:color="000000"/>
              </w:rPr>
            </w:pPr>
            <w:r>
              <w:rPr>
                <w:b/>
                <w:color w:val="0000FF"/>
                <w:u w:val="single"/>
                <w:bdr w:val="double" w:sz="2" w:space="1" w:color="000000"/>
              </w:rPr>
              <w:t>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color w:val="0000FF"/>
                <w:sz w:val="20"/>
                <w:u w:val="single"/>
                <w:bdr w:val="double" w:sz="2" w:space="1" w:color="000000"/>
              </w:rPr>
              <w:t>SUMMARY OF APPLCIATION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The following entities hereby request an order (the “</w:t>
      </w:r>
      <w:r>
        <w:rPr>
          <w:rFonts w:ascii="Times New Roman" w:hAnsi="Times New Roman"/>
          <w:b/>
          <w:i/>
          <w:sz w:val="20"/>
        </w:rPr>
        <w:t>Order</w:t>
      </w:r>
      <w:r>
        <w:rPr>
          <w:rFonts w:ascii="Times New Roman" w:hAnsi="Times New Roman"/>
          <w:sz w:val="20"/>
        </w:rPr>
        <w:t>”) of the U.S. Securities and Exchange Commission (the “</w:t>
      </w:r>
      <w:r>
        <w:rPr>
          <w:rFonts w:ascii="Times New Roman" w:hAnsi="Times New Roman"/>
          <w:b/>
          <w:i/>
          <w:sz w:val="20"/>
        </w:rPr>
        <w:t>SEC</w:t>
      </w:r>
      <w:r>
        <w:rPr>
          <w:rFonts w:ascii="Times New Roman" w:hAnsi="Times New Roman"/>
          <w:sz w:val="20"/>
        </w:rPr>
        <w:t>” or “</w:t>
      </w:r>
      <w:r>
        <w:rPr>
          <w:rFonts w:ascii="Times New Roman" w:hAnsi="Times New Roman"/>
          <w:b/>
          <w:i/>
          <w:sz w:val="20"/>
        </w:rPr>
        <w:t>Commission</w:t>
      </w:r>
      <w:r>
        <w:rPr>
          <w:rFonts w:ascii="Times New Roman" w:hAnsi="Times New Roman"/>
          <w:sz w:val="20"/>
        </w:rPr>
        <w:t>”) under Sections 17(d) and 57(i) of the Investment Company Act of 1940, as amended (the “</w:t>
      </w:r>
      <w:r>
        <w:rPr>
          <w:rFonts w:ascii="Times New Roman" w:hAnsi="Times New Roman"/>
          <w:b/>
          <w:i/>
          <w:sz w:val="20"/>
        </w:rPr>
        <w:t>1940 Act</w:t>
      </w:r>
      <w:r>
        <w:rPr>
          <w:rFonts w:ascii="Times New Roman" w:hAnsi="Times New Roman"/>
          <w:sz w:val="20"/>
        </w:rPr>
        <w:t>”),1 and Rule 17d-1, permitting certain joint transactions otherwise prohibited by Sections 17(d) and 57(a)(4) of the 1940 Act and Rule 17d-1 thereunder.</w:t>
      </w:r>
      <w:r>
        <w:rPr>
          <w:rFonts w:ascii="Times New Roman" w:hAnsi="Times New Roman"/>
          <w:color w:val="0000FF"/>
          <w:sz w:val="20"/>
          <w:u w:val="single"/>
          <w:bdr w:val="double" w:sz="2" w:space="1" w:color="000000"/>
        </w:rPr>
        <w:t xml:space="preserve"> The Order would supersede the exemptive order issued by the Commission on August 29, 2024 (the “</w:t>
      </w:r>
      <w:r>
        <w:rPr>
          <w:rFonts w:ascii="Times New Roman" w:hAnsi="Times New Roman"/>
          <w:b/>
          <w:i/>
          <w:color w:val="0000FF"/>
          <w:sz w:val="20"/>
          <w:u w:val="single"/>
          <w:bdr w:val="double" w:sz="2" w:space="1" w:color="000000"/>
        </w:rPr>
        <w:t>Prior Order</w:t>
      </w:r>
      <w:r>
        <w:rPr>
          <w:rFonts w:ascii="Times New Roman" w:hAnsi="Times New Roman"/>
          <w:color w:val="0000FF"/>
          <w:sz w:val="20"/>
          <w:u w:val="single"/>
          <w:bdr w:val="double" w:sz="2" w:space="1" w:color="000000"/>
        </w:rPr>
        <w:t>”)</w:t>
      </w:r>
      <w:r>
        <w:rPr>
          <w:rFonts w:ascii="Times New Roman" w:hAnsi="Times New Roman"/>
          <w:sz w:val="20"/>
        </w:rPr>
        <w:t>2</w:t>
      </w:r>
      <w:r>
        <w:rPr>
          <w:rFonts w:ascii="Times New Roman" w:hAnsi="Times New Roman"/>
          <w:color w:val="0000FF"/>
          <w:sz w:val="20"/>
          <w:u w:val="single"/>
          <w:bdr w:val="double" w:sz="2" w:space="1" w:color="000000"/>
        </w:rPr>
        <w:t xml:space="preserve"> that was granted pursuant to Sections 17(d), 57(i) and Rule 17d-1, with the result that no person will continue to rely on the Prior Order if the Order is granted.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5"/>
        <w:gridCol w:w="9296"/>
      </w:tblGrid>
      <w:tr>
        <w:trPr/>
        <w:tc>
          <w:tcPr>
            <w:tcW w:w="404"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strike/>
                <w:color w:val="FF0000"/>
              </w:rPr>
            </w:pPr>
            <w:r>
              <w:rPr>
                <w:strike/>
                <w:color w:val="FF0000"/>
              </w:rPr>
              <w:t></w:t>
            </w:r>
          </w:p>
        </w:tc>
        <w:tc>
          <w:tcPr>
            <w:tcW w:w="9296"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Keystone Private Income Fund, a Delaware statutory trust which is an externally managed</w:t>
            </w:r>
            <w:r>
              <w:rPr>
                <w:rFonts w:ascii="Times New Roman" w:hAnsi="Times New Roman"/>
                <w:strike/>
                <w:color w:val="008000"/>
                <w:sz w:val="20"/>
              </w:rPr>
              <w:t xml:space="preserve">, closed-end management investment company that </w:t>
            </w:r>
            <w:r>
              <w:rPr>
                <w:rFonts w:ascii="Times New Roman" w:hAnsi="Times New Roman"/>
                <w:strike/>
                <w:color w:val="FF0000"/>
                <w:sz w:val="20"/>
              </w:rPr>
              <w:t>is registered under the 1940 Act (“</w:t>
            </w:r>
            <w:r>
              <w:rPr>
                <w:rFonts w:ascii="Times New Roman" w:hAnsi="Times New Roman"/>
                <w:b/>
                <w:i/>
                <w:strike/>
                <w:color w:val="FF0000"/>
                <w:sz w:val="20"/>
              </w:rPr>
              <w:t>Existing Regulated Fund</w:t>
            </w:r>
            <w:r>
              <w:rPr>
                <w:rFonts w:ascii="Times New Roman" w:hAnsi="Times New Roman"/>
                <w:strike/>
                <w:color w:val="FF0000"/>
                <w:sz w:val="20"/>
              </w:rPr>
              <w:t>” or “</w:t>
            </w:r>
            <w:r>
              <w:rPr>
                <w:rFonts w:ascii="Times New Roman" w:hAnsi="Times New Roman"/>
                <w:b/>
                <w:i/>
                <w:strike/>
                <w:color w:val="FF0000"/>
                <w:sz w:val="20"/>
              </w:rPr>
              <w:t>KPIF</w:t>
            </w:r>
            <w:r>
              <w:rPr>
                <w:rFonts w:ascii="Times New Roman" w:hAnsi="Times New Roman"/>
                <w:strike/>
                <w:color w:val="FF0000"/>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5"/>
        <w:gridCol w:w="9296"/>
      </w:tblGrid>
      <w:tr>
        <w:trPr/>
        <w:tc>
          <w:tcPr>
            <w:tcW w:w="404"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strike/>
                <w:color w:val="FF0000"/>
              </w:rPr>
            </w:pPr>
            <w:r>
              <w:rPr>
                <w:strike/>
                <w:color w:val="FF0000"/>
              </w:rPr>
              <w:t></w:t>
            </w:r>
          </w:p>
        </w:tc>
        <w:tc>
          <w:tcPr>
            <w:tcW w:w="9296"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Keystone Private Market Opportunities IX (Q), LP, which is an entity whose investment adviser is Keystone National Group, LLC and that</w:t>
            </w:r>
            <w:r>
              <w:rPr>
                <w:rFonts w:ascii="Times New Roman" w:hAnsi="Times New Roman"/>
                <w:strike/>
                <w:color w:val="008000"/>
                <w:sz w:val="20"/>
              </w:rPr>
              <w:t xml:space="preserve"> would be an investment company but for Section 3(c)(7) of the 1940 Act</w:t>
            </w:r>
            <w:r>
              <w:rPr>
                <w:rFonts w:ascii="Times New Roman" w:hAnsi="Times New Roman"/>
                <w:strike/>
                <w:color w:val="FF0000"/>
                <w:sz w:val="20"/>
              </w:rPr>
              <w:t>; (“</w:t>
            </w:r>
            <w:r>
              <w:rPr>
                <w:rFonts w:ascii="Times New Roman" w:hAnsi="Times New Roman"/>
                <w:b/>
                <w:i/>
                <w:strike/>
                <w:color w:val="FF0000"/>
                <w:sz w:val="20"/>
              </w:rPr>
              <w:t>KPMO IX Q</w:t>
            </w:r>
            <w:r>
              <w:rPr>
                <w:rFonts w:ascii="Times New Roman" w:hAnsi="Times New Roman"/>
                <w:strike/>
                <w:color w:val="FF0000"/>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5"/>
        <w:gridCol w:w="9296"/>
      </w:tblGrid>
      <w:tr>
        <w:trPr/>
        <w:tc>
          <w:tcPr>
            <w:tcW w:w="404"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strike/>
                <w:color w:val="FF0000"/>
              </w:rPr>
            </w:pPr>
            <w:r>
              <w:rPr>
                <w:strike/>
                <w:color w:val="FF0000"/>
              </w:rPr>
              <w:t></w:t>
            </w:r>
          </w:p>
        </w:tc>
        <w:tc>
          <w:tcPr>
            <w:tcW w:w="9296"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Keystone Private Market Opportunities IX, LP, which is an entity whose investment adviser is Keystone National Group, LLC and that would be an investment company but for Section 3(c)(1) of the 1940 Act (“</w:t>
            </w:r>
            <w:r>
              <w:rPr>
                <w:rFonts w:ascii="Times New Roman" w:hAnsi="Times New Roman"/>
                <w:b/>
                <w:i/>
                <w:strike/>
                <w:color w:val="FF0000"/>
                <w:sz w:val="20"/>
              </w:rPr>
              <w:t>KPMO IX</w:t>
            </w:r>
            <w:r>
              <w:rPr>
                <w:rFonts w:ascii="Times New Roman" w:hAnsi="Times New Roman"/>
                <w:strike/>
                <w:color w:val="FF0000"/>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
        <w:gridCol w:w="505"/>
        <w:gridCol w:w="9297"/>
      </w:tblGrid>
      <w:tr>
        <w:trPr/>
        <w:tc>
          <w:tcPr>
            <w:tcW w:w="403"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strike/>
                <w:color w:val="FF0000"/>
              </w:rPr>
            </w:pPr>
            <w:r>
              <w:rPr>
                <w:strike/>
                <w:color w:val="FF0000"/>
              </w:rPr>
              <w:t></w:t>
            </w:r>
          </w:p>
        </w:tc>
        <w:tc>
          <w:tcPr>
            <w:tcW w:w="9297"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Keystone Real Estate Lending Fund, LLC, which is an entity whose investment adviser is Keystone National Group, LLC and that would be an investment company but for Section 3(c)(5) of the 1940 Act (“</w:t>
            </w:r>
            <w:r>
              <w:rPr>
                <w:rFonts w:ascii="Times New Roman" w:hAnsi="Times New Roman"/>
                <w:b/>
                <w:i/>
                <w:strike/>
                <w:color w:val="FF0000"/>
                <w:sz w:val="20"/>
              </w:rPr>
              <w:t>KRELF</w:t>
            </w:r>
            <w:r>
              <w:rPr>
                <w:rFonts w:ascii="Times New Roman" w:hAnsi="Times New Roman"/>
                <w:strike/>
                <w:color w:val="FF0000"/>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Keystone Real Estate</w:t>
            </w:r>
            <w:r>
              <w:rPr>
                <w:rFonts w:ascii="Times New Roman" w:hAnsi="Times New Roman"/>
                <w:color w:val="0000FF"/>
                <w:sz w:val="20"/>
                <w:u w:val="single"/>
                <w:bdr w:val="double" w:sz="2" w:space="1" w:color="000000"/>
              </w:rPr>
              <w:t>Fidus</w:t>
            </w:r>
            <w:r>
              <w:rPr>
                <w:rFonts w:ascii="Times New Roman" w:hAnsi="Times New Roman"/>
                <w:sz w:val="20"/>
              </w:rPr>
              <w:t xml:space="preserve"> Investment</w:t>
            </w:r>
            <w:r>
              <w:rPr>
                <w:rFonts w:ascii="Times New Roman" w:hAnsi="Times New Roman"/>
                <w:strike/>
                <w:color w:val="FF0000"/>
                <w:sz w:val="20"/>
              </w:rPr>
              <w:t xml:space="preserve"> Trust, LLC, which is an entity whose investment adviser is Keystone National Group, LLC and that would be an</w:t>
            </w:r>
            <w:r>
              <w:rPr>
                <w:rFonts w:ascii="Times New Roman" w:hAnsi="Times New Roman"/>
                <w:color w:val="0000FF"/>
                <w:sz w:val="20"/>
                <w:u w:val="single"/>
                <w:bdr w:val="double" w:sz="2" w:space="1" w:color="000000"/>
              </w:rPr>
              <w:t>Corporation (the “</w:t>
            </w:r>
            <w:r>
              <w:rPr>
                <w:rFonts w:ascii="Times New Roman" w:hAnsi="Times New Roman"/>
                <w:b/>
                <w:i/>
                <w:color w:val="0000FF"/>
                <w:sz w:val="20"/>
                <w:u w:val="single"/>
                <w:bdr w:val="double" w:sz="2" w:space="1" w:color="000000"/>
              </w:rPr>
              <w:t>Existing Regulated Fund</w:t>
            </w:r>
            <w:r>
              <w:rPr>
                <w:rFonts w:ascii="Times New Roman" w:hAnsi="Times New Roman"/>
                <w:color w:val="0000FF"/>
                <w:sz w:val="20"/>
                <w:u w:val="single"/>
                <w:bdr w:val="double" w:sz="2" w:space="1" w:color="000000"/>
              </w:rPr>
              <w:t>”), a corporation formed under the General Corporate Laws of the State of Maryland for the purpose of operating as an externally-managed, non-diversified, closed-end management</w:t>
            </w:r>
            <w:r>
              <w:rPr>
                <w:rFonts w:ascii="Times New Roman" w:hAnsi="Times New Roman"/>
                <w:sz w:val="20"/>
              </w:rPr>
              <w:t xml:space="preserve"> investment company </w:t>
            </w:r>
            <w:r>
              <w:rPr>
                <w:rFonts w:ascii="Times New Roman" w:hAnsi="Times New Roman"/>
                <w:strike/>
                <w:color w:val="FF0000"/>
                <w:sz w:val="20"/>
              </w:rPr>
              <w:t>but for Section 3(c)(5) of</w:t>
            </w:r>
            <w:r>
              <w:rPr>
                <w:rFonts w:ascii="Times New Roman" w:hAnsi="Times New Roman"/>
                <w:color w:val="0000FF"/>
                <w:sz w:val="20"/>
                <w:u w:val="single"/>
                <w:bdr w:val="double" w:sz="2" w:space="1" w:color="000000"/>
              </w:rPr>
              <w:t>that has elected to be regulated as a business development company (“</w:t>
            </w:r>
            <w:r>
              <w:rPr>
                <w:rFonts w:ascii="Times New Roman" w:hAnsi="Times New Roman"/>
                <w:b/>
                <w:i/>
                <w:color w:val="0000FF"/>
                <w:sz w:val="20"/>
                <w:u w:val="single"/>
                <w:bdr w:val="double" w:sz="2" w:space="1" w:color="000000"/>
              </w:rPr>
              <w:t>BDC</w:t>
            </w:r>
            <w:r>
              <w:rPr>
                <w:rFonts w:ascii="Times New Roman" w:hAnsi="Times New Roman"/>
                <w:color w:val="0000FF"/>
                <w:sz w:val="20"/>
                <w:u w:val="single"/>
                <w:bdr w:val="double" w:sz="2" w:space="1" w:color="000000"/>
              </w:rPr>
              <w:t>”) under</w:t>
            </w:r>
            <w:r>
              <w:rPr>
                <w:rFonts w:ascii="Times New Roman" w:hAnsi="Times New Roman"/>
                <w:sz w:val="20"/>
              </w:rPr>
              <w:t xml:space="preserve"> the 1940 Act</w:t>
            </w:r>
            <w:r>
              <w:rPr>
                <w:rFonts w:ascii="Times New Roman" w:hAnsi="Times New Roman"/>
                <w:strike/>
                <w:color w:val="FF0000"/>
                <w:sz w:val="20"/>
              </w:rPr>
              <w:t xml:space="preserve"> (“</w:t>
            </w:r>
            <w:r>
              <w:rPr>
                <w:rFonts w:ascii="Times New Roman" w:hAnsi="Times New Roman"/>
                <w:b/>
                <w:i/>
                <w:strike/>
                <w:color w:val="FF0000"/>
                <w:sz w:val="20"/>
              </w:rPr>
              <w:t>KREIT</w:t>
            </w:r>
            <w:r>
              <w:rPr>
                <w:rFonts w:ascii="Times New Roman" w:hAnsi="Times New Roman"/>
                <w:strike/>
                <w:color w:val="FF0000"/>
                <w:sz w:val="20"/>
              </w:rPr>
              <w:t>” and, together with KPMO IX Q, KPMO IX, and KRELF, the “</w:t>
            </w:r>
            <w:r>
              <w:rPr>
                <w:rFonts w:ascii="Times New Roman" w:hAnsi="Times New Roman"/>
                <w:b/>
                <w:strike/>
                <w:color w:val="FF0000"/>
                <w:sz w:val="20"/>
              </w:rPr>
              <w:t>Existing Affiliated Entities</w:t>
            </w:r>
            <w:r>
              <w:rPr>
                <w:rFonts w:ascii="Times New Roman" w:hAnsi="Times New Roman"/>
                <w:strike/>
                <w:color w:val="FF0000"/>
                <w:sz w:val="20"/>
              </w:rPr>
              <w:t>”)</w:t>
            </w:r>
            <w:r>
              <w:rPr>
                <w:rFonts w:ascii="Times New Roman" w:hAnsi="Times New Roman"/>
                <w:sz w:val="20"/>
              </w:rPr>
              <w:t xml:space="preserve">; </w:t>
            </w:r>
            <w:r>
              <w:rPr>
                <w:rFonts w:ascii="Times New Roman" w:hAnsi="Times New Roman"/>
                <w:strike/>
                <w:color w:val="FF0000"/>
                <w:sz w:val="20"/>
              </w:rPr>
              <w:t>and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Certain vehicles (as identified on Schedule A hereto) (the “</w:t>
            </w:r>
            <w:r>
              <w:rPr>
                <w:rFonts w:ascii="Times New Roman" w:hAnsi="Times New Roman"/>
                <w:b/>
                <w:i/>
                <w:color w:val="0000FF"/>
                <w:sz w:val="20"/>
                <w:u w:val="single"/>
                <w:bdr w:val="double" w:sz="2" w:space="1" w:color="000000"/>
              </w:rPr>
              <w:t>Existing Wholly-Owned Subsidiaries</w:t>
            </w:r>
            <w:r>
              <w:rPr>
                <w:rFonts w:ascii="Times New Roman" w:hAnsi="Times New Roman"/>
                <w:color w:val="0000FF"/>
                <w:sz w:val="20"/>
                <w:u w:val="single"/>
                <w:bdr w:val="double" w:sz="2" w:space="1" w:color="000000"/>
              </w:rPr>
              <w:t>”), each of</w:t>
            </w:r>
            <w:r>
              <w:rPr>
                <w:rFonts w:ascii="Times New Roman" w:hAnsi="Times New Roman"/>
                <w:sz w:val="20"/>
              </w:rPr>
              <w:t xml:space="preserve"> </w:t>
            </w:r>
            <w:r>
              <w:rPr>
                <w:rFonts w:ascii="Times New Roman" w:hAnsi="Times New Roman"/>
                <w:color w:val="0000FF"/>
                <w:sz w:val="20"/>
                <w:u w:val="single"/>
                <w:bdr w:val="double" w:sz="2" w:space="1" w:color="000000"/>
              </w:rPr>
              <w:t>which is a separate and distinct legal entity and each of which is a Wholly-Owned Investment Sub (as defined below)</w:t>
            </w:r>
            <w:r>
              <w:rPr>
                <w:rFonts w:ascii="Times New Roman" w:hAnsi="Times New Roman"/>
                <w:color w:val="008000"/>
                <w:sz w:val="20"/>
                <w:u w:val="single"/>
                <w:bdr w:val="double" w:sz="2" w:space="1" w:color="000000"/>
              </w:rPr>
              <w:t xml:space="preserve"> of the Existing Regulated Fund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Keystone National Group</w:t>
            </w:r>
            <w:r>
              <w:rPr>
                <w:rFonts w:ascii="Times New Roman" w:hAnsi="Times New Roman"/>
                <w:color w:val="0000FF"/>
                <w:sz w:val="20"/>
                <w:u w:val="single"/>
                <w:bdr w:val="double" w:sz="2" w:space="1" w:color="000000"/>
              </w:rPr>
              <w:t>Fidus Investment Advisors</w:t>
            </w:r>
            <w:r>
              <w:rPr>
                <w:rFonts w:ascii="Times New Roman" w:hAnsi="Times New Roman"/>
                <w:sz w:val="20"/>
              </w:rPr>
              <w:t>, LLC</w:t>
            </w:r>
            <w:r>
              <w:rPr>
                <w:rFonts w:ascii="Times New Roman" w:hAnsi="Times New Roman"/>
                <w:color w:val="0000FF"/>
                <w:sz w:val="20"/>
                <w:u w:val="single"/>
                <w:bdr w:val="double" w:sz="2" w:space="1" w:color="000000"/>
              </w:rPr>
              <w:t>,</w:t>
            </w:r>
            <w:r>
              <w:rPr>
                <w:rFonts w:ascii="Times New Roman" w:hAnsi="Times New Roman"/>
                <w:sz w:val="20"/>
              </w:rPr>
              <w:t xml:space="preserve"> and its successors</w:t>
            </w:r>
            <w:r>
              <w:rPr>
                <w:rFonts w:ascii="Times New Roman" w:hAnsi="Times New Roman"/>
                <w:strike/>
                <w:color w:val="FF0000"/>
                <w:sz w:val="13"/>
              </w:rPr>
              <w:t>2</w:t>
            </w:r>
            <w:r>
              <w:rPr>
                <w:rFonts w:ascii="Times New Roman" w:hAnsi="Times New Roman"/>
                <w:color w:val="0000FF"/>
                <w:sz w:val="20"/>
                <w:u w:val="single"/>
                <w:bdr w:val="double" w:sz="2" w:space="1" w:color="000000"/>
              </w:rPr>
              <w:t xml:space="preserve">3 </w:t>
            </w:r>
            <w:r>
              <w:rPr>
                <w:rFonts w:ascii="Times New Roman" w:hAnsi="Times New Roman"/>
                <w:sz w:val="20"/>
              </w:rPr>
              <w:t>(</w:t>
            </w:r>
            <w:r>
              <w:rPr>
                <w:rFonts w:ascii="Times New Roman" w:hAnsi="Times New Roman"/>
                <w:strike/>
                <w:color w:val="FF0000"/>
                <w:sz w:val="20"/>
              </w:rPr>
              <w:t>collectively, “</w:t>
            </w:r>
            <w:r>
              <w:rPr>
                <w:rFonts w:ascii="Times New Roman" w:hAnsi="Times New Roman"/>
                <w:b/>
                <w:i/>
                <w:strike/>
                <w:color w:val="FF0000"/>
                <w:sz w:val="20"/>
              </w:rPr>
              <w:t>KNG</w:t>
            </w:r>
            <w:r>
              <w:rPr>
                <w:rFonts w:ascii="Times New Roman" w:hAnsi="Times New Roman"/>
                <w:color w:val="0000FF"/>
                <w:sz w:val="20"/>
                <w:u w:val="single"/>
                <w:bdr w:val="double" w:sz="2" w:space="1" w:color="000000"/>
              </w:rPr>
              <w:t>the “</w:t>
            </w:r>
            <w:r>
              <w:rPr>
                <w:rFonts w:ascii="Times New Roman" w:hAnsi="Times New Roman"/>
                <w:b/>
                <w:i/>
                <w:color w:val="0000FF"/>
                <w:sz w:val="20"/>
                <w:u w:val="single"/>
                <w:bdr w:val="double" w:sz="2" w:space="1" w:color="000000"/>
              </w:rPr>
              <w:t>Existing Adviser</w:t>
            </w:r>
            <w:r>
              <w:rPr>
                <w:rFonts w:ascii="Times New Roman" w:hAnsi="Times New Roman"/>
                <w:sz w:val="20"/>
              </w:rPr>
              <w:t>”), an investment adviser registered with the Commission under the Investment Advisers Act of 1940</w:t>
            </w:r>
            <w:r>
              <w:rPr>
                <w:rFonts w:ascii="Times New Roman" w:hAnsi="Times New Roman"/>
                <w:strike/>
                <w:color w:val="FF0000"/>
                <w:sz w:val="20"/>
              </w:rPr>
              <w:t>, as amended</w:t>
            </w:r>
            <w:r>
              <w:rPr>
                <w:rFonts w:ascii="Times New Roman" w:hAnsi="Times New Roman"/>
                <w:sz w:val="20"/>
              </w:rPr>
              <w:t xml:space="preserve"> (the “</w:t>
            </w:r>
            <w:r>
              <w:rPr>
                <w:rFonts w:ascii="Times New Roman" w:hAnsi="Times New Roman"/>
                <w:b/>
                <w:i/>
                <w:sz w:val="20"/>
              </w:rPr>
              <w:t>Advisers Act</w:t>
            </w:r>
            <w:r>
              <w:rPr>
                <w:rFonts w:ascii="Times New Roman" w:hAnsi="Times New Roman"/>
                <w:sz w:val="20"/>
              </w:rPr>
              <w:t>”), which serves as</w:t>
            </w:r>
            <w:r>
              <w:rPr>
                <w:rFonts w:ascii="Times New Roman" w:hAnsi="Times New Roman"/>
                <w:color w:val="0000FF"/>
                <w:sz w:val="20"/>
                <w:u w:val="single"/>
                <w:bdr w:val="double" w:sz="2" w:space="1" w:color="000000"/>
              </w:rPr>
              <w:t xml:space="preserve"> the</w:t>
            </w:r>
            <w:r>
              <w:rPr>
                <w:rFonts w:ascii="Times New Roman" w:hAnsi="Times New Roman"/>
                <w:sz w:val="20"/>
              </w:rPr>
              <w:t xml:space="preserve"> investment adviser to</w:t>
            </w:r>
            <w:r>
              <w:rPr>
                <w:rFonts w:ascii="Times New Roman" w:hAnsi="Times New Roman"/>
                <w:strike/>
                <w:color w:val="FF0000"/>
                <w:sz w:val="20"/>
              </w:rPr>
              <w:t xml:space="preserve"> each of</w:t>
            </w:r>
            <w:r>
              <w:rPr>
                <w:rFonts w:ascii="Times New Roman" w:hAnsi="Times New Roman"/>
                <w:sz w:val="20"/>
              </w:rPr>
              <w:t xml:space="preserve"> the Existing Regulated Fund and </w:t>
            </w:r>
            <w:r>
              <w:rPr>
                <w:rFonts w:ascii="Times New Roman" w:hAnsi="Times New Roman"/>
                <w:color w:val="0000FF"/>
                <w:sz w:val="20"/>
                <w:u w:val="single"/>
                <w:bdr w:val="double" w:sz="2" w:space="1" w:color="000000"/>
              </w:rPr>
              <w:t>the</w:t>
            </w:r>
            <w:r>
              <w:rPr>
                <w:rFonts w:ascii="Times New Roman" w:hAnsi="Times New Roman"/>
                <w:sz w:val="20"/>
              </w:rPr>
              <w:t xml:space="preserve"> Existing Affiliated </w:t>
            </w:r>
            <w:r>
              <w:rPr>
                <w:rFonts w:ascii="Times New Roman" w:hAnsi="Times New Roman"/>
                <w:strike/>
                <w:color w:val="FF0000"/>
                <w:sz w:val="20"/>
              </w:rPr>
              <w:t>Entities.</w:t>
            </w:r>
            <w:r>
              <w:rPr>
                <w:rFonts w:ascii="Times New Roman" w:hAnsi="Times New Roman"/>
                <w:color w:val="0000FF"/>
                <w:sz w:val="20"/>
                <w:u w:val="single"/>
                <w:bdr w:val="double" w:sz="2" w:space="1" w:color="000000"/>
              </w:rPr>
              <w:t>Funds (defined below);</w:t>
            </w:r>
            <w:r>
              <w:rPr>
                <w:rFonts w:ascii="Times New Roman" w:hAnsi="Times New Roman"/>
                <w:sz w:val="20"/>
              </w:rPr>
              <w:t xml:space="preserve">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indicated, all section and rule references herein are to the 1940 Act and rules promulgated thereunder.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Investment Corporation, et al. (File No. 812-15496) Release No. IC-35289 (August 2, 2024) (notice), Release No. IC-35309 (August 29, 2024) (order).</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strike/>
                <w:color w:val="FF0000"/>
                <w:sz w:val="13"/>
              </w:rPr>
              <w:t>2</w:t>
            </w:r>
            <w:r>
              <w:rPr>
                <w:color w:val="0000FF"/>
                <w:sz w:val="13"/>
                <w:u w:val="single"/>
                <w:bdr w:val="double" w:sz="2" w:space="1" w:color="000000"/>
              </w:rPr>
              <w:t xml:space="preserve">3 </w:t>
            </w: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term “</w:t>
            </w:r>
            <w:r>
              <w:rPr>
                <w:rFonts w:ascii="Times New Roman" w:hAnsi="Times New Roman"/>
                <w:b/>
                <w:i/>
                <w:sz w:val="20"/>
              </w:rPr>
              <w:t>successor</w:t>
            </w:r>
            <w:r>
              <w:rPr>
                <w:rFonts w:ascii="Times New Roman" w:hAnsi="Times New Roman"/>
                <w:sz w:val="20"/>
              </w:rPr>
              <w:t xml:space="preserve">” means an entity that results from a reorganization into another jurisdiction or change in the type of business organization.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16"/>
        </w:rPr>
      </w:pPr>
      <w:r>
        <w:rPr>
          <w:rFonts w:ascii="Times New Roman" w:hAnsi="Times New Roman"/>
          <w:strike/>
          <w:color w:val="FF0000"/>
          <w:sz w:val="16"/>
        </w:rPr>
        <w:t>The Existing Regulated Fund, KNG and the Existing Affiliated Entities may be referred to herein as the “</w:t>
      </w:r>
      <w:r>
        <w:rPr>
          <w:rFonts w:ascii="Times New Roman" w:hAnsi="Times New Roman"/>
          <w:b/>
          <w:i/>
          <w:strike/>
          <w:color w:val="FF0000"/>
          <w:sz w:val="16"/>
        </w:rPr>
        <w:t>Applicants</w:t>
      </w:r>
      <w:r>
        <w:rPr>
          <w:rFonts w:ascii="Times New Roman" w:hAnsi="Times New Roman"/>
          <w:strike/>
          <w:color w:val="FF0000"/>
          <w:sz w:val="16"/>
        </w:rPr>
        <w:t>.”</w:t>
      </w:r>
      <w:r>
        <w:rPr>
          <w:rFonts w:ascii="Times New Roman" w:hAnsi="Times New Roman"/>
          <w:strike/>
          <w:color w:val="FF0000"/>
          <w:sz w:val="10"/>
        </w:rPr>
        <w:t>3</w:t>
      </w:r>
      <w:r>
        <w:rPr>
          <w:rFonts w:ascii="Times New Roman" w:hAnsi="Times New Roman"/>
          <w:sz w:val="16"/>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investment vehicles (as identified on Schedule B hereto), each of which is a separate and distinct legal</w:t>
            </w:r>
            <w:r>
              <w:rPr>
                <w:rFonts w:ascii="Times New Roman" w:hAnsi="Times New Roman"/>
                <w:sz w:val="20"/>
              </w:rPr>
              <w:t xml:space="preserve"> </w:t>
            </w:r>
            <w:r>
              <w:rPr>
                <w:rFonts w:ascii="Times New Roman" w:hAnsi="Times New Roman"/>
                <w:color w:val="0000FF"/>
                <w:sz w:val="20"/>
                <w:u w:val="single"/>
                <w:bdr w:val="double" w:sz="2" w:space="1" w:color="000000"/>
              </w:rPr>
              <w:t>entity and each of which</w:t>
            </w:r>
            <w:r>
              <w:rPr>
                <w:rFonts w:ascii="Times New Roman" w:hAnsi="Times New Roman"/>
                <w:color w:val="008000"/>
                <w:sz w:val="20"/>
                <w:u w:val="single"/>
                <w:bdr w:val="double" w:sz="2" w:space="1" w:color="000000"/>
              </w:rPr>
              <w:t xml:space="preserve"> would be an investment company but for Section 3(c)(7) of the 1940 Act</w:t>
            </w:r>
            <w:r>
              <w:rPr>
                <w:rFonts w:ascii="Times New Roman" w:hAnsi="Times New Roman"/>
                <w:color w:val="0000FF"/>
                <w:sz w:val="20"/>
                <w:u w:val="single"/>
                <w:bdr w:val="double" w:sz="2" w:space="1" w:color="000000"/>
              </w:rPr>
              <w:t xml:space="preserve"> (the “</w:t>
            </w:r>
            <w:r>
              <w:rPr>
                <w:rFonts w:ascii="Times New Roman" w:hAnsi="Times New Roman"/>
                <w:b/>
                <w:i/>
                <w:color w:val="0000FF"/>
                <w:sz w:val="20"/>
                <w:u w:val="single"/>
                <w:bdr w:val="double" w:sz="2" w:space="1" w:color="000000"/>
              </w:rPr>
              <w:t>Existing Affiliated Funds</w:t>
            </w:r>
            <w:r>
              <w:rPr>
                <w:rFonts w:ascii="Times New Roman" w:hAnsi="Times New Roman"/>
                <w:color w:val="0000FF"/>
                <w:sz w:val="20"/>
                <w:u w:val="single"/>
                <w:bdr w:val="double" w:sz="2" w:space="1" w:color="000000"/>
              </w:rPr>
              <w:t>” and collectively with the Existing Regulated Funds, the Existing Wholly-Owned Subsidiaries, and the Existing Adviser, the “</w:t>
            </w:r>
            <w:r>
              <w:rPr>
                <w:rFonts w:ascii="Times New Roman" w:hAnsi="Times New Roman"/>
                <w:b/>
                <w:i/>
                <w:color w:val="0000FF"/>
                <w:sz w:val="20"/>
                <w:u w:val="single"/>
                <w:bdr w:val="double" w:sz="2" w:space="1" w:color="000000"/>
              </w:rPr>
              <w:t>Applicants</w:t>
            </w:r>
            <w:r>
              <w:rPr>
                <w:rFonts w:ascii="Times New Roman" w:hAnsi="Times New Roman"/>
                <w:color w:val="0000FF"/>
                <w:sz w:val="20"/>
                <w:u w:val="single"/>
                <w:bdr w:val="double" w:sz="2" w:space="1" w:color="000000"/>
              </w:rPr>
              <w:t>”).4</w:t>
            </w:r>
            <w:r>
              <w:rPr>
                <w:rFonts w:ascii="Times New Roman" w:hAnsi="Times New Roman"/>
                <w:sz w:val="20"/>
              </w:rPr>
              <w:t xml:space="preserve">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strike/>
                <w:color w:val="FF0000"/>
              </w:rPr>
            </w:pPr>
            <w:r>
              <w:rPr>
                <w:strike/>
                <w:color w:val="FF0000"/>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trike/>
                <w:color w:val="008000"/>
                <w:sz w:val="20"/>
              </w:rPr>
              <w:t>All existing entities that currently intend to rely upon the requested Order have been named as Applicants. Any other existing or future entity that subsequently relies on the Order will comply with the terms and conditions of the Application.</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color w:val="0000FF"/>
                <w:sz w:val="13"/>
                <w:u w:val="single"/>
                <w:bdr w:val="double" w:sz="2" w:space="1" w:color="000000"/>
              </w:rPr>
              <w:t>4</w:t>
            </w: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color w:val="008000"/>
                <w:sz w:val="20"/>
                <w:u w:val="single"/>
                <w:bdr w:val="double" w:sz="2" w:space="1" w:color="000000"/>
              </w:rPr>
              <w:t>All existing entities that currently intend to rely upon the requested Order have been named as Applicants. Any other existing or future entity that subsequently relies on the Order will comply with the terms and conditions of the Application.</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relief requested in this application for the Order (the “</w:t>
      </w:r>
      <w:r>
        <w:rPr>
          <w:rFonts w:ascii="Times New Roman" w:hAnsi="Times New Roman"/>
          <w:b/>
          <w:i/>
          <w:sz w:val="20"/>
        </w:rPr>
        <w:t>Application</w:t>
      </w:r>
      <w:r>
        <w:rPr>
          <w:rFonts w:ascii="Times New Roman" w:hAnsi="Times New Roman"/>
          <w:sz w:val="20"/>
        </w:rPr>
        <w:t>”) would allow a Regulated Fund</w:t>
      </w:r>
      <w:r>
        <w:rPr>
          <w:rFonts w:ascii="Times New Roman" w:hAnsi="Times New Roman"/>
          <w:strike/>
          <w:color w:val="FF0000"/>
          <w:sz w:val="13"/>
        </w:rPr>
        <w:t>4</w:t>
      </w:r>
      <w:r>
        <w:rPr>
          <w:rFonts w:ascii="Times New Roman" w:hAnsi="Times New Roman"/>
          <w:color w:val="0000FF"/>
          <w:sz w:val="20"/>
          <w:u w:val="single"/>
          <w:bdr w:val="double" w:sz="2" w:space="1" w:color="000000"/>
        </w:rPr>
        <w:t>5</w:t>
      </w:r>
      <w:r>
        <w:rPr>
          <w:rFonts w:ascii="Times New Roman" w:hAnsi="Times New Roman"/>
          <w:sz w:val="20"/>
        </w:rPr>
        <w:t xml:space="preserve"> and one or more Affiliated Entities</w:t>
      </w:r>
      <w:r>
        <w:rPr>
          <w:rFonts w:ascii="Times New Roman" w:hAnsi="Times New Roman"/>
          <w:strike/>
          <w:color w:val="FF0000"/>
          <w:sz w:val="20"/>
        </w:rPr>
        <w:t>5</w:t>
      </w:r>
      <w:r>
        <w:rPr>
          <w:rFonts w:ascii="Times New Roman" w:hAnsi="Times New Roman"/>
          <w:color w:val="0000FF"/>
          <w:sz w:val="20"/>
          <w:u w:val="single"/>
          <w:bdr w:val="double" w:sz="2" w:space="1" w:color="000000"/>
        </w:rPr>
        <w:t>6</w:t>
      </w:r>
      <w:r>
        <w:rPr>
          <w:rFonts w:ascii="Times New Roman" w:hAnsi="Times New Roman"/>
          <w:sz w:val="20"/>
        </w:rPr>
        <w:t xml:space="preserve"> to engage in Co-Investment Transactions</w:t>
      </w:r>
      <w:r>
        <w:rPr>
          <w:rFonts w:ascii="Times New Roman" w:hAnsi="Times New Roman"/>
          <w:strike/>
          <w:color w:val="FF0000"/>
          <w:sz w:val="20"/>
        </w:rPr>
        <w:t>6</w:t>
      </w:r>
      <w:r>
        <w:rPr>
          <w:rFonts w:ascii="Times New Roman" w:hAnsi="Times New Roman"/>
          <w:color w:val="0000FF"/>
          <w:sz w:val="20"/>
          <w:u w:val="single"/>
          <w:bdr w:val="double" w:sz="2" w:space="1" w:color="000000"/>
        </w:rPr>
        <w:t>7</w:t>
      </w:r>
      <w:r>
        <w:rPr>
          <w:rFonts w:ascii="Times New Roman" w:hAnsi="Times New Roman"/>
          <w:sz w:val="20"/>
        </w:rPr>
        <w:t xml:space="preserve"> subject to the terms and conditions described herein. The Regulated Funds and Affiliated Entities that participate in a Co-Investment Transaction are collectively referred to herein as “</w:t>
      </w:r>
      <w:r>
        <w:rPr>
          <w:rFonts w:ascii="Times New Roman" w:hAnsi="Times New Roman"/>
          <w:b/>
          <w:i/>
          <w:sz w:val="20"/>
        </w:rPr>
        <w:t>Participants</w:t>
      </w:r>
      <w:r>
        <w:rPr>
          <w:rFonts w:ascii="Times New Roman" w:hAnsi="Times New Roman"/>
          <w:sz w:val="20"/>
        </w:rPr>
        <w:t>.”</w:t>
      </w:r>
      <w:r>
        <w:rPr>
          <w:rFonts w:ascii="Times New Roman" w:hAnsi="Times New Roman"/>
          <w:strike/>
          <w:color w:val="FF0000"/>
          <w:sz w:val="13"/>
        </w:rPr>
        <w:t>7</w:t>
      </w:r>
      <w:r>
        <w:rPr>
          <w:rFonts w:ascii="Times New Roman" w:hAnsi="Times New Roman"/>
          <w:color w:val="0000FF"/>
          <w:sz w:val="20"/>
          <w:u w:val="single"/>
          <w:bdr w:val="double" w:sz="2" w:space="1" w:color="000000"/>
        </w:rPr>
        <w:t>8</w:t>
      </w:r>
      <w:r>
        <w:rPr>
          <w:rFonts w:ascii="Times New Roman" w:hAnsi="Times New Roman"/>
          <w:sz w:val="20"/>
        </w:rPr>
        <w:t xml:space="preserve"> The Applicants do not seek relief for transactions effected consistent with Commission staff no-action positions.</w:t>
      </w:r>
      <w:r>
        <w:rPr>
          <w:rFonts w:ascii="Times New Roman" w:hAnsi="Times New Roman"/>
          <w:strike/>
          <w:color w:val="FF0000"/>
          <w:sz w:val="20"/>
        </w:rPr>
        <w:t>8</w:t>
      </w:r>
      <w:r>
        <w:rPr>
          <w:rFonts w:ascii="Times New Roman" w:hAnsi="Times New Roman"/>
          <w:color w:val="0000FF"/>
          <w:sz w:val="20"/>
          <w:u w:val="single"/>
          <w:bdr w:val="double" w:sz="2" w:space="1" w:color="000000"/>
        </w:rPr>
        <w:t>9</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color w:val="0000FF"/>
                <w:u w:val="single"/>
                <w:bdr w:val="double" w:sz="2" w:space="1" w:color="000000"/>
              </w:rPr>
              <w:t>II</w:t>
            </w:r>
            <w:r>
              <w:rPr>
                <w:b/>
              </w:rPr>
              <w:t>.</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trike/>
                <w:color w:val="FF0000"/>
                <w:sz w:val="20"/>
              </w:rPr>
              <w:t>II.</w:t>
            </w:r>
            <w:r>
              <w:rPr>
                <w:rFonts w:ascii="Times New Roman" w:hAnsi="Times New Roman"/>
                <w:b/>
                <w:sz w:val="20"/>
              </w:rPr>
              <w:t xml:space="preserve"> </w:t>
            </w:r>
            <w:r>
              <w:rPr>
                <w:rFonts w:ascii="Times New Roman" w:hAnsi="Times New Roman"/>
                <w:b/>
                <w:sz w:val="20"/>
                <w:u w:val="single"/>
              </w:rPr>
              <w:t>GENERAL DESCRIPTION OF THE APPLICANTS</w:t>
            </w:r>
            <w:r>
              <w:rPr>
                <w:rFonts w:ascii="Times New Roman" w:hAnsi="Times New Roman"/>
                <w:b/>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Existing Regulated Fund</w:t>
            </w:r>
            <w:r>
              <w:rPr>
                <w:rFonts w:ascii="Times New Roman" w:hAnsi="Times New Roman"/>
                <w:sz w:val="20"/>
              </w:rPr>
              <w:t xml:space="preserve">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rPr>
              <w:t>4</w:t>
            </w:r>
            <w:r>
              <w:rPr>
                <w:color w:val="0000FF"/>
                <w:u w:val="single"/>
                <w:bdr w:val="double" w:sz="2" w:space="1" w:color="000000"/>
              </w:rPr>
              <w:t>5</w:t>
            </w:r>
          </w:p>
        </w:tc>
        <w:tc>
          <w:tcPr>
            <w:tcW w:w="9798" w:type="dxa"/>
            <w:tcBorders/>
          </w:tcPr>
          <w:p>
            <w:pPr>
              <w:pStyle w:val="TableContents"/>
              <w:bidi w:val="0"/>
              <w:spacing w:before="0" w:after="0"/>
              <w:jc w:val="left"/>
              <w:rPr/>
            </w:pPr>
            <w:r>
              <w:rPr/>
              <w:t>“</w:t>
            </w:r>
            <w:r>
              <w:rPr>
                <w:rFonts w:ascii="Times New Roman" w:hAnsi="Times New Roman"/>
                <w:b/>
                <w:i/>
              </w:rPr>
              <w:t>Regulated Fund</w:t>
            </w:r>
            <w:r>
              <w:rPr>
                <w:rFonts w:ascii="Times New Roman" w:hAnsi="Times New Roman"/>
              </w:rPr>
              <w:t>” means the Existing Regulated Fund and any Future Regulated Funds. “</w:t>
            </w:r>
            <w:r>
              <w:rPr>
                <w:rFonts w:ascii="Times New Roman" w:hAnsi="Times New Roman"/>
                <w:b/>
                <w:i/>
              </w:rPr>
              <w:t>Future Regulated Fund</w:t>
            </w:r>
            <w:r>
              <w:rPr>
                <w:rFonts w:ascii="Times New Roman" w:hAnsi="Times New Roman"/>
              </w:rPr>
              <w:t>” means an entity (or series thereof, as applicable) (a) that is an open-end or closed-end management investment company registered under the 1940 Act, or a closed-end management investment company that has elected to 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 The term Regulated Fund also includes (a) any Wholly-Owned Investment Sub (as defined below) of a Regulated Fund, (b) any Joint Venture (as defined below) of a Regulated Fund, and (c) any BDC Downstream Fund (as defined below) of a Regulated Fund that is a business development company. “</w:t>
            </w:r>
            <w:r>
              <w:rPr>
                <w:rFonts w:ascii="Times New Roman" w:hAnsi="Times New Roman"/>
                <w:b/>
                <w:i/>
              </w:rPr>
              <w:t>Wholly-Owned Investment Sub</w:t>
            </w:r>
            <w:r>
              <w:rPr>
                <w:rFonts w:ascii="Times New Roman" w:hAnsi="Times New Roman"/>
              </w:rPr>
              <w:t>”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w:t>
            </w:r>
            <w:r>
              <w:rPr>
                <w:rFonts w:ascii="Times New Roman" w:hAnsi="Times New Roman"/>
                <w:b/>
                <w:i/>
              </w:rPr>
              <w:t>Joint Venture</w:t>
            </w:r>
            <w:r>
              <w:rPr>
                <w:rFonts w:ascii="Times New Roman" w:hAnsi="Times New Roman"/>
              </w:rPr>
              <w:t>”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 w:hAnsi="Times New Roman"/>
                <w:b/>
                <w:i/>
              </w:rPr>
              <w:t>BDC Downstream Fund</w:t>
            </w:r>
            <w:r>
              <w:rPr>
                <w:rFonts w:ascii="Times New Roman" w:hAnsi="Times New Roman"/>
              </w:rPr>
              <w:t xml:space="preserve">”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 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rPr>
              <w:t>5</w:t>
            </w:r>
            <w:r>
              <w:rPr>
                <w:color w:val="0000FF"/>
                <w:u w:val="single"/>
                <w:bdr w:val="double" w:sz="2" w:space="1" w:color="000000"/>
              </w:rPr>
              <w:t>6</w:t>
            </w:r>
          </w:p>
        </w:tc>
        <w:tc>
          <w:tcPr>
            <w:tcW w:w="9798" w:type="dxa"/>
            <w:tcBorders/>
          </w:tcPr>
          <w:p>
            <w:pPr>
              <w:pStyle w:val="TableContents"/>
              <w:bidi w:val="0"/>
              <w:spacing w:before="0" w:after="0"/>
              <w:jc w:val="left"/>
              <w:rPr/>
            </w:pPr>
            <w:r>
              <w:rPr/>
              <w:t>“</w:t>
            </w:r>
            <w:r>
              <w:rPr>
                <w:rFonts w:ascii="Times New Roman" w:hAnsi="Times New Roman"/>
                <w:b/>
                <w:i/>
              </w:rPr>
              <w:t>Affiliated Entity</w:t>
            </w:r>
            <w:r>
              <w:rPr>
                <w:rFonts w:ascii="Times New Roman" w:hAnsi="Times New Roman"/>
              </w:rPr>
              <w:t xml:space="preserve">” means an entity not controlled by a Regulated Fund that intends to engage in Co-Investment Transactions and that is (a) with respect to a Regulated Fund, another Regulated Fund; (b) an Adviser or its affiliates, and any direct or indirect, wholly- or majority-owned subsidiary of an Adviser or its affiliates, that is participating in a Co-Investment Transaction in a principal capacity; or (c) any entity that would be an investment company but for Section 3(c) of the 1940 Act or Rule 3a-7 thereunder and whose investment adviser is an Adviser. To the extent that an entity described in clause (b) is not advised by an Adviser, such entity shall be deemed to be an Adviser for purposes of the conditions.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rPr>
              <w:t>6</w:t>
            </w:r>
            <w:r>
              <w:rPr>
                <w:color w:val="0000FF"/>
                <w:u w:val="single"/>
                <w:bdr w:val="double" w:sz="2" w:space="1" w:color="000000"/>
              </w:rPr>
              <w:t>7</w:t>
            </w:r>
          </w:p>
        </w:tc>
        <w:tc>
          <w:tcPr>
            <w:tcW w:w="9798" w:type="dxa"/>
            <w:tcBorders/>
          </w:tcPr>
          <w:p>
            <w:pPr>
              <w:pStyle w:val="TableContents"/>
              <w:bidi w:val="0"/>
              <w:spacing w:before="0" w:after="0"/>
              <w:jc w:val="left"/>
              <w:rPr/>
            </w:pPr>
            <w:r>
              <w:rPr/>
              <w:t>“</w:t>
            </w:r>
            <w:r>
              <w:rPr>
                <w:rFonts w:ascii="Times New Roman" w:hAnsi="Times New Roman"/>
                <w:b/>
                <w:i/>
              </w:rPr>
              <w:t>Co-Investment Transaction</w:t>
            </w:r>
            <w:r>
              <w:rPr>
                <w:rFonts w:ascii="Times New Roman" w:hAnsi="Times New Roman"/>
              </w:rPr>
              <w:t xml:space="preserve">” means the acquisition or Disposition of securities of an issuer in a transaction effected in reliance on the Order or previously granted relief.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strike/>
                <w:color w:val="FF0000"/>
              </w:rPr>
              <w:t>7</w:t>
            </w:r>
            <w:r>
              <w:rPr>
                <w:color w:val="0000FF"/>
                <w:u w:val="single"/>
                <w:bdr w:val="double" w:sz="2" w:space="1" w:color="000000"/>
              </w:rPr>
              <w:t>8</w:t>
            </w:r>
          </w:p>
        </w:tc>
        <w:tc>
          <w:tcPr>
            <w:tcW w:w="9799" w:type="dxa"/>
            <w:tcBorders/>
          </w:tcPr>
          <w:p>
            <w:pPr>
              <w:pStyle w:val="TableContents"/>
              <w:bidi w:val="0"/>
              <w:spacing w:before="0" w:after="0"/>
              <w:jc w:val="left"/>
              <w:rPr/>
            </w:pPr>
            <w:r>
              <w:rPr/>
              <w:t>“</w:t>
            </w:r>
            <w:r>
              <w:rPr>
                <w:rFonts w:ascii="Times New Roman" w:hAnsi="Times New Roman"/>
                <w:b/>
                <w:i/>
              </w:rPr>
              <w:t>Adviser</w:t>
            </w:r>
            <w:r>
              <w:rPr>
                <w:rFonts w:ascii="Times New Roman" w:hAnsi="Times New Roman"/>
              </w:rPr>
              <w:t>” means</w:t>
            </w:r>
            <w:r>
              <w:rPr>
                <w:rFonts w:ascii="Times New Roman" w:hAnsi="Times New Roman"/>
                <w:strike/>
                <w:color w:val="FF0000"/>
              </w:rPr>
              <w:t xml:space="preserve"> KNG</w:t>
            </w:r>
            <w:r>
              <w:rPr>
                <w:rFonts w:ascii="Times New Roman" w:hAnsi="Times New Roman"/>
                <w:color w:val="0000FF"/>
                <w:u w:val="single"/>
                <w:bdr w:val="double" w:sz="2" w:space="1" w:color="000000"/>
              </w:rPr>
              <w:t>the Existing Adviser,</w:t>
            </w:r>
            <w:r>
              <w:rPr>
                <w:rFonts w:ascii="Times New Roman" w:hAnsi="Times New Roman"/>
              </w:rPr>
              <w:t xml:space="preserve"> and any other investment adviser controlling, controlled by, or under common control with </w:t>
            </w:r>
            <w:r>
              <w:rPr>
                <w:rFonts w:ascii="Times New Roman" w:hAnsi="Times New Roman"/>
                <w:strike/>
                <w:color w:val="FF0000"/>
              </w:rPr>
              <w:t>KNG</w:t>
            </w:r>
            <w:r>
              <w:rPr>
                <w:rFonts w:ascii="Times New Roman" w:hAnsi="Times New Roman"/>
                <w:color w:val="0000FF"/>
                <w:u w:val="single"/>
                <w:bdr w:val="double" w:sz="2" w:space="1" w:color="000000"/>
              </w:rPr>
              <w:t>the Existing Adviser</w:t>
            </w:r>
            <w:r>
              <w:rPr>
                <w:rFonts w:ascii="Times New Roman" w:hAnsi="Times New Roman"/>
              </w:rPr>
              <w:t xml:space="preserve">. The term “Adviser” also includes any internally-managed Regulated Fund.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rPr>
              <w:t>8</w:t>
            </w:r>
            <w:r>
              <w:rPr>
                <w:color w:val="0000FF"/>
                <w:u w:val="single"/>
                <w:bdr w:val="double" w:sz="2" w:space="1" w:color="000000"/>
              </w:rPr>
              <w:t>9</w:t>
            </w:r>
          </w:p>
        </w:tc>
        <w:tc>
          <w:tcPr>
            <w:tcW w:w="9798" w:type="dxa"/>
            <w:tcBorders/>
          </w:tcPr>
          <w:p>
            <w:pPr>
              <w:pStyle w:val="TableContents"/>
              <w:bidi w:val="0"/>
              <w:spacing w:before="0" w:after="0"/>
              <w:jc w:val="left"/>
              <w:rPr>
                <w:rFonts w:ascii="Times New Roman" w:hAnsi="Times New Roman"/>
              </w:rPr>
            </w:pPr>
            <w:r>
              <w:rPr>
                <w:rFonts w:ascii="Times New Roman" w:hAnsi="Times New Roman"/>
                <w:b/>
                <w:i/>
              </w:rPr>
              <w:t>See, e.g.</w:t>
            </w:r>
            <w:r>
              <w:rPr>
                <w:rFonts w:ascii="Times New Roman" w:hAnsi="Times New Roman"/>
              </w:rPr>
              <w:t xml:space="preserve">, Massachusetts Mutual Life Insurance Co. (pub. avail. June 7, 2000), Massachusetts Mutual Life Insurance Co. (pub. avail. July 28, 2000) and SMC Capital, Inc. (pub. avail. Sept. 5, 1995).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Existing Regulated Fund was organized under the General Corporate Laws of the state of Maryland on February 14, 2011, for the purpose of operating as an externally-managed, non-diversified</w:t>
      </w:r>
      <w:r>
        <w:rPr>
          <w:rFonts w:ascii="Times New Roman" w:hAnsi="Times New Roman"/>
          <w:color w:val="008000"/>
          <w:sz w:val="20"/>
          <w:u w:val="single"/>
          <w:bdr w:val="double" w:sz="2" w:space="1" w:color="000000"/>
        </w:rPr>
        <w:t>, closed-end management investment company that</w:t>
      </w:r>
      <w:r>
        <w:rPr>
          <w:rFonts w:ascii="Times New Roman" w:hAnsi="Times New Roman"/>
          <w:color w:val="0000FF"/>
          <w:sz w:val="20"/>
          <w:u w:val="single"/>
          <w:bdr w:val="double" w:sz="2" w:space="1" w:color="000000"/>
        </w:rPr>
        <w:t xml:space="preserve"> has elected to be regulated as a business development company under the 1940 Act. The Existing Regulated Fund completed its initial public offering on June 24, 2011, and its common stock is traded on the NASDAQ Global Market under the symbol “FDUS.” The Existing Regulated Fund has elected and intends to qualify annually to be treated as a regulated investment company under Sub-Chapter M of the Internal Revenue Code of 1986, as amended. The Existing Regulated Fund’s principal place of business is 1603 Orrington Avenue, Suite 1005, Evanston, Illinois 60201.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The Existing Regulated Fund’s investment objective is to provide attractive risk-adjusted returns by generating both current income from its debt investments and capital appreciation from its equity related investments. The Existing Regulated Fund may invest in the equity securities of our portfolio companies, such as preferred stock, common stock, warrants and other equity interests, either directly or in conjunction with its debt investments. The Existing Regulated Fund has a five-member board (the “</w:t>
      </w:r>
      <w:r>
        <w:rPr>
          <w:rFonts w:ascii="Times New Roman" w:hAnsi="Times New Roman"/>
          <w:b/>
          <w:i/>
          <w:color w:val="0000FF"/>
          <w:sz w:val="20"/>
          <w:u w:val="single"/>
          <w:bdr w:val="double" w:sz="2" w:space="1" w:color="000000"/>
        </w:rPr>
        <w:t>Existing Regulated Fund Board</w:t>
      </w:r>
      <w:r>
        <w:rPr>
          <w:rFonts w:ascii="Times New Roman" w:hAnsi="Times New Roman"/>
          <w:color w:val="0000FF"/>
          <w:sz w:val="20"/>
          <w:u w:val="single"/>
          <w:bdr w:val="double" w:sz="2" w:space="1" w:color="000000"/>
        </w:rPr>
        <w:t>,” and, together with any Future Regulated Fund’s board of directors, the “</w:t>
      </w:r>
      <w:r>
        <w:rPr>
          <w:rFonts w:ascii="Times New Roman" w:hAnsi="Times New Roman"/>
          <w:b/>
          <w:i/>
          <w:color w:val="0000FF"/>
          <w:sz w:val="20"/>
          <w:u w:val="single"/>
          <w:bdr w:val="double" w:sz="2" w:space="1" w:color="000000"/>
        </w:rPr>
        <w:t>Board</w:t>
      </w:r>
      <w:r>
        <w:rPr>
          <w:rFonts w:ascii="Times New Roman" w:hAnsi="Times New Roman"/>
          <w:color w:val="0000FF"/>
          <w:sz w:val="20"/>
          <w:u w:val="single"/>
          <w:bdr w:val="double" w:sz="2" w:space="1" w:color="000000"/>
        </w:rPr>
        <w:t>”), of which three members are not “interested” persons of the Existing Fund within the meaning of Section 2(a)(19) of the 1940 Act.</w:t>
      </w:r>
      <w:r>
        <w:rPr>
          <w:rFonts w:ascii="Times New Roman" w:hAnsi="Times New Roman"/>
          <w:sz w:val="20"/>
        </w:rPr>
        <w:t xml:space="preserve">10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color w:val="0000FF"/>
                <w:u w:val="single"/>
                <w:bdr w:val="double" w:sz="2" w:space="1" w:color="000000"/>
              </w:rPr>
              <w:t>B</w:t>
            </w: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Existing Wholly-Owned Subsidiaries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Each of the Existing Wholly-Owned Subsidiaries is a direct or indirect wholly-owned subsidiary of the Existing Regulated Fund whose sole business purpose is to hold one or more investments on behalf of the Existing Regulated Fund. Each of the Existing Wholly-Owned Subsidiaries is a separate and distinct legal entity. The Existing Wholly-Owned Subsidiaries have investment objectives and strategies that are substantially the same as, or a subset of, those of the Existing Regulated Fund. The Existing Wholly-Owned Subsidiaries are not registered investment companies or business development companies.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strike/>
                <w:color w:val="FF0000"/>
              </w:rPr>
            </w:pPr>
            <w:r>
              <w:rPr>
                <w:strike/>
                <w:color w:val="FF0000"/>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Keystone Private Income Fund</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trike/>
          <w:color w:val="FF0000"/>
          <w:sz w:val="20"/>
        </w:rPr>
        <w:t>KPIF was organized on August 27, 2019 as Keystone Private Income Fund, a Delaware statutory trust, and commenced operations on July 1, 2020. KPIF has elected to be treated as a regulated investment company (“</w:t>
      </w:r>
      <w:r>
        <w:rPr>
          <w:rFonts w:ascii="Times New Roman" w:hAnsi="Times New Roman"/>
          <w:b/>
          <w:i/>
          <w:strike/>
          <w:color w:val="FF0000"/>
          <w:sz w:val="20"/>
        </w:rPr>
        <w:t>RIC</w:t>
      </w:r>
      <w:r>
        <w:rPr>
          <w:rFonts w:ascii="Times New Roman" w:hAnsi="Times New Roman"/>
          <w:strike/>
          <w:color w:val="FF0000"/>
          <w:sz w:val="20"/>
        </w:rPr>
        <w:t>”) under Subchapter M of the Internal Revenue Code of 1986, as amended, and intends to continue to so qualify. KPIF’s principal place of business is 60 E. South Temple, Suite 2100, Salt Lake City, Utah 84111.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KPIF’s primary investment objective is to produce current income. KNG manages the KPIF’s portfolio with a view toward producing current income, managing liquidity and protecting against downside scenarios. KNG serves as the primary investment adviser to KPIF.</w:t>
      </w:r>
      <w:r>
        <w:rPr>
          <w:rFonts w:ascii="Times New Roman" w:hAnsi="Times New Roman"/>
          <w:sz w:val="20"/>
        </w:rPr>
        <w:t xml:space="preserve"> </w:t>
      </w:r>
    </w:p>
    <w:p>
      <w:pPr>
        <w:pStyle w:val="TextBody"/>
        <w:bidi w:val="0"/>
        <w:spacing w:before="240" w:after="0"/>
        <w:jc w:val="left"/>
        <w:rPr>
          <w:rFonts w:ascii="Times New Roman" w:hAnsi="Times New Roman"/>
          <w:sz w:val="16"/>
        </w:rPr>
      </w:pPr>
      <w:r>
        <w:rPr>
          <w:rFonts w:ascii="Times New Roman" w:hAnsi="Times New Roman"/>
          <w:strike/>
          <w:color w:val="FF0000"/>
          <w:sz w:val="16"/>
        </w:rPr>
        <w:t>KPIF has a 4-member board (the “</w:t>
      </w:r>
      <w:r>
        <w:rPr>
          <w:rFonts w:ascii="Times New Roman" w:hAnsi="Times New Roman"/>
          <w:b/>
          <w:i/>
          <w:strike/>
          <w:color w:val="FF0000"/>
          <w:sz w:val="16"/>
        </w:rPr>
        <w:t>KPIF Board</w:t>
      </w:r>
      <w:r>
        <w:rPr>
          <w:rFonts w:ascii="Times New Roman" w:hAnsi="Times New Roman"/>
          <w:strike/>
          <w:color w:val="FF0000"/>
          <w:sz w:val="16"/>
        </w:rPr>
        <w:t>”), of which 3 members are not “interested persons” of KPIF within the meaning of Section 2(a)(19) of the 1940 Act.</w:t>
      </w:r>
      <w:r>
        <w:rPr>
          <w:rFonts w:ascii="Times New Roman" w:hAnsi="Times New Roman"/>
          <w:strike/>
          <w:color w:val="FF0000"/>
          <w:sz w:val="10"/>
        </w:rPr>
        <w:t>9</w:t>
      </w:r>
      <w:r>
        <w:rPr>
          <w:rFonts w:ascii="Times New Roman" w:hAnsi="Times New Roman"/>
          <w:sz w:val="16"/>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strike/>
                <w:color w:val="FF0000"/>
              </w:rPr>
            </w:pPr>
            <w:r>
              <w:rPr>
                <w:strike/>
                <w:color w:val="FF0000"/>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Keystone National Group, LLC</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trike/>
          <w:color w:val="FF0000"/>
          <w:sz w:val="20"/>
        </w:rPr>
        <w:t>KNG serves as the investment adviser</w:t>
      </w:r>
      <w:r>
        <w:rPr>
          <w:rFonts w:ascii="Times New Roman" w:hAnsi="Times New Roman"/>
          <w:strike/>
          <w:color w:val="008000"/>
          <w:sz w:val="20"/>
        </w:rPr>
        <w:t xml:space="preserve"> of the Existing Regulated Fund</w:t>
      </w:r>
      <w:r>
        <w:rPr>
          <w:rFonts w:ascii="Times New Roman" w:hAnsi="Times New Roman"/>
          <w:strike/>
          <w:color w:val="FF0000"/>
          <w:sz w:val="20"/>
        </w:rPr>
        <w:t xml:space="preserve"> and the Existing Affiliated Entities, and either it or another Adviser will serve as the investment adviser to any Future Regulated Fund. KNG is a Delaware limited liability company that</w:t>
      </w:r>
      <w:r>
        <w:rPr>
          <w:rFonts w:ascii="Times New Roman" w:hAnsi="Times New Roman"/>
          <w:strike/>
          <w:color w:val="008000"/>
          <w:sz w:val="20"/>
        </w:rPr>
        <w:t xml:space="preserve"> is registered with the</w:t>
      </w:r>
      <w:r>
        <w:rPr>
          <w:rFonts w:ascii="Times New Roman" w:hAnsi="Times New Roman"/>
          <w:sz w:val="20"/>
        </w:rPr>
        <w:t xml:space="preserve"> </w:t>
      </w:r>
      <w:r>
        <w:rPr>
          <w:rFonts w:ascii="Times New Roman" w:hAnsi="Times New Roman"/>
          <w:strike/>
          <w:color w:val="008000"/>
          <w:sz w:val="20"/>
        </w:rPr>
        <w:t>Commission as an investment adviser under the Advisers Act.</w:t>
      </w:r>
      <w:r>
        <w:rPr>
          <w:rFonts w:ascii="Times New Roman" w:hAnsi="Times New Roman"/>
          <w:strike/>
          <w:color w:val="FF0000"/>
          <w:sz w:val="20"/>
        </w:rPr>
        <w:t xml:space="preserve"> On the date of this Application, KNG’s clients that intend to rely on the Order are</w:t>
      </w:r>
      <w:r>
        <w:rPr>
          <w:rFonts w:ascii="Times New Roman" w:hAnsi="Times New Roman"/>
          <w:strike/>
          <w:color w:val="008000"/>
          <w:sz w:val="20"/>
        </w:rPr>
        <w:t xml:space="preserve"> the Existing Regulated Fund and</w:t>
      </w:r>
      <w:r>
        <w:rPr>
          <w:rFonts w:ascii="Times New Roman" w:hAnsi="Times New Roman"/>
          <w:strike/>
          <w:color w:val="FF0000"/>
          <w:sz w:val="20"/>
        </w:rPr>
        <w:t xml:space="preserve"> each of KRELF and KREIT, which will co-invest with KPIF.</w:t>
      </w:r>
      <w:r>
        <w:rPr>
          <w:rFonts w:ascii="Times New Roman" w:hAnsi="Times New Roman"/>
          <w:sz w:val="20"/>
        </w:rPr>
        <w:t xml:space="preserv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10 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color w:val="008000"/>
                <w:sz w:val="20"/>
                <w:u w:val="single"/>
                <w:bdr w:val="double" w:sz="2" w:space="1" w:color="000000"/>
              </w:rPr>
              <w:t>The Board of each Future Regulated Fund will consist of a majority of members who are not “interested persons” of such Future Regulated Fund within the meaning of Section 2(a)(19) of the 1940 Act.</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strike/>
                <w:color w:val="FF0000"/>
              </w:rPr>
            </w:pPr>
            <w:r>
              <w:rPr>
                <w:strike/>
                <w:color w:val="FF0000"/>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trike/>
                <w:color w:val="008000"/>
                <w:sz w:val="20"/>
              </w:rPr>
              <w:t>The Board of each Future Regulated Fund will consist of a majority of members who are not “interested persons” of such Future Regulated Fund within the meaning of Section 2(a)(19) of the 1940 Act.</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FF0000"/>
          <w:sz w:val="20"/>
        </w:rPr>
        <w:t>KNG is a private markets investment manager providing diversified investment products and strategies with a focus on current income, contractual cash flows and strong downside protection. KNG is headquartered in Salt Lake City, Utah and also has an office in Dallas, Texas.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Under</w:t>
      </w:r>
      <w:r>
        <w:rPr>
          <w:rFonts w:ascii="Times New Roman" w:hAnsi="Times New Roman"/>
          <w:strike/>
          <w:color w:val="008000"/>
          <w:sz w:val="20"/>
        </w:rPr>
        <w:t xml:space="preserve"> the terms of an investment advisory agreement</w:t>
      </w:r>
      <w:r>
        <w:rPr>
          <w:rFonts w:ascii="Times New Roman" w:hAnsi="Times New Roman"/>
          <w:strike/>
          <w:color w:val="FF0000"/>
          <w:sz w:val="20"/>
        </w:rPr>
        <w:t xml:space="preserve"> with the Existing Regulated Fund, and each Existing Affiliated Entities, respectively, KNG will, among other things, manage the investment portfolio, direct purchases and sales of portfolio securities and report thereon to the Existing Regulated Fund’s officers and directors/trustees regularly.</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color w:val="0000FF"/>
                <w:u w:val="single"/>
                <w:bdr w:val="double" w:sz="2" w:space="1" w:color="000000"/>
              </w:rPr>
              <w:t>C</w:t>
            </w: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C.</w:t>
            </w:r>
            <w:r>
              <w:rPr>
                <w:rFonts w:ascii="Times New Roman" w:hAnsi="Times New Roman"/>
                <w:sz w:val="20"/>
              </w:rPr>
              <w:t xml:space="preserve"> </w:t>
            </w:r>
            <w:r>
              <w:rPr>
                <w:rFonts w:ascii="Times New Roman" w:hAnsi="Times New Roman"/>
                <w:color w:val="0000FF"/>
                <w:sz w:val="20"/>
                <w:u w:val="single"/>
                <w:bdr w:val="double" w:sz="2" w:space="1" w:color="000000"/>
              </w:rPr>
              <w:t>The</w:t>
            </w:r>
            <w:r>
              <w:rPr>
                <w:rFonts w:ascii="Times New Roman" w:hAnsi="Times New Roman"/>
                <w:sz w:val="20"/>
              </w:rPr>
              <w:t xml:space="preserve"> </w:t>
            </w:r>
            <w:r>
              <w:rPr>
                <w:rFonts w:ascii="Times New Roman" w:hAnsi="Times New Roman"/>
                <w:sz w:val="20"/>
                <w:u w:val="single"/>
              </w:rPr>
              <w:t>Existing Affiliated</w:t>
            </w:r>
            <w:r>
              <w:rPr>
                <w:rFonts w:ascii="Times New Roman" w:hAnsi="Times New Roman"/>
                <w:strike/>
                <w:color w:val="FF0000"/>
                <w:sz w:val="20"/>
              </w:rPr>
              <w:t xml:space="preserve"> Entities</w:t>
            </w:r>
            <w:r>
              <w:rPr>
                <w:rFonts w:ascii="Times New Roman" w:hAnsi="Times New Roman"/>
                <w:color w:val="0000FF"/>
                <w:sz w:val="20"/>
                <w:u w:val="single"/>
                <w:bdr w:val="double" w:sz="2" w:space="1" w:color="000000"/>
              </w:rPr>
              <w:t>Funds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trike/>
          <w:color w:val="FF0000"/>
          <w:sz w:val="20"/>
        </w:rPr>
        <w:t>Each</w:t>
      </w:r>
      <w:r>
        <w:rPr>
          <w:rFonts w:ascii="Times New Roman" w:hAnsi="Times New Roman"/>
          <w:color w:val="0000FF"/>
          <w:sz w:val="20"/>
          <w:u w:val="single"/>
          <w:bdr w:val="double" w:sz="2" w:space="1" w:color="000000"/>
        </w:rPr>
        <w:t>The</w:t>
      </w:r>
      <w:r>
        <w:rPr>
          <w:rFonts w:ascii="Times New Roman" w:hAnsi="Times New Roman"/>
          <w:sz w:val="20"/>
        </w:rPr>
        <w:t xml:space="preserve"> Existing Affiliated </w:t>
      </w:r>
      <w:r>
        <w:rPr>
          <w:rFonts w:ascii="Times New Roman" w:hAnsi="Times New Roman"/>
          <w:strike/>
          <w:color w:val="FF0000"/>
          <w:sz w:val="20"/>
        </w:rPr>
        <w:t>Entity is a Delaware limited liability company or limited partnership that is a privately-offered fund that would be an “</w:t>
      </w:r>
      <w:r>
        <w:rPr>
          <w:rFonts w:ascii="Times New Roman" w:hAnsi="Times New Roman"/>
          <w:color w:val="0000FF"/>
          <w:sz w:val="20"/>
          <w:u w:val="single"/>
          <w:bdr w:val="double" w:sz="2" w:space="1" w:color="000000"/>
        </w:rPr>
        <w:t>Funds are investment funds, each of whose investment adviser is an Adviser and each of which would be an</w:t>
      </w:r>
      <w:r>
        <w:rPr>
          <w:rFonts w:ascii="Times New Roman" w:hAnsi="Times New Roman"/>
          <w:sz w:val="20"/>
        </w:rPr>
        <w:t xml:space="preserve"> investment company</w:t>
      </w:r>
      <w:r>
        <w:rPr>
          <w:rFonts w:ascii="Times New Roman" w:hAnsi="Times New Roman"/>
          <w:strike/>
          <w:color w:val="FF0000"/>
          <w:sz w:val="20"/>
        </w:rPr>
        <w:t>”</w:t>
      </w:r>
      <w:r>
        <w:rPr>
          <w:rFonts w:ascii="Times New Roman" w:hAnsi="Times New Roman"/>
          <w:sz w:val="20"/>
        </w:rPr>
        <w:t xml:space="preserve"> but for Section 3(c)(</w:t>
      </w:r>
      <w:r>
        <w:rPr>
          <w:rFonts w:ascii="Times New Roman" w:hAnsi="Times New Roman"/>
          <w:strike/>
          <w:color w:val="FF0000"/>
          <w:sz w:val="20"/>
        </w:rPr>
        <w:t>1), Section 3(c)(5) or Section 3(c)(</w:t>
      </w:r>
      <w:r>
        <w:rPr>
          <w:rFonts w:ascii="Times New Roman" w:hAnsi="Times New Roman"/>
          <w:sz w:val="20"/>
        </w:rPr>
        <w:t>7) of the 1940 Act.</w:t>
      </w:r>
      <w:r>
        <w:rPr>
          <w:rFonts w:ascii="Times New Roman" w:hAnsi="Times New Roman"/>
          <w:strike/>
          <w:color w:val="FF0000"/>
          <w:sz w:val="20"/>
        </w:rPr>
        <w:t>10</w:t>
      </w:r>
      <w:r>
        <w:rPr>
          <w:rFonts w:ascii="Times New Roman" w:hAnsi="Times New Roman"/>
          <w:color w:val="0000FF"/>
          <w:sz w:val="13"/>
          <w:u w:val="single"/>
          <w:bdr w:val="double" w:sz="2" w:space="1" w:color="000000"/>
        </w:rPr>
        <w:t>11</w:t>
      </w:r>
      <w:r>
        <w:rPr>
          <w:rFonts w:ascii="Times New Roman" w:hAnsi="Times New Roman"/>
          <w:color w:val="0000FF"/>
          <w:sz w:val="20"/>
          <w:u w:val="single"/>
          <w:bdr w:val="double" w:sz="2" w:space="1" w:color="000000"/>
        </w:rPr>
        <w:t xml:space="preserve"> A list of the Existing Affiliated Funds and their respective investment advisers is included on Schedule B hereto.</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color w:val="0000FF"/>
                <w:u w:val="single"/>
                <w:bdr w:val="double" w:sz="2" w:space="1" w:color="000000"/>
              </w:rPr>
              <w:t>D</w:t>
            </w: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Existing Adviser</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trike/>
          <w:color w:val="FF0000"/>
          <w:sz w:val="20"/>
        </w:rPr>
        <w:t>KPMO IX and KPMO IX Q were organized in July 2018 and March 2019, respectively, as Delaware limited partnerships. Their primary investment objective is to produce current income.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KRELF was organized in November 2014 as a Delaware limited partnership and reorganized in January 2024 as a Delaware limited liability company. KRELF’s primary investment objective is to produce current income.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KREIT</w:t>
      </w:r>
      <w:r>
        <w:rPr>
          <w:rFonts w:ascii="Times New Roman" w:hAnsi="Times New Roman"/>
          <w:color w:val="0000FF"/>
          <w:sz w:val="20"/>
          <w:u w:val="single"/>
          <w:bdr w:val="double" w:sz="2" w:space="1" w:color="000000"/>
        </w:rPr>
        <w:t>The Existing Adviser</w:t>
      </w:r>
      <w:r>
        <w:rPr>
          <w:rFonts w:ascii="Times New Roman" w:hAnsi="Times New Roman"/>
          <w:sz w:val="20"/>
        </w:rPr>
        <w:t xml:space="preserve"> was organized </w:t>
      </w:r>
      <w:r>
        <w:rPr>
          <w:rFonts w:ascii="Times New Roman" w:hAnsi="Times New Roman"/>
          <w:strike/>
          <w:color w:val="FF0000"/>
          <w:sz w:val="20"/>
        </w:rPr>
        <w:t>in January 2024</w:t>
      </w:r>
      <w:r>
        <w:rPr>
          <w:rFonts w:ascii="Times New Roman" w:hAnsi="Times New Roman"/>
          <w:sz w:val="20"/>
        </w:rPr>
        <w:t xml:space="preserve"> as a </w:t>
      </w:r>
      <w:r>
        <w:rPr>
          <w:rFonts w:ascii="Times New Roman" w:hAnsi="Times New Roman"/>
          <w:strike/>
          <w:color w:val="FF0000"/>
          <w:sz w:val="20"/>
        </w:rPr>
        <w:t>Delaware</w:t>
      </w:r>
      <w:r>
        <w:rPr>
          <w:rFonts w:ascii="Times New Roman" w:hAnsi="Times New Roman"/>
          <w:sz w:val="20"/>
        </w:rPr>
        <w:t xml:space="preserve"> limited liability company</w:t>
      </w:r>
      <w:r>
        <w:rPr>
          <w:rFonts w:ascii="Times New Roman" w:hAnsi="Times New Roman"/>
          <w:strike/>
          <w:color w:val="FF0000"/>
          <w:sz w:val="20"/>
        </w:rPr>
        <w:t>. KREIT’s primary investment objective is to produce current income and capital appreciation through select real estate investments</w:t>
      </w:r>
      <w:r>
        <w:rPr>
          <w:rFonts w:ascii="Times New Roman" w:hAnsi="Times New Roman"/>
          <w:color w:val="0000FF"/>
          <w:sz w:val="20"/>
          <w:u w:val="single"/>
          <w:bdr w:val="double" w:sz="2" w:space="1" w:color="000000"/>
        </w:rPr>
        <w:t xml:space="preserve"> under the laws of the state of Delaware, and is privately held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The Existing Adviser</w:t>
      </w:r>
      <w:r>
        <w:rPr>
          <w:rFonts w:ascii="Times New Roman" w:hAnsi="Times New Roman"/>
          <w:color w:val="008000"/>
          <w:sz w:val="20"/>
          <w:u w:val="single"/>
          <w:bdr w:val="double" w:sz="2" w:space="1" w:color="000000"/>
        </w:rPr>
        <w:t xml:space="preserve"> is registered with the Commission as an investment adviser under the Advisers Act.</w:t>
      </w:r>
      <w:r>
        <w:rPr>
          <w:rFonts w:ascii="Times New Roman" w:hAnsi="Times New Roman"/>
          <w:color w:val="0000FF"/>
          <w:sz w:val="20"/>
          <w:u w:val="single"/>
          <w:bdr w:val="double" w:sz="2" w:space="1" w:color="000000"/>
        </w:rPr>
        <w:t xml:space="preserve"> The Existing Adviser manages the consolidated assets of</w:t>
      </w:r>
      <w:r>
        <w:rPr>
          <w:rFonts w:ascii="Times New Roman" w:hAnsi="Times New Roman"/>
          <w:color w:val="008000"/>
          <w:sz w:val="20"/>
          <w:u w:val="single"/>
          <w:bdr w:val="double" w:sz="2" w:space="1" w:color="000000"/>
        </w:rPr>
        <w:t xml:space="preserve"> the Existing Regulated Fund and</w:t>
      </w:r>
      <w:r>
        <w:rPr>
          <w:rFonts w:ascii="Times New Roman" w:hAnsi="Times New Roman"/>
          <w:color w:val="0000FF"/>
          <w:sz w:val="20"/>
          <w:u w:val="single"/>
          <w:bdr w:val="double" w:sz="2" w:space="1" w:color="000000"/>
        </w:rPr>
        <w:t xml:space="preserve"> serves as the investment adviser to the Existing Regulated Fund pursuant to</w:t>
      </w:r>
      <w:r>
        <w:rPr>
          <w:rFonts w:ascii="Times New Roman" w:hAnsi="Times New Roman"/>
          <w:color w:val="008000"/>
          <w:sz w:val="20"/>
          <w:u w:val="single"/>
          <w:bdr w:val="double" w:sz="2" w:space="1" w:color="000000"/>
        </w:rPr>
        <w:t xml:space="preserve"> the terms of an investment advisory agreement</w:t>
      </w:r>
      <w:r>
        <w:rPr>
          <w:rFonts w:ascii="Times New Roman" w:hAnsi="Times New Roman"/>
          <w:color w:val="0000FF"/>
          <w:sz w:val="20"/>
          <w:u w:val="single"/>
          <w:bdr w:val="double" w:sz="2" w:space="1" w:color="000000"/>
        </w:rPr>
        <w:t xml:space="preserve"> that has been approved by the Board. The Existing Adviser also advises the Existing Affiliated Funds.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color w:val="0000FF"/>
                <w:u w:val="single"/>
                <w:bdr w:val="double" w:sz="2" w:space="1" w:color="000000"/>
              </w:rPr>
              <w:t>III</w:t>
            </w:r>
            <w:r>
              <w:rPr>
                <w:b/>
              </w:rPr>
              <w:t>.</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trike/>
                <w:color w:val="FF0000"/>
                <w:sz w:val="20"/>
              </w:rPr>
              <w:t>III.</w:t>
            </w:r>
            <w:r>
              <w:rPr>
                <w:rFonts w:ascii="Times New Roman" w:hAnsi="Times New Roman"/>
                <w:b/>
                <w:sz w:val="20"/>
              </w:rPr>
              <w:t xml:space="preserve"> </w:t>
            </w:r>
            <w:r>
              <w:rPr>
                <w:rFonts w:ascii="Times New Roman" w:hAnsi="Times New Roman"/>
                <w:b/>
                <w:sz w:val="20"/>
                <w:u w:val="single"/>
              </w:rPr>
              <w:t>ORDER REQUESTED</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The Applicants request an Order of the Commission under Sections 17(d) and 57(i) of the 1940 Act and Rule 17d-1 thereunder to permit, subject to the terms and conditions set forth below in this Application (the “</w:t>
      </w:r>
      <w:r>
        <w:rPr>
          <w:rFonts w:ascii="Times New Roman" w:hAnsi="Times New Roman"/>
          <w:b/>
          <w:i/>
          <w:sz w:val="20"/>
        </w:rPr>
        <w:t>Conditions</w:t>
      </w:r>
      <w:r>
        <w:rPr>
          <w:rFonts w:ascii="Times New Roman" w:hAnsi="Times New Roman"/>
          <w:sz w:val="20"/>
        </w:rPr>
        <w:t xml:space="preserve">”), each Regulated Fund to be able to participate with one or more Affiliated Entities in Co-Investment Transactions otherwise prohibited by Sections 17(d) and 57(a)(4) of the 1940 Act and Rule 17d-1 thereunder.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29"/>
        <w:gridCol w:w="9676"/>
      </w:tblGrid>
      <w:tr>
        <w:trPr/>
        <w:tc>
          <w:tcPr>
            <w:tcW w:w="529" w:type="dxa"/>
            <w:tcBorders/>
          </w:tcPr>
          <w:p>
            <w:pPr>
              <w:pStyle w:val="TableContents"/>
              <w:bidi w:val="0"/>
              <w:spacing w:before="0" w:after="283"/>
              <w:jc w:val="left"/>
              <w:rPr/>
            </w:pPr>
            <w:r>
              <w:rPr>
                <w:strike/>
                <w:color w:val="FF0000"/>
              </w:rPr>
              <w:t>10</w:t>
            </w:r>
            <w:r>
              <w:rPr>
                <w:color w:val="0000FF"/>
                <w:u w:val="single"/>
                <w:bdr w:val="double" w:sz="2" w:space="1" w:color="000000"/>
              </w:rPr>
              <w:t>11</w:t>
            </w:r>
          </w:p>
        </w:tc>
        <w:tc>
          <w:tcPr>
            <w:tcW w:w="9676" w:type="dxa"/>
            <w:tcBorders/>
          </w:tcPr>
          <w:p>
            <w:pPr>
              <w:pStyle w:val="TableContents"/>
              <w:bidi w:val="0"/>
              <w:spacing w:before="0" w:after="0"/>
              <w:jc w:val="left"/>
              <w:rPr>
                <w:rFonts w:ascii="Times New Roman" w:hAnsi="Times New Roman"/>
                <w:sz w:val="20"/>
              </w:rPr>
            </w:pPr>
            <w:r>
              <w:rPr>
                <w:rFonts w:ascii="Times New Roman" w:hAnsi="Times New Roman"/>
                <w:sz w:val="20"/>
              </w:rPr>
              <w:t>In the future, an Existing Affiliated</w:t>
            </w:r>
            <w:r>
              <w:rPr>
                <w:rFonts w:ascii="Times New Roman" w:hAnsi="Times New Roman"/>
                <w:strike/>
                <w:color w:val="FF0000"/>
                <w:sz w:val="20"/>
              </w:rPr>
              <w:t xml:space="preserve"> Entity</w:t>
            </w:r>
            <w:r>
              <w:rPr>
                <w:rFonts w:ascii="Times New Roman" w:hAnsi="Times New Roman"/>
                <w:color w:val="0000FF"/>
                <w:sz w:val="20"/>
                <w:u w:val="single"/>
                <w:bdr w:val="double" w:sz="2" w:space="1" w:color="000000"/>
              </w:rPr>
              <w:t>Fund</w:t>
            </w:r>
            <w:r>
              <w:rPr>
                <w:rFonts w:ascii="Times New Roman" w:hAnsi="Times New Roman"/>
                <w:sz w:val="20"/>
              </w:rPr>
              <w:t xml:space="preserve"> may register as an investment company under the </w:t>
            </w:r>
            <w:r>
              <w:rPr>
                <w:rFonts w:ascii="Times New Roman" w:hAnsi="Times New Roman"/>
                <w:color w:val="0000FF"/>
                <w:sz w:val="20"/>
                <w:u w:val="single"/>
                <w:bdr w:val="double" w:sz="2" w:space="1" w:color="000000"/>
              </w:rPr>
              <w:t>1940</w:t>
            </w:r>
            <w:r>
              <w:rPr>
                <w:rFonts w:ascii="Times New Roman" w:hAnsi="Times New Roman"/>
                <w:sz w:val="20"/>
              </w:rPr>
              <w:t xml:space="preserve"> Act and, if so registered, will be considered a Regulated Fund for purposes of this application.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color w:val="0000FF"/>
                <w:u w:val="single"/>
                <w:bdr w:val="double" w:sz="2" w:space="1" w:color="000000"/>
              </w:rPr>
              <w:t>A</w:t>
            </w: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A.</w:t>
            </w:r>
            <w:r>
              <w:rPr>
                <w:rFonts w:ascii="Times New Roman" w:hAnsi="Times New Roman"/>
                <w:sz w:val="20"/>
              </w:rPr>
              <w:t xml:space="preserve"> </w:t>
            </w:r>
            <w:r>
              <w:rPr>
                <w:rFonts w:ascii="Times New Roman" w:hAnsi="Times New Roman"/>
                <w:sz w:val="20"/>
                <w:u w:val="single"/>
              </w:rPr>
              <w:t>Applicable Law</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 </w:t>
      </w:r>
    </w:p>
    <w:p>
      <w:pPr>
        <w:pStyle w:val="TextBody"/>
        <w:bidi w:val="0"/>
        <w:spacing w:before="240" w:after="0"/>
        <w:jc w:val="left"/>
        <w:rPr>
          <w:rFonts w:ascii="Times New Roman" w:hAnsi="Times New Roman"/>
          <w:sz w:val="20"/>
        </w:rPr>
      </w:pPr>
      <w:r>
        <w:rPr>
          <w:rFonts w:ascii="Times New Roman" w:hAnsi="Times New Roman"/>
          <w:sz w:val="20"/>
        </w:rPr>
        <w:t>Rule 17d-1 prohibits an affiliated person, or an affiliated person of such affiliated person, of a registered investment company, acting as principal, from participating in, or effecting any transaction in connection with, any “joint enterprise or other joint arrangement or profit-sharing plan”</w:t>
      </w:r>
      <w:r>
        <w:rPr>
          <w:rFonts w:ascii="Times New Roman" w:hAnsi="Times New Roman"/>
          <w:strike/>
          <w:color w:val="FF0000"/>
          <w:sz w:val="20"/>
        </w:rPr>
        <w:t>11</w:t>
      </w:r>
      <w:r>
        <w:rPr>
          <w:rFonts w:ascii="Times New Roman" w:hAnsi="Times New Roman"/>
          <w:color w:val="0000FF"/>
          <w:sz w:val="13"/>
          <w:u w:val="single"/>
          <w:bdr w:val="double" w:sz="2" w:space="1" w:color="000000"/>
        </w:rPr>
        <w:t xml:space="preserve">12 </w:t>
      </w:r>
      <w:r>
        <w:rPr>
          <w:rFonts w:ascii="Times New Roman" w:hAnsi="Times New Roman"/>
          <w:sz w:val="20"/>
        </w:rPr>
        <w:t xml:space="preserve">in which the fund is a participant without first obtaining an order from the SEC. </w:t>
      </w:r>
    </w:p>
    <w:p>
      <w:pPr>
        <w:pStyle w:val="TextBody"/>
        <w:bidi w:val="0"/>
        <w:spacing w:before="240" w:after="0"/>
        <w:jc w:val="left"/>
        <w:rPr>
          <w:rFonts w:ascii="Times New Roman" w:hAnsi="Times New Roman"/>
          <w:sz w:val="20"/>
        </w:rPr>
      </w:pPr>
      <w:r>
        <w:rPr>
          <w:rFonts w:ascii="Times New Roman" w:hAnsi="Times New Roman"/>
          <w:sz w:val="20"/>
        </w:rPr>
        <w:t xml:space="preserve">Section 57(a)(4), in relevant part, prohibits any person related to a business development company in the manner described in Section 57(b), acting as principal, from knowingly effecting any transaction in which the business development company is a joint or a joint and several participant with such persons in contravention of such rules as the Commission may prescribe for the purpose of limiting or preventing participation by the business development company on a basis less advantageous than that of such person. Section 57(i) provides that, until the SEC prescribes rules under Section 57(a), the SEC’s rules under Section 17(d) applicable to registered closed-end investment companies will be deemed to apply to persons subject to the prohibitions of Section 57(a). Because the SEC has not adopted any rules under Section 57(a), Rule 17d-1 applies to persons subject to the prohibitions of Section 57(a). </w:t>
      </w:r>
    </w:p>
    <w:p>
      <w:pPr>
        <w:pStyle w:val="TextBody"/>
        <w:bidi w:val="0"/>
        <w:spacing w:before="240" w:after="0"/>
        <w:jc w:val="left"/>
        <w:rPr>
          <w:rFonts w:ascii="Times New Roman" w:hAnsi="Times New Roman"/>
          <w:sz w:val="20"/>
        </w:rPr>
      </w:pPr>
      <w:r>
        <w:rPr>
          <w:rFonts w:ascii="Times New Roman" w:hAnsi="Times New Roman"/>
          <w:sz w:val="20"/>
        </w:rPr>
        <w:t xml:space="preserve">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color w:val="0000FF"/>
                <w:u w:val="single"/>
                <w:bdr w:val="double" w:sz="2" w:space="1" w:color="000000"/>
              </w:rPr>
              <w:t>B</w:t>
            </w: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B.</w:t>
            </w:r>
            <w:r>
              <w:rPr>
                <w:rFonts w:ascii="Times New Roman" w:hAnsi="Times New Roman"/>
                <w:sz w:val="20"/>
              </w:rPr>
              <w:t xml:space="preserve"> </w:t>
            </w:r>
            <w:r>
              <w:rPr>
                <w:rFonts w:ascii="Times New Roman" w:hAnsi="Times New Roman"/>
                <w:sz w:val="20"/>
                <w:u w:val="single"/>
              </w:rPr>
              <w:t>Need for Relief</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w:t>
      </w:r>
      <w:r>
        <w:rPr>
          <w:rFonts w:ascii="Times New Roman" w:hAnsi="Times New Roman"/>
          <w:strike/>
          <w:color w:val="FF0000"/>
          <w:sz w:val="20"/>
        </w:rPr>
        <w:t>a</w:t>
      </w:r>
      <w:r>
        <w:rPr>
          <w:rFonts w:ascii="Times New Roman" w:hAnsi="Times New Roman"/>
          <w:color w:val="0000FF"/>
          <w:sz w:val="20"/>
          <w:u w:val="single"/>
          <w:bdr w:val="double" w:sz="2" w:space="1" w:color="000000"/>
        </w:rPr>
        <w:t>an</w:t>
      </w:r>
      <w:r>
        <w:rPr>
          <w:rFonts w:ascii="Times New Roman" w:hAnsi="Times New Roman"/>
          <w:sz w:val="20"/>
        </w:rPr>
        <w:t xml:space="preserve"> open-end fund or closed-end fund</w:t>
      </w:r>
      <w:r>
        <w:rPr>
          <w:rFonts w:ascii="Times New Roman" w:hAnsi="Times New Roman"/>
          <w:strike/>
          <w:color w:val="FF0000"/>
          <w:sz w:val="20"/>
        </w:rPr>
        <w:t>,</w:t>
      </w:r>
      <w:r>
        <w:rPr>
          <w:rFonts w:ascii="Times New Roman" w:hAnsi="Times New Roman"/>
          <w:sz w:val="20"/>
        </w:rPr>
        <w:t xml:space="preserve"> or a business development company, respectively, including a sub-adviser. Thus, an Adviser and any Affiliated Entities that it advises could be deemed to be persons related to Regulated Funds in a manner described by Sections 17(d) and 57(b). With respect to</w:t>
      </w:r>
      <w:r>
        <w:rPr>
          <w:rFonts w:ascii="Times New Roman" w:hAnsi="Times New Roman"/>
          <w:strike/>
          <w:color w:val="FF0000"/>
          <w:sz w:val="20"/>
        </w:rPr>
        <w:t xml:space="preserve"> KNG</w:t>
      </w:r>
      <w:r>
        <w:rPr>
          <w:rFonts w:ascii="Times New Roman" w:hAnsi="Times New Roman"/>
          <w:color w:val="0000FF"/>
          <w:sz w:val="20"/>
          <w:u w:val="single"/>
          <w:bdr w:val="double" w:sz="2" w:space="1" w:color="000000"/>
        </w:rPr>
        <w:t>the Existing Adviser</w:t>
      </w:r>
      <w:r>
        <w:rPr>
          <w:rFonts w:ascii="Times New Roman" w:hAnsi="Times New Roman"/>
          <w:sz w:val="20"/>
        </w:rPr>
        <w:t xml:space="preserve"> and any other Advisers that are deemed to be affiliated persons of each other, Affiliated Entities advised by any of them could be deemed to be persons related to Regulated Funds (or a company controlled by a Regulated Fund) in a manner described by Sections 17(d) and 57(b). In addition, any entities or accounts controlled by or under common control with </w:t>
      </w:r>
      <w:r>
        <w:rPr>
          <w:rFonts w:ascii="Times New Roman" w:hAnsi="Times New Roman"/>
          <w:strike/>
          <w:color w:val="FF0000"/>
          <w:sz w:val="20"/>
        </w:rPr>
        <w:t>KNG</w:t>
      </w:r>
      <w:r>
        <w:rPr>
          <w:rFonts w:ascii="Times New Roman" w:hAnsi="Times New Roman"/>
          <w:color w:val="0000FF"/>
          <w:sz w:val="20"/>
          <w:u w:val="single"/>
          <w:bdr w:val="double" w:sz="2" w:space="1" w:color="000000"/>
        </w:rPr>
        <w:t>the Existing Adviser,</w:t>
      </w:r>
      <w:r>
        <w:rPr>
          <w:rFonts w:ascii="Times New Roman" w:hAnsi="Times New Roman"/>
          <w:sz w:val="20"/>
        </w:rPr>
        <w:t xml:space="preserve">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17d-1 under the 1940 Act.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20"/>
        <w:gridCol w:w="9685"/>
      </w:tblGrid>
      <w:tr>
        <w:trPr/>
        <w:tc>
          <w:tcPr>
            <w:tcW w:w="520" w:type="dxa"/>
            <w:tcBorders/>
          </w:tcPr>
          <w:p>
            <w:pPr>
              <w:pStyle w:val="TableContents"/>
              <w:bidi w:val="0"/>
              <w:spacing w:before="0" w:after="283"/>
              <w:jc w:val="left"/>
              <w:rPr/>
            </w:pPr>
            <w:r>
              <w:rPr>
                <w:strike/>
                <w:color w:val="FF0000"/>
              </w:rPr>
              <w:t>11</w:t>
            </w:r>
            <w:r>
              <w:rPr>
                <w:color w:val="0000FF"/>
                <w:u w:val="single"/>
                <w:bdr w:val="double" w:sz="2" w:space="1" w:color="000000"/>
              </w:rPr>
              <w:t>12</w:t>
            </w:r>
          </w:p>
        </w:tc>
        <w:tc>
          <w:tcPr>
            <w:tcW w:w="9685" w:type="dxa"/>
            <w:tcBorders/>
          </w:tcPr>
          <w:p>
            <w:pPr>
              <w:pStyle w:val="TableContents"/>
              <w:bidi w:val="0"/>
              <w:spacing w:before="0" w:after="0"/>
              <w:jc w:val="left"/>
              <w:rPr>
                <w:rFonts w:ascii="Times New Roman" w:hAnsi="Times New Roman"/>
              </w:rPr>
            </w:pPr>
            <w:r>
              <w:rPr>
                <w:rFonts w:ascii="Times New Roman" w:hAnsi="Times New Roman"/>
              </w:rPr>
              <w:t xml:space="preserve">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and any affiliated person of or principal underwriter for such registered company, or any affiliated person of such a person or principal underwriter, have a joint or a joint and several participation, or share in the profits of such enterprise or undertaking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color w:val="0000FF"/>
                <w:u w:val="single"/>
                <w:bdr w:val="double" w:sz="2" w:space="1" w:color="000000"/>
              </w:rPr>
              <w:t>C</w:t>
            </w: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C.</w:t>
            </w:r>
            <w:r>
              <w:rPr>
                <w:rFonts w:ascii="Times New Roman" w:hAnsi="Times New Roman"/>
                <w:sz w:val="20"/>
              </w:rPr>
              <w:t xml:space="preserve"> </w:t>
            </w:r>
            <w:r>
              <w:rPr>
                <w:rFonts w:ascii="Times New Roman" w:hAnsi="Times New Roman"/>
                <w:sz w:val="20"/>
                <w:u w:val="single"/>
              </w:rPr>
              <w:t>Conditions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Applicants agree that any Order granting the requested relief will be subject to the following Conditions.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1</w:t>
      </w:r>
      <w:r>
        <w:rPr>
          <w:rFonts w:ascii="Times New Roman" w:hAnsi="Times New Roman"/>
          <w:sz w:val="20"/>
        </w:rPr>
        <w:t>.</w:t>
      </w:r>
      <w:r>
        <w:rPr>
          <w:rFonts w:ascii="Times New Roman" w:hAnsi="Times New Roman"/>
          <w:strike/>
          <w:color w:val="FF0000"/>
          <w:sz w:val="20"/>
        </w:rPr>
        <w:t xml:space="preserve"> 1.</w:t>
      </w:r>
      <w:r>
        <w:rPr>
          <w:rFonts w:ascii="Times New Roman" w:hAnsi="Times New Roman"/>
          <w:sz w:val="20"/>
        </w:rPr>
        <w:t xml:space="preserve"> </w:t>
      </w:r>
      <w:r>
        <w:rPr>
          <w:rFonts w:ascii="Times New Roman" w:hAnsi="Times New Roman"/>
          <w:sz w:val="20"/>
          <w:u w:val="single"/>
        </w:rPr>
        <w:t>Same Terms</w:t>
      </w:r>
      <w:r>
        <w:rPr>
          <w:rFonts w:ascii="Times New Roman" w:hAnsi="Times New Roman"/>
          <w:sz w:val="20"/>
        </w:rPr>
        <w:t>. With respect to any Co-Investment Transaction, each Regulated Fund, and Affiliated Entity participating in such transaction will 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 company, the Board of each Regulated Fund that does not hold this right must be given the opportunity to veto the selection of such person.</w:t>
      </w:r>
      <w:r>
        <w:rPr>
          <w:rFonts w:ascii="Times New Roman" w:hAnsi="Times New Roman"/>
          <w:strike/>
          <w:color w:val="FF0000"/>
          <w:sz w:val="20"/>
        </w:rPr>
        <w:t>12</w:t>
      </w:r>
      <w:r>
        <w:rPr>
          <w:rFonts w:ascii="Times New Roman" w:hAnsi="Times New Roman"/>
          <w:color w:val="0000FF"/>
          <w:sz w:val="13"/>
          <w:u w:val="single"/>
          <w:bdr w:val="double" w:sz="2" w:space="1" w:color="000000"/>
        </w:rPr>
        <w:t>13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2</w:t>
      </w:r>
      <w:r>
        <w:rPr>
          <w:rFonts w:ascii="Times New Roman" w:hAnsi="Times New Roman"/>
          <w:sz w:val="20"/>
        </w:rPr>
        <w:t>.</w:t>
      </w:r>
      <w:r>
        <w:rPr>
          <w:rFonts w:ascii="Times New Roman" w:hAnsi="Times New Roman"/>
          <w:strike/>
          <w:color w:val="FF0000"/>
          <w:sz w:val="20"/>
        </w:rPr>
        <w:t xml:space="preserve"> 2.</w:t>
      </w:r>
      <w:r>
        <w:rPr>
          <w:rFonts w:ascii="Times New Roman" w:hAnsi="Times New Roman"/>
          <w:sz w:val="20"/>
        </w:rPr>
        <w:t xml:space="preserve"> </w:t>
      </w:r>
      <w:r>
        <w:rPr>
          <w:rFonts w:ascii="Times New Roman" w:hAnsi="Times New Roman"/>
          <w:sz w:val="20"/>
          <w:u w:val="single"/>
        </w:rPr>
        <w:t>Existing Investments in the Issuer</w:t>
      </w:r>
      <w:r>
        <w:rPr>
          <w:rFonts w:ascii="Times New Roman" w:hAnsi="Times New Roman"/>
          <w:sz w:val="20"/>
        </w:rPr>
        <w:t>. Prior to a Regulated Fund acquiring in a Co-Investment Transaction a security of an issuer in which an Affiliated Entity has an existing interest in such issuer, the “required majority,” as defined in Section 57(o) of the 1940 Act,</w:t>
      </w:r>
      <w:r>
        <w:rPr>
          <w:rFonts w:ascii="Times New Roman" w:hAnsi="Times New Roman"/>
          <w:strike/>
          <w:color w:val="FF0000"/>
          <w:sz w:val="20"/>
        </w:rPr>
        <w:t>13</w:t>
      </w:r>
      <w:r>
        <w:rPr>
          <w:rFonts w:ascii="Times New Roman" w:hAnsi="Times New Roman"/>
          <w:color w:val="0000FF"/>
          <w:sz w:val="13"/>
          <w:u w:val="single"/>
          <w:bdr w:val="double" w:sz="2" w:space="1" w:color="000000"/>
        </w:rPr>
        <w:t>14</w:t>
      </w:r>
      <w:r>
        <w:rPr>
          <w:rFonts w:ascii="Times New Roman" w:hAnsi="Times New Roman"/>
          <w:sz w:val="20"/>
        </w:rPr>
        <w:t xml:space="preserve"> of the Regulated Fund (“Required Majority”) will take the steps set forth in Section 57(f) of the 1940 Act,</w:t>
      </w:r>
      <w:r>
        <w:rPr>
          <w:rFonts w:ascii="Times New Roman" w:hAnsi="Times New Roman"/>
          <w:strike/>
          <w:color w:val="FF0000"/>
          <w:sz w:val="20"/>
        </w:rPr>
        <w:t>14</w:t>
      </w:r>
      <w:r>
        <w:rPr>
          <w:rFonts w:ascii="Times New Roman" w:hAnsi="Times New Roman"/>
          <w:color w:val="0000FF"/>
          <w:sz w:val="13"/>
          <w:u w:val="single"/>
          <w:bdr w:val="double" w:sz="2" w:space="1" w:color="000000"/>
        </w:rPr>
        <w:t xml:space="preserve">15 </w:t>
      </w:r>
      <w:r>
        <w:rPr>
          <w:rFonts w:ascii="Times New Roman" w:hAnsi="Times New Roman"/>
          <w:sz w:val="20"/>
        </w:rPr>
        <w:t xml:space="preserve">unless: (i) the Regulated Fund already holds the same security as each such Affiliated Entity; and (ii) the Regulated Fund and each other Affiliated Entity holding the security is participating in the acquisition in approximate proportion to its then-current holdings. </w:t>
      </w:r>
    </w:p>
    <w:p>
      <w:pPr>
        <w:pStyle w:val="TextBody"/>
        <w:bidi w:val="0"/>
        <w:spacing w:before="120" w:after="0"/>
        <w:jc w:val="left"/>
        <w:rPr>
          <w:rFonts w:ascii="Times New Roman" w:hAnsi="Times New Roman"/>
          <w:sz w:val="20"/>
        </w:rPr>
      </w:pPr>
      <w:r>
        <w:rPr>
          <w:rFonts w:ascii="Times New Roman" w:hAnsi="Times New Roman"/>
          <w:sz w:val="20"/>
        </w:rPr>
        <w:t>3.</w:t>
      </w:r>
      <w:r>
        <w:rPr>
          <w:rFonts w:ascii="Times New Roman" w:hAnsi="Times New Roman"/>
          <w:strike/>
          <w:color w:val="FF0000"/>
          <w:sz w:val="20"/>
        </w:rPr>
        <w:t xml:space="preserve"> 3.</w:t>
      </w:r>
      <w:r>
        <w:rPr>
          <w:rFonts w:ascii="Times New Roman" w:hAnsi="Times New Roman"/>
          <w:sz w:val="20"/>
        </w:rPr>
        <w:t xml:space="preserve"> </w:t>
      </w:r>
      <w:r>
        <w:rPr>
          <w:rFonts w:ascii="Times New Roman" w:hAnsi="Times New Roman"/>
          <w:sz w:val="20"/>
          <w:u w:val="single"/>
        </w:rPr>
        <w:t>Related Expenses</w:t>
      </w:r>
      <w:r>
        <w:rPr>
          <w:rFonts w:ascii="Times New Roman" w:hAnsi="Times New Roman"/>
          <w:sz w:val="20"/>
        </w:rPr>
        <w:t>. Any expenses associated with acquiring, holding or disposing of any securities acquired in a Co-Investment Transaction, to the extent not borne by the Adviser(s), will be shared among the Participants in proportion to the relative amounts of the securities being acquired, held or disposed of, as the case may be.</w:t>
      </w:r>
      <w:r>
        <w:rPr>
          <w:rFonts w:ascii="Times New Roman" w:hAnsi="Times New Roman"/>
          <w:strike/>
          <w:color w:val="FF0000"/>
          <w:sz w:val="20"/>
        </w:rPr>
        <w:t>15</w:t>
      </w:r>
      <w:r>
        <w:rPr>
          <w:rFonts w:ascii="Times New Roman" w:hAnsi="Times New Roman"/>
          <w:color w:val="0000FF"/>
          <w:sz w:val="13"/>
          <w:u w:val="single"/>
          <w:bdr w:val="double" w:sz="2" w:space="1" w:color="000000"/>
        </w:rPr>
        <w:t xml:space="preserve">16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26"/>
        <w:gridCol w:w="9679"/>
      </w:tblGrid>
      <w:tr>
        <w:trPr/>
        <w:tc>
          <w:tcPr>
            <w:tcW w:w="526" w:type="dxa"/>
            <w:tcBorders/>
          </w:tcPr>
          <w:p>
            <w:pPr>
              <w:pStyle w:val="TableContents"/>
              <w:bidi w:val="0"/>
              <w:spacing w:before="0" w:after="283"/>
              <w:jc w:val="left"/>
              <w:rPr/>
            </w:pPr>
            <w:r>
              <w:rPr>
                <w:strike/>
                <w:color w:val="FF0000"/>
              </w:rPr>
              <w:t>12</w:t>
            </w:r>
            <w:r>
              <w:rPr>
                <w:color w:val="0000FF"/>
                <w:u w:val="single"/>
                <w:bdr w:val="double" w:sz="2" w:space="1" w:color="000000"/>
              </w:rPr>
              <w:t>13</w:t>
            </w:r>
          </w:p>
        </w:tc>
        <w:tc>
          <w:tcPr>
            <w:tcW w:w="9679" w:type="dxa"/>
            <w:tcBorders/>
          </w:tcPr>
          <w:p>
            <w:pPr>
              <w:pStyle w:val="TableContents"/>
              <w:bidi w:val="0"/>
              <w:spacing w:before="0" w:after="0"/>
              <w:jc w:val="left"/>
              <w:rPr>
                <w:rFonts w:ascii="Times New Roman" w:hAnsi="Times New Roman"/>
              </w:rPr>
            </w:pPr>
            <w:r>
              <w:rPr>
                <w:rFonts w:ascii="Times New Roman" w:hAnsi="Times New Roman"/>
              </w:rPr>
              <w:t xml:space="preserve">Such a Board can also, consistent with applicable fund documents, facilitate this opportunity by delegating the authority to veto the selection of such person to a committee of the Board. </w:t>
            </w:r>
          </w:p>
        </w:tc>
      </w:tr>
    </w:tbl>
    <w:tbl>
      <w:tblPr>
        <w:tblW w:w="5000" w:type="pct"/>
        <w:jc w:val="left"/>
        <w:tblInd w:w="0" w:type="dxa"/>
        <w:tblLayout w:type="fixed"/>
        <w:tblCellMar>
          <w:top w:w="0" w:type="dxa"/>
          <w:left w:w="0" w:type="dxa"/>
          <w:bottom w:w="0" w:type="dxa"/>
          <w:right w:w="0" w:type="dxa"/>
        </w:tblCellMar>
      </w:tblPr>
      <w:tblGrid>
        <w:gridCol w:w="499"/>
        <w:gridCol w:w="9706"/>
      </w:tblGrid>
      <w:tr>
        <w:trPr/>
        <w:tc>
          <w:tcPr>
            <w:tcW w:w="499" w:type="dxa"/>
            <w:tcBorders/>
          </w:tcPr>
          <w:p>
            <w:pPr>
              <w:pStyle w:val="TableContents"/>
              <w:bidi w:val="0"/>
              <w:spacing w:before="0" w:after="283"/>
              <w:jc w:val="left"/>
              <w:rPr/>
            </w:pPr>
            <w:r>
              <w:rPr>
                <w:strike/>
                <w:color w:val="FF0000"/>
              </w:rPr>
              <w:t>13</w:t>
            </w:r>
            <w:r>
              <w:rPr>
                <w:color w:val="0000FF"/>
                <w:u w:val="single"/>
                <w:bdr w:val="double" w:sz="2" w:space="1" w:color="000000"/>
              </w:rPr>
              <w:t>14</w:t>
            </w:r>
          </w:p>
        </w:tc>
        <w:tc>
          <w:tcPr>
            <w:tcW w:w="9706" w:type="dxa"/>
            <w:tcBorders/>
          </w:tcPr>
          <w:p>
            <w:pPr>
              <w:pStyle w:val="TableContents"/>
              <w:bidi w:val="0"/>
              <w:spacing w:before="0" w:after="0"/>
              <w:jc w:val="left"/>
              <w:rPr>
                <w:rFonts w:ascii="Times New Roman" w:hAnsi="Times New Roman"/>
              </w:rPr>
            </w:pPr>
            <w:r>
              <w:rPr>
                <w:rFonts w:ascii="Times New Roman" w:hAnsi="Times New Roman"/>
              </w:rPr>
              <w:t xml:space="preserve">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 Solely for purposes of conditions 2 and 6(b) of this application, a designated committee of the board of a Regulated Fund may take the steps required of the Required Majority, so long as: (a) such committee consists of at least three directors who both have no financial interest in the relevant transaction and are not interested persons of the Regulated Fund, a majority of whom approve the transaction; and (b) a report on all Co-Investment Transactions considered by the designated committee, including the committee’s decision on each such transaction and the information described in Section 57(f)(3) that the committee has recorded with respect to each such transaction, is provided to the entire board of the Regulated Fund at the board’s next regularly-scheduled meeting. </w:t>
            </w:r>
          </w:p>
        </w:tc>
      </w:tr>
    </w:tbl>
    <w:tbl>
      <w:tblPr>
        <w:tblW w:w="5000" w:type="pct"/>
        <w:jc w:val="left"/>
        <w:tblInd w:w="0" w:type="dxa"/>
        <w:tblLayout w:type="fixed"/>
        <w:tblCellMar>
          <w:top w:w="0" w:type="dxa"/>
          <w:left w:w="0" w:type="dxa"/>
          <w:bottom w:w="0" w:type="dxa"/>
          <w:right w:w="0" w:type="dxa"/>
        </w:tblCellMar>
      </w:tblPr>
      <w:tblGrid>
        <w:gridCol w:w="505"/>
        <w:gridCol w:w="9700"/>
      </w:tblGrid>
      <w:tr>
        <w:trPr/>
        <w:tc>
          <w:tcPr>
            <w:tcW w:w="505" w:type="dxa"/>
            <w:tcBorders/>
          </w:tcPr>
          <w:p>
            <w:pPr>
              <w:pStyle w:val="TableContents"/>
              <w:bidi w:val="0"/>
              <w:spacing w:before="0" w:after="283"/>
              <w:jc w:val="left"/>
              <w:rPr/>
            </w:pPr>
            <w:r>
              <w:rPr>
                <w:strike/>
                <w:color w:val="FF0000"/>
              </w:rPr>
              <w:t>14</w:t>
            </w:r>
            <w:r>
              <w:rPr>
                <w:color w:val="0000FF"/>
                <w:u w:val="single"/>
                <w:bdr w:val="double" w:sz="2" w:space="1" w:color="000000"/>
              </w:rPr>
              <w:t>15</w:t>
            </w:r>
          </w:p>
        </w:tc>
        <w:tc>
          <w:tcPr>
            <w:tcW w:w="9700" w:type="dxa"/>
            <w:tcBorders/>
          </w:tcPr>
          <w:p>
            <w:pPr>
              <w:pStyle w:val="TableContents"/>
              <w:bidi w:val="0"/>
              <w:spacing w:before="0" w:after="0"/>
              <w:jc w:val="left"/>
              <w:rPr>
                <w:rFonts w:ascii="Times New Roman" w:hAnsi="Times New Roman"/>
              </w:rPr>
            </w:pPr>
            <w:r>
              <w:rPr>
                <w:rFonts w:ascii="Times New Roman" w:hAnsi="Times New Roman"/>
              </w:rPr>
              <w:t xml:space="preserve">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 (iii) the BDC’s directors record in their minutes and preserve in their records a description of the transaction, their findings, the information or materials upon which their findings were based, and the basis for their findings. </w:t>
            </w:r>
          </w:p>
        </w:tc>
      </w:tr>
    </w:tbl>
    <w:tbl>
      <w:tblPr>
        <w:tblW w:w="5000" w:type="pct"/>
        <w:jc w:val="left"/>
        <w:tblInd w:w="0" w:type="dxa"/>
        <w:tblLayout w:type="fixed"/>
        <w:tblCellMar>
          <w:top w:w="0" w:type="dxa"/>
          <w:left w:w="0" w:type="dxa"/>
          <w:bottom w:w="0" w:type="dxa"/>
          <w:right w:w="0" w:type="dxa"/>
        </w:tblCellMar>
      </w:tblPr>
      <w:tblGrid>
        <w:gridCol w:w="517"/>
        <w:gridCol w:w="9688"/>
      </w:tblGrid>
      <w:tr>
        <w:trPr/>
        <w:tc>
          <w:tcPr>
            <w:tcW w:w="517" w:type="dxa"/>
            <w:tcBorders/>
          </w:tcPr>
          <w:p>
            <w:pPr>
              <w:pStyle w:val="TableContents"/>
              <w:bidi w:val="0"/>
              <w:spacing w:before="0" w:after="283"/>
              <w:jc w:val="left"/>
              <w:rPr/>
            </w:pPr>
            <w:r>
              <w:rPr>
                <w:strike/>
                <w:color w:val="FF0000"/>
              </w:rPr>
              <w:t>15</w:t>
            </w:r>
            <w:r>
              <w:rPr>
                <w:color w:val="0000FF"/>
                <w:u w:val="single"/>
                <w:bdr w:val="double" w:sz="2" w:space="1" w:color="000000"/>
              </w:rPr>
              <w:t>16</w:t>
            </w:r>
          </w:p>
        </w:tc>
        <w:tc>
          <w:tcPr>
            <w:tcW w:w="9688" w:type="dxa"/>
            <w:tcBorders/>
          </w:tcPr>
          <w:p>
            <w:pPr>
              <w:pStyle w:val="TableContents"/>
              <w:bidi w:val="0"/>
              <w:spacing w:before="0" w:after="0"/>
              <w:jc w:val="left"/>
              <w:rPr>
                <w:rFonts w:ascii="Times New Roman" w:hAnsi="Times New Roman"/>
              </w:rPr>
            </w:pPr>
            <w:r>
              <w:rPr>
                <w:rFonts w:ascii="Times New Roman" w:hAnsi="Times New Roman"/>
              </w:rPr>
              <w:t xml:space="preserve">Expenses of an individual Participant that are incurred solely by the Participant due to its unique circumstances (such as legal and compliance expenses) will be borne by such Participant.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4.</w:t>
      </w:r>
      <w:r>
        <w:rPr>
          <w:rFonts w:ascii="Times New Roman" w:hAnsi="Times New Roman"/>
          <w:strike/>
          <w:color w:val="FF0000"/>
          <w:sz w:val="20"/>
        </w:rPr>
        <w:t xml:space="preserve"> 4.</w:t>
      </w:r>
      <w:r>
        <w:rPr>
          <w:rFonts w:ascii="Times New Roman" w:hAnsi="Times New Roman"/>
          <w:sz w:val="20"/>
        </w:rPr>
        <w:t xml:space="preserve"> No Remuneration. Any transaction fee</w:t>
      </w:r>
      <w:r>
        <w:rPr>
          <w:rFonts w:ascii="Times New Roman" w:hAnsi="Times New Roman"/>
          <w:strike/>
          <w:color w:val="FF0000"/>
          <w:sz w:val="20"/>
        </w:rPr>
        <w:t>16</w:t>
      </w:r>
      <w:r>
        <w:rPr>
          <w:rFonts w:ascii="Times New Roman" w:hAnsi="Times New Roman"/>
          <w:color w:val="0000FF"/>
          <w:sz w:val="13"/>
          <w:u w:val="single"/>
          <w:bdr w:val="double" w:sz="2" w:space="1" w:color="000000"/>
        </w:rPr>
        <w:t>17</w:t>
      </w:r>
      <w:r>
        <w:rPr>
          <w:rFonts w:ascii="Times New Roman" w:hAnsi="Times New Roman"/>
          <w:sz w:val="20"/>
        </w:rPr>
        <w:t xml:space="preserve"> (including break-up, structuring, monitoring or commitment fees but excluding broker’s fees contemplated 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 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5.</w:t>
      </w:r>
      <w:r>
        <w:rPr>
          <w:rFonts w:ascii="Times New Roman" w:hAnsi="Times New Roman"/>
          <w:strike/>
          <w:color w:val="FF0000"/>
          <w:sz w:val="20"/>
        </w:rPr>
        <w:t xml:space="preserve"> 5.</w:t>
      </w:r>
      <w:r>
        <w:rPr>
          <w:rFonts w:ascii="Times New Roman" w:hAnsi="Times New Roman"/>
          <w:sz w:val="20"/>
        </w:rPr>
        <w:t xml:space="preserve"> Co-Investment Policies. Each Adviser (and each Affiliated Entity that is not advised by an Adviser) will adopt and implement policies and 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 w:hAnsi="Times New Roman"/>
          <w:b/>
          <w:i/>
          <w:sz w:val="20"/>
        </w:rPr>
        <w:t>Co-Investment Policies</w:t>
      </w:r>
      <w:r>
        <w:rPr>
          <w:rFonts w:ascii="Times New Roman" w:hAnsi="Times New Roman"/>
          <w:sz w:val="20"/>
        </w:rPr>
        <w:t>”). Each Adviser (and each Affiliated Entity that is not advised by an Adviser) will provide its Co-Investment Policies to the Regulated Funds and will notify the Regulated Funds of any material changes thereto.</w:t>
      </w:r>
      <w:r>
        <w:rPr>
          <w:rFonts w:ascii="Times New Roman" w:hAnsi="Times New Roman"/>
          <w:strike/>
          <w:color w:val="FF0000"/>
          <w:sz w:val="20"/>
        </w:rPr>
        <w:t>17</w:t>
      </w:r>
      <w:r>
        <w:rPr>
          <w:rFonts w:ascii="Times New Roman" w:hAnsi="Times New Roman"/>
          <w:color w:val="0000FF"/>
          <w:sz w:val="13"/>
          <w:u w:val="single"/>
          <w:bdr w:val="double" w:sz="2" w:space="1" w:color="000000"/>
        </w:rPr>
        <w:t xml:space="preserve">18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6.</w:t>
      </w:r>
      <w:r>
        <w:rPr>
          <w:rFonts w:ascii="Times New Roman" w:hAnsi="Times New Roman"/>
          <w:strike/>
          <w:color w:val="FF0000"/>
          <w:sz w:val="20"/>
        </w:rPr>
        <w:t xml:space="preserve"> 6.</w:t>
      </w:r>
      <w:r>
        <w:rPr>
          <w:rFonts w:ascii="Times New Roman" w:hAnsi="Times New Roman"/>
          <w:sz w:val="20"/>
        </w:rPr>
        <w:t xml:space="preserve"> Dispositions: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(a)</w:t>
      </w:r>
      <w:r>
        <w:rPr>
          <w:rFonts w:ascii="Times New Roman" w:hAnsi="Times New Roman"/>
          <w:sz w:val="20"/>
        </w:rPr>
        <w:t xml:space="preserve"> </w:t>
      </w:r>
      <w:r>
        <w:rPr>
          <w:rFonts w:ascii="Times New Roman" w:hAnsi="Times New Roman"/>
          <w:strike/>
          <w:color w:val="FF0000"/>
          <w:sz w:val="20"/>
        </w:rPr>
        <w:t>(a)</w:t>
      </w:r>
      <w:r>
        <w:rPr>
          <w:rFonts w:ascii="Times New Roman" w:hAnsi="Times New Roman"/>
          <w:sz w:val="20"/>
        </w:rPr>
        <w:t xml:space="preserve"> Prior to any Disposition</w:t>
      </w:r>
      <w:r>
        <w:rPr>
          <w:rFonts w:ascii="Times New Roman" w:hAnsi="Times New Roman"/>
          <w:strike/>
          <w:color w:val="FF0000"/>
          <w:sz w:val="20"/>
        </w:rPr>
        <w:t>18</w:t>
      </w:r>
      <w:r>
        <w:rPr>
          <w:rFonts w:ascii="Times New Roman" w:hAnsi="Times New Roman"/>
          <w:color w:val="0000FF"/>
          <w:sz w:val="20"/>
          <w:u w:val="single"/>
          <w:bdr w:val="double" w:sz="2" w:space="1" w:color="000000"/>
        </w:rPr>
        <w:t xml:space="preserve"> 19</w:t>
      </w:r>
      <w:r>
        <w:rPr>
          <w:rFonts w:ascii="Times New Roman" w:hAnsi="Times New Roman"/>
          <w:sz w:val="20"/>
        </w:rPr>
        <w:t xml:space="preserve">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(b)</w:t>
      </w:r>
      <w:r>
        <w:rPr>
          <w:rFonts w:ascii="Times New Roman" w:hAnsi="Times New Roman"/>
          <w:sz w:val="20"/>
        </w:rPr>
        <w:t xml:space="preserve"> </w:t>
      </w:r>
      <w:r>
        <w:rPr>
          <w:rFonts w:ascii="Times New Roman" w:hAnsi="Times New Roman"/>
          <w:strike/>
          <w:color w:val="FF0000"/>
          <w:sz w:val="20"/>
        </w:rPr>
        <w:t>(b)</w:t>
      </w:r>
      <w:r>
        <w:rPr>
          <w:rFonts w:ascii="Times New Roman" w:hAnsi="Times New Roman"/>
          <w:sz w:val="20"/>
        </w:rPr>
        <w:t xml:space="preserve"> 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w:t>
      </w:r>
      <w:r>
        <w:rPr>
          <w:rFonts w:ascii="Times New Roman" w:hAnsi="Times New Roman"/>
          <w:strike/>
          <w:color w:val="FF0000"/>
          <w:sz w:val="20"/>
        </w:rPr>
        <w:t>19</w:t>
      </w:r>
      <w:r>
        <w:rPr>
          <w:rFonts w:ascii="Times New Roman" w:hAnsi="Times New Roman"/>
          <w:color w:val="0000FF"/>
          <w:sz w:val="13"/>
          <w:u w:val="single"/>
          <w:bdr w:val="double" w:sz="2" w:space="1" w:color="000000"/>
        </w:rPr>
        <w:t>20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7.</w:t>
      </w:r>
      <w:r>
        <w:rPr>
          <w:rFonts w:ascii="Times New Roman" w:hAnsi="Times New Roman"/>
          <w:strike/>
          <w:color w:val="FF0000"/>
          <w:sz w:val="20"/>
        </w:rPr>
        <w:t xml:space="preserve"> 7.</w:t>
      </w:r>
      <w:r>
        <w:rPr>
          <w:rFonts w:ascii="Times New Roman" w:hAnsi="Times New Roman"/>
          <w:sz w:val="20"/>
        </w:rPr>
        <w:t xml:space="preserve"> Board Oversight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(a)</w:t>
      </w:r>
      <w:r>
        <w:rPr>
          <w:rFonts w:ascii="Times New Roman" w:hAnsi="Times New Roman"/>
          <w:sz w:val="20"/>
        </w:rPr>
        <w:t xml:space="preserve"> </w:t>
      </w:r>
      <w:r>
        <w:rPr>
          <w:rFonts w:ascii="Times New Roman" w:hAnsi="Times New Roman"/>
          <w:strike/>
          <w:color w:val="FF0000"/>
          <w:sz w:val="20"/>
        </w:rPr>
        <w:t>(a)</w:t>
      </w:r>
      <w:r>
        <w:rPr>
          <w:rFonts w:ascii="Times New Roman" w:hAnsi="Times New Roman"/>
          <w:sz w:val="20"/>
        </w:rPr>
        <w:t xml:space="preserve"> Each Regulated Fund’s directors will oversee the Regulated Fund’s participation in the co-investment program in the exercise of their reasonable business judgment.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(b)</w:t>
      </w:r>
      <w:r>
        <w:rPr>
          <w:rFonts w:ascii="Times New Roman" w:hAnsi="Times New Roman"/>
          <w:strike/>
          <w:color w:val="FF0000"/>
          <w:sz w:val="20"/>
        </w:rPr>
        <w:t> (b)</w:t>
      </w:r>
      <w:r>
        <w:rPr>
          <w:rFonts w:ascii="Times New Roman" w:hAnsi="Times New Roman"/>
          <w:sz w:val="20"/>
        </w:rPr>
        <w:t xml:space="preserve"> Prior to a Regulated Fund’s participation in Co-Investment Transactions, the Regulated Fund’s Board, including a Required Majority, will: (i)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6"/>
        <w:gridCol w:w="9699"/>
      </w:tblGrid>
      <w:tr>
        <w:trPr/>
        <w:tc>
          <w:tcPr>
            <w:tcW w:w="506" w:type="dxa"/>
            <w:tcBorders/>
          </w:tcPr>
          <w:p>
            <w:pPr>
              <w:pStyle w:val="TableContents"/>
              <w:bidi w:val="0"/>
              <w:spacing w:before="0" w:after="283"/>
              <w:jc w:val="left"/>
              <w:rPr/>
            </w:pPr>
            <w:r>
              <w:rPr>
                <w:strike/>
                <w:color w:val="FF0000"/>
              </w:rPr>
              <w:t>16</w:t>
            </w:r>
            <w:r>
              <w:rPr>
                <w:color w:val="0000FF"/>
                <w:u w:val="single"/>
                <w:bdr w:val="double" w:sz="2" w:space="1" w:color="000000"/>
              </w:rPr>
              <w:t>17</w:t>
            </w:r>
          </w:p>
        </w:tc>
        <w:tc>
          <w:tcPr>
            <w:tcW w:w="9699" w:type="dxa"/>
            <w:tcBorders/>
          </w:tcPr>
          <w:p>
            <w:pPr>
              <w:pStyle w:val="TableContents"/>
              <w:bidi w:val="0"/>
              <w:spacing w:before="0" w:after="0"/>
              <w:jc w:val="left"/>
              <w:rPr>
                <w:rFonts w:ascii="Times New Roman" w:hAnsi="Times New Roman"/>
              </w:rPr>
            </w:pPr>
            <w:r>
              <w:rPr>
                <w:rFonts w:ascii="Times New Roman" w:hAnsi="Times New Roman"/>
              </w:rPr>
              <w:t xml:space="preserve">Applicants are not requesting and the Commission is not providing any relief for transaction fees received in connection with any Co-Investment Transaction. </w:t>
            </w:r>
          </w:p>
        </w:tc>
      </w:tr>
    </w:tbl>
    <w:tbl>
      <w:tblPr>
        <w:tblW w:w="5000" w:type="pct"/>
        <w:jc w:val="left"/>
        <w:tblInd w:w="0" w:type="dxa"/>
        <w:tblLayout w:type="fixed"/>
        <w:tblCellMar>
          <w:top w:w="0" w:type="dxa"/>
          <w:left w:w="0" w:type="dxa"/>
          <w:bottom w:w="0" w:type="dxa"/>
          <w:right w:w="0" w:type="dxa"/>
        </w:tblCellMar>
      </w:tblPr>
      <w:tblGrid>
        <w:gridCol w:w="431"/>
        <w:gridCol w:w="9774"/>
      </w:tblGrid>
      <w:tr>
        <w:trPr/>
        <w:tc>
          <w:tcPr>
            <w:tcW w:w="431" w:type="dxa"/>
            <w:tcBorders/>
          </w:tcPr>
          <w:p>
            <w:pPr>
              <w:pStyle w:val="TableContents"/>
              <w:bidi w:val="0"/>
              <w:spacing w:before="0" w:after="283"/>
              <w:jc w:val="left"/>
              <w:rPr/>
            </w:pPr>
            <w:r>
              <w:rPr>
                <w:strike/>
                <w:color w:val="FF0000"/>
                <w:sz w:val="13"/>
              </w:rPr>
              <w:t>17</w:t>
            </w:r>
            <w:r>
              <w:rPr>
                <w:color w:val="0000FF"/>
                <w:u w:val="single"/>
                <w:bdr w:val="double" w:sz="2" w:space="1" w:color="000000"/>
              </w:rPr>
              <w:t>18</w:t>
            </w:r>
          </w:p>
        </w:tc>
        <w:tc>
          <w:tcPr>
            <w:tcW w:w="97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Affiliated Entities may adopt shared Co-Investment Policies. </w:t>
            </w:r>
          </w:p>
        </w:tc>
      </w:tr>
    </w:tbl>
    <w:tbl>
      <w:tblPr>
        <w:tblW w:w="5000" w:type="pct"/>
        <w:jc w:val="left"/>
        <w:tblInd w:w="0" w:type="dxa"/>
        <w:tblLayout w:type="fixed"/>
        <w:tblCellMar>
          <w:top w:w="0" w:type="dxa"/>
          <w:left w:w="0" w:type="dxa"/>
          <w:bottom w:w="0" w:type="dxa"/>
          <w:right w:w="0" w:type="dxa"/>
        </w:tblCellMar>
      </w:tblPr>
      <w:tblGrid>
        <w:gridCol w:w="416"/>
        <w:gridCol w:w="9789"/>
      </w:tblGrid>
      <w:tr>
        <w:trPr/>
        <w:tc>
          <w:tcPr>
            <w:tcW w:w="416" w:type="dxa"/>
            <w:tcBorders/>
          </w:tcPr>
          <w:p>
            <w:pPr>
              <w:pStyle w:val="TableContents"/>
              <w:bidi w:val="0"/>
              <w:spacing w:before="0" w:after="283"/>
              <w:jc w:val="left"/>
              <w:rPr/>
            </w:pPr>
            <w:r>
              <w:rPr>
                <w:strike/>
                <w:color w:val="FF0000"/>
                <w:sz w:val="13"/>
              </w:rPr>
              <w:t>18</w:t>
            </w:r>
            <w:r>
              <w:rPr>
                <w:color w:val="0000FF"/>
                <w:u w:val="single"/>
                <w:bdr w:val="double" w:sz="2" w:space="1" w:color="000000"/>
              </w:rPr>
              <w:t xml:space="preserve">19 </w:t>
            </w:r>
            <w:r>
              <w:rPr/>
              <w:t> </w:t>
            </w:r>
          </w:p>
        </w:tc>
        <w:tc>
          <w:tcPr>
            <w:tcW w:w="9789" w:type="dxa"/>
            <w:tcBorders/>
          </w:tcPr>
          <w:p>
            <w:pPr>
              <w:pStyle w:val="TableContents"/>
              <w:bidi w:val="0"/>
              <w:spacing w:before="0" w:after="0"/>
              <w:jc w:val="left"/>
              <w:rPr/>
            </w:pPr>
            <w:r>
              <w:rPr/>
              <w:t>“</w:t>
            </w:r>
            <w:r>
              <w:rPr>
                <w:rFonts w:ascii="Times New Roman" w:hAnsi="Times New Roman"/>
                <w:sz w:val="20"/>
              </w:rPr>
              <w:t xml:space="preserve">Disposition” means the sale, exchange, transfer or other disposition of an interest in a security of an issuer. </w:t>
            </w:r>
          </w:p>
        </w:tc>
      </w:tr>
    </w:tbl>
    <w:tbl>
      <w:tblPr>
        <w:tblW w:w="5000" w:type="pct"/>
        <w:jc w:val="left"/>
        <w:tblInd w:w="0" w:type="dxa"/>
        <w:tblLayout w:type="fixed"/>
        <w:tblCellMar>
          <w:top w:w="0" w:type="dxa"/>
          <w:left w:w="0" w:type="dxa"/>
          <w:bottom w:w="0" w:type="dxa"/>
          <w:right w:w="0" w:type="dxa"/>
        </w:tblCellMar>
      </w:tblPr>
      <w:tblGrid>
        <w:gridCol w:w="427"/>
        <w:gridCol w:w="9778"/>
      </w:tblGrid>
      <w:tr>
        <w:trPr/>
        <w:tc>
          <w:tcPr>
            <w:tcW w:w="427" w:type="dxa"/>
            <w:tcBorders/>
          </w:tcPr>
          <w:p>
            <w:pPr>
              <w:pStyle w:val="TableContents"/>
              <w:bidi w:val="0"/>
              <w:spacing w:before="0" w:after="283"/>
              <w:jc w:val="left"/>
              <w:rPr/>
            </w:pPr>
            <w:r>
              <w:rPr>
                <w:strike/>
                <w:color w:val="FF0000"/>
                <w:sz w:val="13"/>
              </w:rPr>
              <w:t>19</w:t>
            </w:r>
            <w:r>
              <w:rPr>
                <w:color w:val="0000FF"/>
                <w:u w:val="single"/>
                <w:bdr w:val="double" w:sz="2" w:space="1" w:color="000000"/>
              </w:rPr>
              <w:t xml:space="preserve">20 </w:t>
            </w:r>
            <w:r>
              <w:rPr/>
              <w:t> </w:t>
            </w:r>
          </w:p>
        </w:tc>
        <w:tc>
          <w:tcPr>
            <w:tcW w:w="9778" w:type="dxa"/>
            <w:tcBorders/>
          </w:tcPr>
          <w:p>
            <w:pPr>
              <w:pStyle w:val="TableContents"/>
              <w:bidi w:val="0"/>
              <w:spacing w:before="0" w:after="0"/>
              <w:jc w:val="left"/>
              <w:rPr/>
            </w:pPr>
            <w:r>
              <w:rPr/>
              <w:t>“</w:t>
            </w:r>
            <w:r>
              <w:rPr>
                <w:rFonts w:ascii="Times New Roman" w:hAnsi="Times New Roman"/>
                <w:sz w:val="20"/>
              </w:rPr>
              <w:t xml:space="preserve">Tradable Security”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(c)</w:t>
      </w:r>
      <w:r>
        <w:rPr>
          <w:rFonts w:ascii="Times New Roman" w:hAnsi="Times New Roman"/>
          <w:sz w:val="20"/>
        </w:rPr>
        <w:t xml:space="preserve"> </w:t>
      </w:r>
      <w:r>
        <w:rPr>
          <w:rFonts w:ascii="Times New Roman" w:hAnsi="Times New Roman"/>
          <w:strike/>
          <w:color w:val="FF0000"/>
          <w:sz w:val="20"/>
        </w:rPr>
        <w:t>(c)</w:t>
      </w:r>
      <w:r>
        <w:rPr>
          <w:rFonts w:ascii="Times New Roman" w:hAnsi="Times New Roman"/>
          <w:sz w:val="20"/>
        </w:rPr>
        <w:t xml:space="preserve"> 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(d)</w:t>
      </w:r>
      <w:r>
        <w:rPr>
          <w:rFonts w:ascii="Times New Roman" w:hAnsi="Times New Roman"/>
          <w:sz w:val="20"/>
        </w:rPr>
        <w:t xml:space="preserve"> </w:t>
      </w:r>
      <w:r>
        <w:rPr>
          <w:rFonts w:ascii="Times New Roman" w:hAnsi="Times New Roman"/>
          <w:strike/>
          <w:color w:val="FF0000"/>
          <w:sz w:val="20"/>
        </w:rPr>
        <w:t>(d)</w:t>
      </w:r>
      <w:r>
        <w:rPr>
          <w:rFonts w:ascii="Times New Roman" w:hAnsi="Times New Roman"/>
          <w:sz w:val="20"/>
        </w:rPr>
        <w:t xml:space="preserve"> Every year, each Regulated Fund’s Adviser and chief compliance officer will provide the Regulated Fund’s Board with reports or other information requested by the Board related to the Regulated Fund’s participation in the co-investment program and any material changes in the Affiliated Entities’ participation in the co-investment program, including changes to the Affiliated Entities’ Co-Investment Policies.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(e)</w:t>
      </w:r>
      <w:r>
        <w:rPr>
          <w:rFonts w:ascii="Times New Roman" w:hAnsi="Times New Roman"/>
          <w:strike/>
          <w:color w:val="FF0000"/>
          <w:sz w:val="20"/>
        </w:rPr>
        <w:t> (e)</w:t>
      </w:r>
      <w:r>
        <w:rPr>
          <w:rFonts w:ascii="Times New Roman" w:hAnsi="Times New Roman"/>
          <w:sz w:val="20"/>
        </w:rPr>
        <w:t xml:space="preserve"> 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8.</w:t>
      </w:r>
      <w:r>
        <w:rPr>
          <w:rFonts w:ascii="Times New Roman" w:hAnsi="Times New Roman"/>
          <w:strike/>
          <w:color w:val="FF0000"/>
          <w:sz w:val="20"/>
        </w:rPr>
        <w:t xml:space="preserve"> 8.</w:t>
      </w:r>
      <w:r>
        <w:rPr>
          <w:rFonts w:ascii="Times New Roman" w:hAnsi="Times New Roman"/>
          <w:sz w:val="20"/>
        </w:rPr>
        <w:t xml:space="preserve"> </w:t>
      </w:r>
      <w:r>
        <w:rPr>
          <w:rFonts w:ascii="Times New Roman" w:hAnsi="Times New Roman"/>
          <w:sz w:val="20"/>
          <w:u w:val="single"/>
        </w:rPr>
        <w:t>Recordkeeping</w:t>
      </w:r>
      <w:r>
        <w:rPr>
          <w:rFonts w:ascii="Times New Roman" w:hAnsi="Times New Roman"/>
          <w:sz w:val="20"/>
        </w:rPr>
        <w:t>. All information presented to the Board pursuant to the order will be kept for the life of the Regulated Fund and at least two years 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w:t>
      </w:r>
      <w:r>
        <w:rPr>
          <w:rFonts w:ascii="Times New Roman" w:hAnsi="Times New Roman"/>
          <w:strike/>
          <w:color w:val="FF0000"/>
          <w:sz w:val="20"/>
        </w:rPr>
        <w:t>20</w:t>
      </w:r>
      <w:r>
        <w:rPr>
          <w:rFonts w:ascii="Times New Roman" w:hAnsi="Times New Roman"/>
          <w:color w:val="0000FF"/>
          <w:sz w:val="13"/>
          <w:u w:val="single"/>
          <w:bdr w:val="double" w:sz="2" w:space="1" w:color="000000"/>
        </w:rPr>
        <w:t>21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9.</w:t>
      </w:r>
      <w:r>
        <w:rPr>
          <w:rFonts w:ascii="Times New Roman" w:hAnsi="Times New Roman"/>
          <w:strike/>
          <w:color w:val="FF0000"/>
          <w:sz w:val="20"/>
        </w:rPr>
        <w:t xml:space="preserve"> 9.</w:t>
      </w:r>
      <w:r>
        <w:rPr>
          <w:rFonts w:ascii="Times New Roman" w:hAnsi="Times New Roman"/>
          <w:sz w:val="20"/>
        </w:rPr>
        <w:t xml:space="preserve"> In the event that the Commission adopts a rule under the 1940 Act allowing co-investments of the type described in this Application, any relief granted by the Order will expire on the effective date of that rule. </w:t>
      </w:r>
    </w:p>
    <w:p>
      <w:pPr>
        <w:pStyle w:val="TextBody"/>
        <w:bidi w:val="0"/>
        <w:spacing w:before="240" w:after="0"/>
        <w:jc w:val="left"/>
        <w:rPr>
          <w:rFonts w:ascii="Times New Roman" w:hAnsi="Times New Roman"/>
          <w:b/>
          <w:sz w:val="20"/>
        </w:rPr>
      </w:pPr>
      <w:r>
        <w:rPr>
          <w:rFonts w:ascii="Times New Roman" w:hAnsi="Times New Roman"/>
          <w:b/>
          <w:color w:val="0000FF"/>
          <w:sz w:val="20"/>
          <w:u w:val="single"/>
          <w:bdr w:val="double" w:sz="2" w:space="1" w:color="000000"/>
        </w:rPr>
        <w:t>IV.</w:t>
      </w:r>
      <w:r>
        <w:rPr>
          <w:rFonts w:ascii="Times New Roman" w:hAnsi="Times New Roman"/>
          <w:b/>
          <w:strike/>
          <w:color w:val="FF0000"/>
          <w:sz w:val="20"/>
        </w:rPr>
        <w:t xml:space="preserve"> IV.</w:t>
      </w:r>
      <w:r>
        <w:rPr>
          <w:rFonts w:ascii="Times New Roman" w:hAnsi="Times New Roman"/>
          <w:b/>
          <w:sz w:val="20"/>
        </w:rPr>
        <w:t xml:space="preserve"> </w:t>
      </w:r>
      <w:r>
        <w:rPr>
          <w:rFonts w:ascii="Times New Roman" w:hAnsi="Times New Roman"/>
          <w:b/>
          <w:sz w:val="20"/>
          <w:u w:val="single"/>
        </w:rPr>
        <w:t>STATEMENT IN SUPPORT OF RELIEF REQUESTED</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A.</w:t>
      </w:r>
      <w:r>
        <w:rPr>
          <w:rFonts w:ascii="Times New Roman" w:hAnsi="Times New Roman"/>
          <w:strike/>
          <w:color w:val="FF0000"/>
          <w:sz w:val="20"/>
        </w:rPr>
        <w:t xml:space="preserve"> A.</w:t>
      </w:r>
      <w:r>
        <w:rPr>
          <w:rFonts w:ascii="Times New Roman" w:hAnsi="Times New Roman"/>
          <w:sz w:val="20"/>
        </w:rPr>
        <w:t xml:space="preserve"> </w:t>
      </w:r>
      <w:r>
        <w:rPr>
          <w:rFonts w:ascii="Times New Roman" w:hAnsi="Times New Roman"/>
          <w:sz w:val="20"/>
          <w:u w:val="single"/>
        </w:rPr>
        <w:t>Potential Benefits to the Regulated Funds and their Shareholders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78"/>
        <w:gridCol w:w="9727"/>
      </w:tblGrid>
      <w:tr>
        <w:trPr/>
        <w:tc>
          <w:tcPr>
            <w:tcW w:w="478" w:type="dxa"/>
            <w:tcBorders/>
          </w:tcPr>
          <w:p>
            <w:pPr>
              <w:pStyle w:val="TableContents"/>
              <w:bidi w:val="0"/>
              <w:spacing w:before="0" w:after="283"/>
              <w:jc w:val="left"/>
              <w:rPr/>
            </w:pPr>
            <w:r>
              <w:rPr>
                <w:strike/>
                <w:color w:val="FF0000"/>
                <w:sz w:val="13"/>
              </w:rPr>
              <w:t>20</w:t>
            </w:r>
            <w:r>
              <w:rPr>
                <w:color w:val="0000FF"/>
                <w:u w:val="single"/>
                <w:bdr w:val="double" w:sz="2" w:space="1" w:color="000000"/>
              </w:rPr>
              <w:t>21 </w:t>
            </w:r>
          </w:p>
        </w:tc>
        <w:tc>
          <w:tcPr>
            <w:tcW w:w="97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B.</w:t>
      </w:r>
      <w:r>
        <w:rPr>
          <w:rFonts w:ascii="Times New Roman" w:hAnsi="Times New Roman"/>
          <w:strike/>
          <w:color w:val="FF0000"/>
          <w:sz w:val="20"/>
        </w:rPr>
        <w:t xml:space="preserve"> B.</w:t>
      </w:r>
      <w:r>
        <w:rPr>
          <w:rFonts w:ascii="Times New Roman" w:hAnsi="Times New Roman"/>
          <w:sz w:val="20"/>
        </w:rPr>
        <w:t xml:space="preserve"> </w:t>
      </w:r>
      <w:r>
        <w:rPr>
          <w:rFonts w:ascii="Times New Roman" w:hAnsi="Times New Roman"/>
          <w:sz w:val="20"/>
          <w:u w:val="single"/>
        </w:rPr>
        <w:t>Shareholder Protections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Co-Investment Transaction would be subject to the terms and conditions of this Application. The Conditions are designed to address the concerns underlying Sections 17(d) and 57(a)(4) and Rule </w:t>
      </w:r>
      <w:r>
        <w:rPr>
          <w:rFonts w:ascii="Times New Roman" w:hAnsi="Times New Roman"/>
          <w:strike/>
          <w:color w:val="FF0000"/>
          <w:sz w:val="20"/>
        </w:rPr>
        <w:t>17d-1</w:t>
      </w:r>
      <w:r>
        <w:rPr>
          <w:rFonts w:ascii="Times New Roman" w:hAnsi="Times New Roman"/>
          <w:color w:val="0000FF"/>
          <w:sz w:val="20"/>
          <w:u w:val="single"/>
          <w:bdr w:val="double" w:sz="2" w:space="1" w:color="000000"/>
        </w:rPr>
        <w:t>17d-l</w:t>
      </w:r>
      <w:r>
        <w:rPr>
          <w:rFonts w:ascii="Times New Roman" w:hAnsi="Times New Roman"/>
          <w:sz w:val="20"/>
        </w:rPr>
        <w:t xml:space="preserve">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Co Investment Transaction considers the interest in the Transaction of any participating Regulated Fund. The Co-Investment Policies will require an Adviser to make an independent determination of the appropriateness of a Co-Investment Transaction and the proposed allocation size based on each Participant’s specific investment profile and other relevant characteristics. </w:t>
      </w:r>
    </w:p>
    <w:p>
      <w:pPr>
        <w:pStyle w:val="TextBody"/>
        <w:bidi w:val="0"/>
        <w:spacing w:before="360" w:after="0"/>
        <w:jc w:val="left"/>
        <w:rPr>
          <w:rFonts w:ascii="Times New Roman" w:hAnsi="Times New Roman"/>
          <w:b/>
          <w:sz w:val="20"/>
        </w:rPr>
      </w:pPr>
      <w:r>
        <w:rPr>
          <w:rFonts w:ascii="Times New Roman" w:hAnsi="Times New Roman"/>
          <w:b/>
          <w:color w:val="0000FF"/>
          <w:sz w:val="20"/>
          <w:u w:val="single"/>
          <w:bdr w:val="double" w:sz="2" w:space="1" w:color="000000"/>
        </w:rPr>
        <w:t>V.</w:t>
      </w:r>
      <w:r>
        <w:rPr>
          <w:rFonts w:ascii="Times New Roman" w:hAnsi="Times New Roman"/>
          <w:b/>
          <w:strike/>
          <w:color w:val="FF0000"/>
          <w:sz w:val="20"/>
        </w:rPr>
        <w:t xml:space="preserve"> V.</w:t>
      </w:r>
      <w:r>
        <w:rPr>
          <w:rFonts w:ascii="Times New Roman" w:hAnsi="Times New Roman"/>
          <w:b/>
          <w:sz w:val="20"/>
        </w:rPr>
        <w:t xml:space="preserve"> </w:t>
      </w:r>
      <w:r>
        <w:rPr>
          <w:rFonts w:ascii="Times New Roman" w:hAnsi="Times New Roman"/>
          <w:b/>
          <w:sz w:val="20"/>
          <w:u w:val="single"/>
        </w:rPr>
        <w:t>PRECEDENTS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Commission has previously issued orders permitting certain investment companies subject to regulation under the 1940 Act and their affiliated persons to be able to participate in Co-Investment Transactions (the “</w:t>
      </w:r>
      <w:r>
        <w:rPr>
          <w:rFonts w:ascii="Times New Roman" w:hAnsi="Times New Roman"/>
          <w:b/>
          <w:i/>
          <w:sz w:val="20"/>
        </w:rPr>
        <w:t>Existing Orders</w:t>
      </w:r>
      <w:r>
        <w:rPr>
          <w:rFonts w:ascii="Times New Roman" w:hAnsi="Times New Roman"/>
          <w:sz w:val="20"/>
        </w:rPr>
        <w:t>”).</w:t>
      </w:r>
      <w:r>
        <w:rPr>
          <w:rFonts w:ascii="Times New Roman" w:hAnsi="Times New Roman"/>
          <w:strike/>
          <w:color w:val="FF0000"/>
          <w:sz w:val="20"/>
        </w:rPr>
        <w:t>21</w:t>
      </w:r>
      <w:r>
        <w:rPr>
          <w:rFonts w:ascii="Times New Roman" w:hAnsi="Times New Roman"/>
          <w:sz w:val="20"/>
        </w:rPr>
        <w:t xml:space="preserve">22 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 </w:t>
      </w:r>
    </w:p>
    <w:p>
      <w:pPr>
        <w:pStyle w:val="TextBody"/>
        <w:bidi w:val="0"/>
        <w:spacing w:before="360" w:after="0"/>
        <w:jc w:val="left"/>
        <w:rPr>
          <w:rFonts w:ascii="Times New Roman" w:hAnsi="Times New Roman"/>
          <w:b/>
          <w:sz w:val="20"/>
        </w:rPr>
      </w:pPr>
      <w:r>
        <w:rPr>
          <w:rFonts w:ascii="Times New Roman" w:hAnsi="Times New Roman"/>
          <w:b/>
          <w:color w:val="0000FF"/>
          <w:sz w:val="20"/>
          <w:u w:val="single"/>
          <w:bdr w:val="double" w:sz="2" w:space="1" w:color="000000"/>
        </w:rPr>
        <w:t>VI.</w:t>
      </w:r>
      <w:r>
        <w:rPr>
          <w:rFonts w:ascii="Times New Roman" w:hAnsi="Times New Roman"/>
          <w:b/>
          <w:strike/>
          <w:color w:val="FF0000"/>
          <w:sz w:val="20"/>
        </w:rPr>
        <w:t xml:space="preserve"> VI.</w:t>
      </w:r>
      <w:r>
        <w:rPr>
          <w:rFonts w:ascii="Times New Roman" w:hAnsi="Times New Roman"/>
          <w:b/>
          <w:sz w:val="20"/>
        </w:rPr>
        <w:t xml:space="preserve"> </w:t>
      </w:r>
      <w:r>
        <w:rPr>
          <w:rFonts w:ascii="Times New Roman" w:hAnsi="Times New Roman"/>
          <w:b/>
          <w:sz w:val="20"/>
          <w:u w:val="single"/>
        </w:rPr>
        <w:t>PROCEDURAL MATTERS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A.</w:t>
      </w:r>
      <w:r>
        <w:rPr>
          <w:rFonts w:ascii="Times New Roman" w:hAnsi="Times New Roman"/>
          <w:strike/>
          <w:color w:val="FF0000"/>
          <w:sz w:val="20"/>
        </w:rPr>
        <w:t xml:space="preserve"> A.</w:t>
      </w:r>
      <w:r>
        <w:rPr>
          <w:rFonts w:ascii="Times New Roman" w:hAnsi="Times New Roman"/>
          <w:sz w:val="20"/>
        </w:rPr>
        <w:t xml:space="preserve"> </w:t>
      </w:r>
      <w:r>
        <w:rPr>
          <w:rFonts w:ascii="Times New Roman" w:hAnsi="Times New Roman"/>
          <w:sz w:val="20"/>
          <w:u w:val="single"/>
        </w:rPr>
        <w:t>Communications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Please address all communications concerning this Application, the Notice and the Order to: </w:t>
      </w:r>
    </w:p>
    <w:p>
      <w:pPr>
        <w:pStyle w:val="TextBody"/>
        <w:bidi w:val="0"/>
        <w:spacing w:before="120" w:after="0"/>
        <w:jc w:val="center"/>
        <w:rPr>
          <w:rFonts w:ascii="Times New Roman" w:hAnsi="Times New Roman"/>
          <w:b/>
          <w:sz w:val="20"/>
        </w:rPr>
      </w:pPr>
      <w:r>
        <w:rPr>
          <w:rFonts w:ascii="Times New Roman" w:hAnsi="Times New Roman"/>
          <w:b/>
          <w:color w:val="0000FF"/>
          <w:sz w:val="20"/>
          <w:u w:val="single"/>
          <w:bdr w:val="double" w:sz="2" w:space="1" w:color="000000"/>
        </w:rPr>
        <w:t>Edward H. Ross</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Chief Executive Officer</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Fidus Investment Corporation</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1603 Orrington Avenue, Suite 1005</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Evanston, Illinois 60201</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(847) 859-3940</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eross@fidusinv.com</w:t>
      </w:r>
      <w:r>
        <w:rPr>
          <w:rFonts w:ascii="Times New Roman" w:hAnsi="Times New Roman"/>
          <w:b/>
          <w:sz w:val="20"/>
        </w:rPr>
        <w:t xml:space="preserve"> </w:t>
      </w:r>
    </w:p>
    <w:p>
      <w:pPr>
        <w:pStyle w:val="TextBody"/>
        <w:bidi w:val="0"/>
        <w:spacing w:before="0" w:after="0"/>
        <w:jc w:val="center"/>
        <w:rPr>
          <w:rFonts w:ascii="Times New Roman" w:hAnsi="Times New Roman"/>
          <w:sz w:val="20"/>
        </w:rPr>
      </w:pPr>
      <w:r>
        <w:rPr>
          <w:rFonts w:ascii="Times New Roman" w:hAnsi="Times New Roman"/>
          <w:strike/>
          <w:color w:val="FF0000"/>
          <w:sz w:val="20"/>
        </w:rPr>
        <w:t>B. Troy Beatty</w:t>
      </w:r>
      <w:r>
        <w:rPr>
          <w:rFonts w:ascii="Times New Roman" w:hAnsi="Times New Roman"/>
          <w:sz w:val="20"/>
        </w:rPr>
        <w:t xml:space="preserve"> </w:t>
      </w:r>
    </w:p>
    <w:p>
      <w:pPr>
        <w:pStyle w:val="TextBody"/>
        <w:bidi w:val="0"/>
        <w:spacing w:before="0" w:after="0"/>
        <w:jc w:val="center"/>
        <w:rPr>
          <w:rFonts w:ascii="Times New Roman" w:hAnsi="Times New Roman"/>
          <w:b/>
          <w:sz w:val="24"/>
        </w:rPr>
      </w:pPr>
      <w:r>
        <w:rPr>
          <w:rFonts w:ascii="Times New Roman" w:hAnsi="Times New Roman"/>
          <w:b/>
          <w:strike/>
          <w:color w:val="FF0000"/>
          <w:sz w:val="24"/>
        </w:rPr>
        <w:t>General Counsel</w:t>
      </w:r>
      <w:r>
        <w:rPr>
          <w:rFonts w:ascii="Times New Roman" w:hAnsi="Times New Roman"/>
          <w:b/>
          <w:sz w:val="24"/>
        </w:rPr>
        <w:t xml:space="preserve"> </w:t>
      </w:r>
    </w:p>
    <w:p>
      <w:pPr>
        <w:pStyle w:val="TextBody"/>
        <w:bidi w:val="0"/>
        <w:spacing w:before="0" w:after="0"/>
        <w:jc w:val="center"/>
        <w:rPr>
          <w:rFonts w:ascii="Times New Roman" w:hAnsi="Times New Roman"/>
          <w:b/>
          <w:sz w:val="24"/>
        </w:rPr>
      </w:pPr>
      <w:r>
        <w:rPr>
          <w:rFonts w:ascii="Times New Roman" w:hAnsi="Times New Roman"/>
          <w:b/>
          <w:strike/>
          <w:color w:val="FF0000"/>
          <w:sz w:val="24"/>
        </w:rPr>
        <w:t>60 E. South Temple, Suite 2100</w:t>
      </w:r>
      <w:r>
        <w:rPr>
          <w:rFonts w:ascii="Times New Roman" w:hAnsi="Times New Roman"/>
          <w:b/>
          <w:sz w:val="24"/>
        </w:rPr>
        <w:t xml:space="preserve"> </w:t>
      </w:r>
    </w:p>
    <w:p>
      <w:pPr>
        <w:pStyle w:val="TextBody"/>
        <w:bidi w:val="0"/>
        <w:spacing w:before="0" w:after="0"/>
        <w:jc w:val="center"/>
        <w:rPr>
          <w:rFonts w:ascii="Times New Roman" w:hAnsi="Times New Roman"/>
          <w:b/>
          <w:sz w:val="24"/>
        </w:rPr>
      </w:pPr>
      <w:r>
        <w:rPr>
          <w:rFonts w:ascii="Times New Roman" w:hAnsi="Times New Roman"/>
          <w:b/>
          <w:strike/>
          <w:color w:val="FF0000"/>
          <w:sz w:val="24"/>
        </w:rPr>
        <w:t>Salt Lake City, Utah 84111</w:t>
      </w:r>
      <w:r>
        <w:rPr>
          <w:rFonts w:ascii="Times New Roman" w:hAnsi="Times New Roman"/>
          <w:b/>
          <w:sz w:val="24"/>
        </w:rPr>
        <w:t xml:space="preserve"> </w:t>
      </w:r>
    </w:p>
    <w:p>
      <w:pPr>
        <w:pStyle w:val="TextBody"/>
        <w:bidi w:val="0"/>
        <w:spacing w:before="0" w:after="0"/>
        <w:jc w:val="center"/>
        <w:rPr>
          <w:rFonts w:ascii="Times New Roman" w:hAnsi="Times New Roman"/>
          <w:b/>
          <w:sz w:val="24"/>
        </w:rPr>
      </w:pPr>
      <w:r>
        <w:rPr>
          <w:rFonts w:ascii="Times New Roman" w:hAnsi="Times New Roman"/>
          <w:b/>
          <w:strike/>
          <w:color w:val="FF0000"/>
          <w:sz w:val="24"/>
        </w:rPr>
        <w:t>(925) 480-6050</w:t>
      </w:r>
      <w:r>
        <w:rPr>
          <w:rFonts w:ascii="Times New Roman" w:hAnsi="Times New Roman"/>
          <w:b/>
          <w:sz w:val="24"/>
        </w:rPr>
        <w:t xml:space="preserve"> </w:t>
      </w:r>
    </w:p>
    <w:p>
      <w:pPr>
        <w:pStyle w:val="TextBody"/>
        <w:bidi w:val="0"/>
        <w:spacing w:before="0" w:after="0"/>
        <w:jc w:val="center"/>
        <w:rPr>
          <w:rFonts w:ascii="Times New Roman" w:hAnsi="Times New Roman"/>
          <w:sz w:val="20"/>
        </w:rPr>
      </w:pPr>
      <w:r>
        <w:rPr>
          <w:rFonts w:ascii="Times New Roman" w:hAnsi="Times New Roman"/>
          <w:strike/>
          <w:color w:val="FF0000"/>
          <w:sz w:val="20"/>
          <w:u w:val="single"/>
        </w:rPr>
        <w:t>troy@keystonenational.com</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trike/>
          <w:color w:val="FF0000"/>
          <w:sz w:val="20"/>
        </w:rPr>
        <w:t>21</w:t>
      </w:r>
      <w:r>
        <w:rPr>
          <w:rFonts w:ascii="Times New Roman" w:hAnsi="Times New Roman"/>
          <w:color w:val="0000FF"/>
          <w:sz w:val="20"/>
          <w:u w:val="single"/>
          <w:bdr w:val="double" w:sz="2" w:space="1" w:color="000000"/>
        </w:rPr>
        <w:t>22</w:t>
      </w:r>
      <w:r>
        <w:rPr>
          <w:rFonts w:ascii="Times New Roman" w:hAnsi="Times New Roman"/>
          <w:sz w:val="20"/>
        </w:rPr>
        <w:t xml:space="preserve"> </w:t>
      </w:r>
      <w:r>
        <w:rPr>
          <w:rFonts w:ascii="Times New Roman" w:hAnsi="Times New Roman"/>
          <w:i/>
          <w:sz w:val="20"/>
        </w:rPr>
        <w:t>See, e.g.</w:t>
      </w:r>
      <w:r>
        <w:rPr>
          <w:rFonts w:ascii="Times New Roman" w:hAnsi="Times New Roman"/>
          <w:sz w:val="20"/>
        </w:rPr>
        <w:t xml:space="preserve">, </w:t>
      </w:r>
      <w:r>
        <w:rPr>
          <w:rFonts w:ascii="Times New Roman" w:hAnsi="Times New Roman"/>
          <w:i/>
          <w:sz w:val="20"/>
        </w:rPr>
        <w:t>FS Credit Opportunities Corp., et al. (File No. 812-15706), Release No. IC-35520 (April 3, 2025) (notice), Release No. IC-35561 (April 29, 2025) (order); Sixth Street Specialty Lending, Inc. et al. (File No.</w:t>
      </w:r>
      <w:r>
        <w:rPr>
          <w:rFonts w:ascii="Times New Roman" w:hAnsi="Times New Roman"/>
          <w:sz w:val="20"/>
        </w:rPr>
        <w:t xml:space="preserve"> 812-15729), Release No. IC-35531 (April 10, 2025) (notice), Release No. IC-35570 (May 6, 2025) (order); Blue Owl Capital Corporation, et al. (File No. 812-15715), Release No. IC-35530 (April 9, 2025) (notice), Release No. IC-35573 (May 6, 2025) (order); BlackRock Growth Equity Fund LP, et al. (File No. 812-15712), Release No. IC-35525 (April 8, 2025) (notice), Release No. IC-35572 (May 6, 2025)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Please address any questions, and a copy of any communications, concerning this Application, the Notice, and the Order to: </w:t>
      </w:r>
    </w:p>
    <w:p>
      <w:pPr>
        <w:pStyle w:val="TextBody"/>
        <w:bidi w:val="0"/>
        <w:spacing w:before="240" w:after="0"/>
        <w:jc w:val="center"/>
        <w:rPr>
          <w:rFonts w:ascii="Times New Roman" w:hAnsi="Times New Roman"/>
          <w:sz w:val="20"/>
        </w:rPr>
      </w:pPr>
      <w:r>
        <w:rPr>
          <w:rFonts w:ascii="Times New Roman" w:hAnsi="Times New Roman"/>
          <w:color w:val="0000FF"/>
          <w:sz w:val="20"/>
          <w:u w:val="single"/>
          <w:bdr w:val="double" w:sz="2" w:space="1" w:color="000000"/>
        </w:rPr>
        <w:t>Steven B. Boehm</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Anne G. Oberndorf</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Payam Siadatpour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Sara Sabour Nasseri, Esq.</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Eversheds Sutherland (US) LLP</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700 6th Street, N.W.</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Washington, D.C. 20001</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(202) 383-0100</w:t>
      </w:r>
      <w:r>
        <w:rPr>
          <w:rFonts w:ascii="Times New Roman" w:hAnsi="Times New Roman"/>
          <w:sz w:val="20"/>
        </w:rPr>
        <w:t xml:space="preserve"> </w:t>
      </w:r>
    </w:p>
    <w:p>
      <w:pPr>
        <w:pStyle w:val="TextBody"/>
        <w:bidi w:val="0"/>
        <w:spacing w:before="0" w:after="0"/>
        <w:jc w:val="center"/>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anneoberndorf@eversheds-sutherland.us </w:t>
      </w:r>
    </w:p>
    <w:p>
      <w:pPr>
        <w:pStyle w:val="TextBody"/>
        <w:bidi w:val="0"/>
        <w:spacing w:before="240" w:after="0"/>
        <w:jc w:val="left"/>
        <w:rPr>
          <w:rFonts w:ascii="Times New Roman" w:hAnsi="Times New Roman"/>
          <w:sz w:val="20"/>
        </w:rPr>
      </w:pPr>
      <w:r>
        <w:rPr>
          <w:rFonts w:ascii="Times New Roman" w:hAnsi="Times New Roman"/>
          <w:strike/>
          <w:color w:val="FF0000"/>
          <w:sz w:val="20"/>
        </w:rPr>
        <w:t>James E. Anderson</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trike/>
          <w:color w:val="FF0000"/>
          <w:sz w:val="20"/>
        </w:rPr>
        <w:t>Haofei Liu</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trike/>
          <w:color w:val="FF0000"/>
          <w:sz w:val="20"/>
        </w:rPr>
        <w:t>Willkie Farr &amp; Gallagher LLP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trike/>
          <w:color w:val="FF0000"/>
          <w:sz w:val="20"/>
        </w:rPr>
        <w:t>1875 K St NW</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trike/>
          <w:color w:val="FF0000"/>
          <w:sz w:val="20"/>
        </w:rPr>
        <w:t>Washington, DC 20006</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trike/>
          <w:color w:val="FF0000"/>
          <w:sz w:val="20"/>
        </w:rPr>
        <w:t>(202) 303-1000</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trike/>
          <w:color w:val="FF0000"/>
          <w:sz w:val="20"/>
        </w:rPr>
        <w:t>JAnderson@willkie.com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B.</w:t>
      </w:r>
      <w:r>
        <w:rPr>
          <w:rFonts w:ascii="Times New Roman" w:hAnsi="Times New Roman"/>
          <w:strike/>
          <w:color w:val="FF0000"/>
          <w:sz w:val="20"/>
        </w:rPr>
        <w:t xml:space="preserve"> C.</w:t>
      </w:r>
      <w:r>
        <w:rPr>
          <w:rFonts w:ascii="Times New Roman" w:hAnsi="Times New Roman"/>
          <w:sz w:val="20"/>
        </w:rPr>
        <w:t xml:space="preserve"> </w:t>
      </w:r>
      <w:r>
        <w:rPr>
          <w:rFonts w:ascii="Times New Roman" w:hAnsi="Times New Roman"/>
          <w:sz w:val="20"/>
          <w:u w:val="single"/>
        </w:rPr>
        <w:t>Authorizations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filing of this Application for the Order sought hereby and the taking of all acts reasonably necessary to obtain the relief requested herein was authorized by the Board of</w:t>
      </w:r>
      <w:r>
        <w:rPr>
          <w:rFonts w:ascii="Times New Roman" w:hAnsi="Times New Roman"/>
          <w:strike/>
          <w:color w:val="FF0000"/>
          <w:sz w:val="20"/>
        </w:rPr>
        <w:t xml:space="preserve"> the</w:t>
      </w:r>
      <w:r>
        <w:rPr>
          <w:rFonts w:ascii="Times New Roman" w:hAnsi="Times New Roman"/>
          <w:color w:val="0000FF"/>
          <w:sz w:val="20"/>
          <w:u w:val="single"/>
          <w:bdr w:val="double" w:sz="2" w:space="1" w:color="000000"/>
        </w:rPr>
        <w:t>each</w:t>
      </w:r>
      <w:r>
        <w:rPr>
          <w:rFonts w:ascii="Times New Roman" w:hAnsi="Times New Roman"/>
          <w:sz w:val="20"/>
        </w:rPr>
        <w:t xml:space="preserve"> Existing Regulated Fund pursuant to resolutions duly adopted by the Board. Copies of the resolutions are provided below.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0-2(c), Applicants hereby state that </w:t>
      </w:r>
      <w:r>
        <w:rPr>
          <w:rFonts w:ascii="Times New Roman" w:hAnsi="Times New Roman"/>
          <w:strike/>
          <w:color w:val="FF0000"/>
          <w:sz w:val="20"/>
        </w:rPr>
        <w:t>the Existing Regulated Fund and</w:t>
      </w:r>
      <w:r>
        <w:rPr>
          <w:rFonts w:ascii="Times New Roman" w:hAnsi="Times New Roman"/>
          <w:sz w:val="20"/>
        </w:rPr>
        <w:t xml:space="preserve"> each Applicant has authorized to cause to be prepared and to execute and file with the Commission this Application and any amendment thereto for an order pursuant to </w:t>
      </w:r>
      <w:r>
        <w:rPr>
          <w:rFonts w:ascii="Times New Roman" w:hAnsi="Times New Roman"/>
          <w:strike/>
          <w:color w:val="FF0000"/>
          <w:sz w:val="20"/>
        </w:rPr>
        <w:t>Section</w:t>
      </w:r>
      <w:r>
        <w:rPr>
          <w:rFonts w:ascii="Times New Roman" w:hAnsi="Times New Roman"/>
          <w:color w:val="0000FF"/>
          <w:sz w:val="20"/>
          <w:u w:val="single"/>
          <w:bdr w:val="double" w:sz="2" w:space="1" w:color="000000"/>
        </w:rPr>
        <w:t>Sections 17(d) and</w:t>
      </w:r>
      <w:r>
        <w:rPr>
          <w:rFonts w:ascii="Times New Roman" w:hAnsi="Times New Roman"/>
          <w:sz w:val="20"/>
        </w:rPr>
        <w:t xml:space="preserve"> 57(i) and Rule 17d-1 permitting certain joint transactions otherwise prohibited by Sections 17(d) and 57(a)(4) and Rule 17d-1. The person executing the Application on behalf of the Applicants being duly sworn deposes and says that he </w:t>
      </w:r>
      <w:r>
        <w:rPr>
          <w:rFonts w:ascii="Times New Roman" w:hAnsi="Times New Roman"/>
          <w:strike/>
          <w:color w:val="FF0000"/>
          <w:sz w:val="20"/>
        </w:rPr>
        <w:t>or she</w:t>
      </w:r>
      <w:r>
        <w:rPr>
          <w:rFonts w:ascii="Times New Roman" w:hAnsi="Times New Roman"/>
          <w:sz w:val="20"/>
        </w:rPr>
        <w:t xml:space="preserve"> has duly executed the Application for and on behalf of the applicable entity listed; that he </w:t>
      </w:r>
      <w:r>
        <w:rPr>
          <w:rFonts w:ascii="Times New Roman" w:hAnsi="Times New Roman"/>
          <w:strike/>
          <w:color w:val="FF0000"/>
          <w:sz w:val="20"/>
        </w:rPr>
        <w:t>or she</w:t>
      </w:r>
      <w:r>
        <w:rPr>
          <w:rFonts w:ascii="Times New Roman" w:hAnsi="Times New Roman"/>
          <w:sz w:val="20"/>
        </w:rPr>
        <w:t xml:space="preserve"> is authorized to execute the Application pursuant to the terms of an operating agreement, management agreement or otherwise; and that all actions by members, directors or other bodies necessary to authorize each such deponent to execute and file the Application have been taken.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In accordance with the requirements for a request for expedited review of this Application, marked copies of two recent applications seeking the same relief as Applicants that are substantially identical as required by Rule 0-5(e) of the 1940 Act are attached as Exhibit 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Applicants have caused this</w:t>
      </w:r>
      <w:r>
        <w:rPr>
          <w:rFonts w:ascii="Times New Roman" w:hAnsi="Times New Roman"/>
          <w:strike/>
          <w:color w:val="FF0000"/>
          <w:sz w:val="20"/>
        </w:rPr>
        <w:t xml:space="preserve"> Amendment No. 2 to the</w:t>
      </w:r>
      <w:r>
        <w:rPr>
          <w:rFonts w:ascii="Times New Roman" w:hAnsi="Times New Roman"/>
          <w:sz w:val="20"/>
        </w:rPr>
        <w:t xml:space="preserve"> Application to be duly signed on their behalf on the </w:t>
      </w:r>
      <w:r>
        <w:rPr>
          <w:rFonts w:ascii="Times New Roman" w:hAnsi="Times New Roman"/>
          <w:strike/>
          <w:color w:val="FF0000"/>
          <w:sz w:val="20"/>
        </w:rPr>
        <w:t>8th</w:t>
      </w:r>
      <w:r>
        <w:rPr>
          <w:rFonts w:ascii="Times New Roman" w:hAnsi="Times New Roman"/>
          <w:color w:val="0000FF"/>
          <w:sz w:val="20"/>
          <w:u w:val="single"/>
          <w:bdr w:val="double" w:sz="2" w:space="1" w:color="000000"/>
        </w:rPr>
        <w:t>28th</w:t>
      </w:r>
      <w:r>
        <w:rPr>
          <w:rFonts w:ascii="Times New Roman" w:hAnsi="Times New Roman"/>
          <w:sz w:val="20"/>
        </w:rPr>
        <w:t xml:space="preserve"> day of</w:t>
      </w:r>
      <w:r>
        <w:rPr>
          <w:rFonts w:ascii="Times New Roman" w:hAnsi="Times New Roman"/>
          <w:strike/>
          <w:color w:val="FF0000"/>
          <w:sz w:val="20"/>
        </w:rPr>
        <w:t xml:space="preserve"> May</w:t>
      </w:r>
      <w:r>
        <w:rPr>
          <w:rFonts w:ascii="Times New Roman" w:hAnsi="Times New Roman"/>
          <w:color w:val="0000FF"/>
          <w:sz w:val="20"/>
          <w:u w:val="single"/>
          <w:bdr w:val="double" w:sz="2" w:space="1" w:color="000000"/>
        </w:rPr>
        <w:t>August</w:t>
      </w:r>
      <w:r>
        <w:rPr>
          <w:rFonts w:ascii="Times New Roman" w:hAnsi="Times New Roman"/>
          <w:sz w:val="20"/>
        </w:rPr>
        <w:t xml:space="preserve">,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25"/>
        <w:gridCol w:w="60"/>
        <w:gridCol w:w="3297"/>
      </w:tblGrid>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KEYSTONE PRIVATE INCOME FUND</w:t>
            </w:r>
          </w:p>
        </w:tc>
      </w:tr>
      <w:tr>
        <w:trPr>
          <w:trHeight w:val="240" w:hRule="atLeast"/>
        </w:trPr>
        <w:tc>
          <w:tcPr>
            <w:tcW w:w="725" w:type="dxa"/>
            <w:tcBorders/>
            <w:vAlign w:val="center"/>
          </w:tcPr>
          <w:p>
            <w:pPr>
              <w:pStyle w:val="TableContents"/>
              <w:bidi w:val="0"/>
              <w:spacing w:before="0" w:after="283"/>
              <w:jc w:val="left"/>
              <w:rPr>
                <w:sz w:val="4"/>
                <w:szCs w:val="4"/>
              </w:rPr>
            </w:pPr>
            <w:r>
              <w:rPr>
                <w:sz w:val="4"/>
                <w:szCs w:val="4"/>
              </w:rPr>
            </w:r>
          </w:p>
        </w:tc>
        <w:tc>
          <w:tcPr>
            <w:tcW w:w="3357"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Brad Allen</w:t>
            </w:r>
          </w:p>
        </w:tc>
      </w:tr>
      <w:tr>
        <w:trPr/>
        <w:tc>
          <w:tcPr>
            <w:tcW w:w="725"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strike/>
                <w:color w:val="FF0000"/>
              </w:rPr>
            </w:pPr>
            <w:r>
              <w:rPr>
                <w:strike/>
                <w:color w:val="FF0000"/>
              </w:rPr>
              <w:t>Brad Allen</w:t>
            </w:r>
          </w:p>
        </w:tc>
      </w:tr>
      <w:tr>
        <w:trPr/>
        <w:tc>
          <w:tcPr>
            <w:tcW w:w="725"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strike/>
                <w:color w:val="FF0000"/>
              </w:rPr>
            </w:pPr>
            <w:r>
              <w:rPr>
                <w:strike/>
                <w:color w:val="FF0000"/>
              </w:rPr>
              <w:t>Treasurer (Principal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KEYSTONE NATIONAL GROUP, LLC</w:t>
            </w:r>
          </w:p>
        </w:tc>
      </w:tr>
      <w:tr>
        <w:trPr>
          <w:trHeight w:val="240" w:hRule="atLeast"/>
        </w:trPr>
        <w:tc>
          <w:tcPr>
            <w:tcW w:w="725" w:type="dxa"/>
            <w:tcBorders/>
            <w:vAlign w:val="center"/>
          </w:tcPr>
          <w:p>
            <w:pPr>
              <w:pStyle w:val="TableContents"/>
              <w:bidi w:val="0"/>
              <w:spacing w:before="0" w:after="283"/>
              <w:jc w:val="left"/>
              <w:rPr>
                <w:sz w:val="4"/>
                <w:szCs w:val="4"/>
              </w:rPr>
            </w:pPr>
            <w:r>
              <w:rPr>
                <w:sz w:val="4"/>
                <w:szCs w:val="4"/>
              </w:rPr>
            </w:r>
          </w:p>
        </w:tc>
        <w:tc>
          <w:tcPr>
            <w:tcW w:w="3357"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Brad Allen</w:t>
            </w:r>
          </w:p>
        </w:tc>
      </w:tr>
      <w:tr>
        <w:trPr/>
        <w:tc>
          <w:tcPr>
            <w:tcW w:w="725"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strike/>
                <w:color w:val="FF0000"/>
              </w:rPr>
            </w:pPr>
            <w:r>
              <w:rPr>
                <w:strike/>
                <w:color w:val="FF0000"/>
              </w:rPr>
              <w:t>Brad Allen</w:t>
            </w:r>
          </w:p>
        </w:tc>
      </w:tr>
      <w:tr>
        <w:trPr/>
        <w:tc>
          <w:tcPr>
            <w:tcW w:w="725"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strike/>
                <w:color w:val="FF0000"/>
              </w:rPr>
            </w:pPr>
            <w:r>
              <w:rPr>
                <w:strike/>
                <w:color w:val="FF0000"/>
              </w:rPr>
              <w:t>Managing Partner and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KEYSTONE PRIVATE MARKET OPPORTUNITIES IX (Q), LP</w:t>
            </w:r>
          </w:p>
        </w:tc>
      </w:tr>
      <w:tr>
        <w:trPr>
          <w:trHeight w:val="240" w:hRule="atLeast"/>
        </w:trPr>
        <w:tc>
          <w:tcPr>
            <w:tcW w:w="725" w:type="dxa"/>
            <w:tcBorders/>
            <w:vAlign w:val="center"/>
          </w:tcPr>
          <w:p>
            <w:pPr>
              <w:pStyle w:val="TableContents"/>
              <w:bidi w:val="0"/>
              <w:spacing w:before="0" w:after="283"/>
              <w:jc w:val="left"/>
              <w:rPr>
                <w:sz w:val="4"/>
                <w:szCs w:val="4"/>
              </w:rPr>
            </w:pPr>
            <w:r>
              <w:rPr>
                <w:sz w:val="4"/>
                <w:szCs w:val="4"/>
              </w:rPr>
            </w:r>
          </w:p>
        </w:tc>
        <w:tc>
          <w:tcPr>
            <w:tcW w:w="3357"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Brad Allen</w:t>
            </w:r>
          </w:p>
        </w:tc>
      </w:tr>
      <w:tr>
        <w:trPr/>
        <w:tc>
          <w:tcPr>
            <w:tcW w:w="725"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strike/>
                <w:color w:val="FF0000"/>
              </w:rPr>
            </w:pPr>
            <w:r>
              <w:rPr>
                <w:strike/>
                <w:color w:val="FF0000"/>
              </w:rPr>
              <w:t>Brad Allen</w:t>
            </w:r>
          </w:p>
        </w:tc>
      </w:tr>
      <w:tr>
        <w:trPr/>
        <w:tc>
          <w:tcPr>
            <w:tcW w:w="725"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strike/>
                <w:color w:val="FF0000"/>
              </w:rPr>
            </w:pPr>
            <w:r>
              <w:rPr>
                <w:strike/>
                <w:color w:val="FF0000"/>
              </w:rPr>
              <w:t>Manager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838"/>
        <w:gridCol w:w="75"/>
        <w:gridCol w:w="3169"/>
      </w:tblGrid>
      <w:tr>
        <w:trPr/>
        <w:tc>
          <w:tcPr>
            <w:tcW w:w="838"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KEYSTONE PRIVATE MARKET OPPORTUNITIES IX, LP</w:t>
            </w:r>
          </w:p>
        </w:tc>
      </w:tr>
      <w:tr>
        <w:trPr>
          <w:trHeight w:val="240" w:hRule="atLeast"/>
        </w:trPr>
        <w:tc>
          <w:tcPr>
            <w:tcW w:w="838" w:type="dxa"/>
            <w:tcBorders/>
            <w:vAlign w:val="center"/>
          </w:tcPr>
          <w:p>
            <w:pPr>
              <w:pStyle w:val="TableContents"/>
              <w:bidi w:val="0"/>
              <w:spacing w:before="0" w:after="283"/>
              <w:jc w:val="left"/>
              <w:rPr>
                <w:sz w:val="4"/>
                <w:szCs w:val="4"/>
              </w:rPr>
            </w:pPr>
            <w:r>
              <w:rPr>
                <w:sz w:val="4"/>
                <w:szCs w:val="4"/>
              </w:rPr>
            </w:r>
          </w:p>
        </w:tc>
        <w:tc>
          <w:tcPr>
            <w:tcW w:w="3244" w:type="dxa"/>
            <w:gridSpan w:val="2"/>
            <w:tcBorders/>
            <w:vAlign w:val="center"/>
          </w:tcPr>
          <w:p>
            <w:pPr>
              <w:pStyle w:val="TableContents"/>
              <w:bidi w:val="0"/>
              <w:spacing w:before="0" w:after="283"/>
              <w:jc w:val="left"/>
              <w:rPr>
                <w:sz w:val="4"/>
                <w:szCs w:val="4"/>
              </w:rPr>
            </w:pPr>
            <w:r>
              <w:rPr>
                <w:sz w:val="4"/>
                <w:szCs w:val="4"/>
              </w:rPr>
            </w:r>
          </w:p>
        </w:tc>
      </w:tr>
      <w:tr>
        <w:trPr/>
        <w:tc>
          <w:tcPr>
            <w:tcW w:w="838" w:type="dxa"/>
            <w:tcBorders/>
          </w:tcPr>
          <w:p>
            <w:pPr>
              <w:pStyle w:val="TableContents"/>
              <w:bidi w:val="0"/>
              <w:spacing w:before="0" w:after="283"/>
              <w:jc w:val="left"/>
              <w:rPr>
                <w:strike/>
                <w:color w:val="FF0000"/>
              </w:rPr>
            </w:pPr>
            <w:r>
              <w:rPr>
                <w:strike/>
                <w:color w:val="FF0000"/>
              </w:rPr>
              <w:t>By:</w:t>
            </w:r>
          </w:p>
        </w:tc>
        <w:tc>
          <w:tcPr>
            <w:tcW w:w="75" w:type="dxa"/>
            <w:tcBorders/>
            <w:vAlign w:val="bottom"/>
          </w:tcPr>
          <w:p>
            <w:pPr>
              <w:pStyle w:val="TableContents"/>
              <w:bidi w:val="0"/>
              <w:spacing w:before="0" w:after="283"/>
              <w:jc w:val="left"/>
              <w:rPr/>
            </w:pPr>
            <w:r>
              <w:rPr/>
              <w:t> </w:t>
            </w:r>
          </w:p>
        </w:tc>
        <w:tc>
          <w:tcPr>
            <w:tcW w:w="3169"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 xml:space="preserve">/s/ Brad Allen </w:t>
            </w:r>
          </w:p>
        </w:tc>
      </w:tr>
      <w:tr>
        <w:trPr/>
        <w:tc>
          <w:tcPr>
            <w:tcW w:w="838" w:type="dxa"/>
            <w:tcBorders/>
          </w:tcPr>
          <w:p>
            <w:pPr>
              <w:pStyle w:val="TableContents"/>
              <w:bidi w:val="0"/>
              <w:spacing w:before="0" w:after="283"/>
              <w:jc w:val="left"/>
              <w:rPr>
                <w:strike/>
                <w:color w:val="FF0000"/>
              </w:rPr>
            </w:pPr>
            <w:r>
              <w:rPr>
                <w:strike/>
                <w:color w:val="FF0000"/>
              </w:rPr>
              <w:t>Name:</w:t>
            </w:r>
          </w:p>
        </w:tc>
        <w:tc>
          <w:tcPr>
            <w:tcW w:w="75"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strike/>
                <w:color w:val="FF0000"/>
              </w:rPr>
            </w:pPr>
            <w:r>
              <w:rPr>
                <w:strike/>
                <w:color w:val="FF0000"/>
              </w:rPr>
              <w:t>Brad Allen</w:t>
            </w:r>
          </w:p>
        </w:tc>
      </w:tr>
      <w:tr>
        <w:trPr/>
        <w:tc>
          <w:tcPr>
            <w:tcW w:w="838" w:type="dxa"/>
            <w:tcBorders/>
          </w:tcPr>
          <w:p>
            <w:pPr>
              <w:pStyle w:val="TableContents"/>
              <w:bidi w:val="0"/>
              <w:spacing w:before="0" w:after="283"/>
              <w:jc w:val="left"/>
              <w:rPr>
                <w:strike/>
                <w:color w:val="FF0000"/>
              </w:rPr>
            </w:pPr>
            <w:r>
              <w:rPr>
                <w:strike/>
                <w:color w:val="FF0000"/>
              </w:rPr>
              <w:t>Title:</w:t>
            </w:r>
          </w:p>
        </w:tc>
        <w:tc>
          <w:tcPr>
            <w:tcW w:w="75"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strike/>
                <w:color w:val="FF0000"/>
              </w:rPr>
            </w:pPr>
            <w:r>
              <w:rPr>
                <w:strike/>
                <w:color w:val="FF0000"/>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KEYSTONE REAL ESTATE LENDING FUND, LLC</w:t>
            </w:r>
          </w:p>
        </w:tc>
      </w:tr>
      <w:tr>
        <w:trPr>
          <w:trHeight w:val="240" w:hRule="atLeast"/>
        </w:trPr>
        <w:tc>
          <w:tcPr>
            <w:tcW w:w="838" w:type="dxa"/>
            <w:tcBorders/>
            <w:vAlign w:val="center"/>
          </w:tcPr>
          <w:p>
            <w:pPr>
              <w:pStyle w:val="TableContents"/>
              <w:bidi w:val="0"/>
              <w:spacing w:before="0" w:after="283"/>
              <w:jc w:val="left"/>
              <w:rPr>
                <w:sz w:val="4"/>
                <w:szCs w:val="4"/>
              </w:rPr>
            </w:pPr>
            <w:r>
              <w:rPr>
                <w:sz w:val="4"/>
                <w:szCs w:val="4"/>
              </w:rPr>
            </w:r>
          </w:p>
        </w:tc>
        <w:tc>
          <w:tcPr>
            <w:tcW w:w="3244" w:type="dxa"/>
            <w:gridSpan w:val="2"/>
            <w:tcBorders/>
            <w:vAlign w:val="center"/>
          </w:tcPr>
          <w:p>
            <w:pPr>
              <w:pStyle w:val="TableContents"/>
              <w:bidi w:val="0"/>
              <w:spacing w:before="0" w:after="283"/>
              <w:jc w:val="left"/>
              <w:rPr>
                <w:sz w:val="4"/>
                <w:szCs w:val="4"/>
              </w:rPr>
            </w:pPr>
            <w:r>
              <w:rPr>
                <w:sz w:val="4"/>
                <w:szCs w:val="4"/>
              </w:rPr>
            </w:r>
          </w:p>
        </w:tc>
      </w:tr>
      <w:tr>
        <w:trPr/>
        <w:tc>
          <w:tcPr>
            <w:tcW w:w="838" w:type="dxa"/>
            <w:tcBorders/>
          </w:tcPr>
          <w:p>
            <w:pPr>
              <w:pStyle w:val="TableContents"/>
              <w:bidi w:val="0"/>
              <w:spacing w:before="0" w:after="283"/>
              <w:jc w:val="left"/>
              <w:rPr>
                <w:strike/>
                <w:color w:val="FF0000"/>
              </w:rPr>
            </w:pPr>
            <w:r>
              <w:rPr>
                <w:strike/>
                <w:color w:val="FF0000"/>
              </w:rPr>
              <w:t>By:</w:t>
            </w:r>
          </w:p>
        </w:tc>
        <w:tc>
          <w:tcPr>
            <w:tcW w:w="75" w:type="dxa"/>
            <w:tcBorders/>
            <w:vAlign w:val="bottom"/>
          </w:tcPr>
          <w:p>
            <w:pPr>
              <w:pStyle w:val="TableContents"/>
              <w:bidi w:val="0"/>
              <w:spacing w:before="0" w:after="283"/>
              <w:jc w:val="left"/>
              <w:rPr/>
            </w:pPr>
            <w:r>
              <w:rPr/>
              <w:t> </w:t>
            </w:r>
          </w:p>
        </w:tc>
        <w:tc>
          <w:tcPr>
            <w:tcW w:w="3169"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Brad Allen</w:t>
            </w:r>
          </w:p>
        </w:tc>
      </w:tr>
      <w:tr>
        <w:trPr/>
        <w:tc>
          <w:tcPr>
            <w:tcW w:w="838" w:type="dxa"/>
            <w:tcBorders/>
          </w:tcPr>
          <w:p>
            <w:pPr>
              <w:pStyle w:val="TableContents"/>
              <w:bidi w:val="0"/>
              <w:spacing w:before="0" w:after="283"/>
              <w:jc w:val="left"/>
              <w:rPr>
                <w:strike/>
                <w:color w:val="FF0000"/>
              </w:rPr>
            </w:pPr>
            <w:r>
              <w:rPr>
                <w:strike/>
                <w:color w:val="FF0000"/>
              </w:rPr>
              <w:t>Name:</w:t>
            </w:r>
          </w:p>
        </w:tc>
        <w:tc>
          <w:tcPr>
            <w:tcW w:w="75"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strike/>
                <w:color w:val="FF0000"/>
              </w:rPr>
            </w:pPr>
            <w:r>
              <w:rPr>
                <w:strike/>
                <w:color w:val="FF0000"/>
              </w:rPr>
              <w:t>Brad Allen</w:t>
            </w:r>
          </w:p>
        </w:tc>
      </w:tr>
      <w:tr>
        <w:trPr/>
        <w:tc>
          <w:tcPr>
            <w:tcW w:w="838" w:type="dxa"/>
            <w:tcBorders/>
          </w:tcPr>
          <w:p>
            <w:pPr>
              <w:pStyle w:val="TableContents"/>
              <w:bidi w:val="0"/>
              <w:spacing w:before="0" w:after="283"/>
              <w:jc w:val="left"/>
              <w:rPr>
                <w:strike/>
                <w:color w:val="FF0000"/>
              </w:rPr>
            </w:pPr>
            <w:r>
              <w:rPr>
                <w:strike/>
                <w:color w:val="FF0000"/>
              </w:rPr>
              <w:t>Title:</w:t>
            </w:r>
          </w:p>
        </w:tc>
        <w:tc>
          <w:tcPr>
            <w:tcW w:w="75"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strike/>
                <w:color w:val="FF0000"/>
              </w:rPr>
            </w:pPr>
            <w:r>
              <w:rPr>
                <w:strike/>
                <w:color w:val="FF0000"/>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KEYSTONE REAL ESTATE INVESTMENT TRUST, LLC</w:t>
            </w:r>
          </w:p>
        </w:tc>
      </w:tr>
      <w:tr>
        <w:trPr>
          <w:trHeight w:val="240" w:hRule="atLeast"/>
        </w:trPr>
        <w:tc>
          <w:tcPr>
            <w:tcW w:w="838" w:type="dxa"/>
            <w:tcBorders/>
            <w:vAlign w:val="center"/>
          </w:tcPr>
          <w:p>
            <w:pPr>
              <w:pStyle w:val="TableContents"/>
              <w:bidi w:val="0"/>
              <w:spacing w:before="0" w:after="283"/>
              <w:jc w:val="left"/>
              <w:rPr>
                <w:sz w:val="4"/>
                <w:szCs w:val="4"/>
              </w:rPr>
            </w:pPr>
            <w:r>
              <w:rPr>
                <w:sz w:val="4"/>
                <w:szCs w:val="4"/>
              </w:rPr>
            </w:r>
          </w:p>
        </w:tc>
        <w:tc>
          <w:tcPr>
            <w:tcW w:w="3244" w:type="dxa"/>
            <w:gridSpan w:val="2"/>
            <w:tcBorders/>
            <w:vAlign w:val="center"/>
          </w:tcPr>
          <w:p>
            <w:pPr>
              <w:pStyle w:val="TableContents"/>
              <w:bidi w:val="0"/>
              <w:spacing w:before="0" w:after="283"/>
              <w:jc w:val="left"/>
              <w:rPr>
                <w:sz w:val="4"/>
                <w:szCs w:val="4"/>
              </w:rPr>
            </w:pPr>
            <w:r>
              <w:rPr>
                <w:sz w:val="4"/>
                <w:szCs w:val="4"/>
              </w:rPr>
            </w:r>
          </w:p>
        </w:tc>
      </w:tr>
      <w:tr>
        <w:trPr/>
        <w:tc>
          <w:tcPr>
            <w:tcW w:w="838" w:type="dxa"/>
            <w:tcBorders/>
          </w:tcPr>
          <w:p>
            <w:pPr>
              <w:pStyle w:val="TableContents"/>
              <w:bidi w:val="0"/>
              <w:spacing w:before="0" w:after="283"/>
              <w:jc w:val="left"/>
              <w:rPr>
                <w:strike/>
                <w:color w:val="FF0000"/>
              </w:rPr>
            </w:pPr>
            <w:r>
              <w:rPr>
                <w:strike/>
                <w:color w:val="FF0000"/>
              </w:rPr>
              <w:t>By:</w:t>
            </w:r>
          </w:p>
        </w:tc>
        <w:tc>
          <w:tcPr>
            <w:tcW w:w="75" w:type="dxa"/>
            <w:tcBorders/>
            <w:vAlign w:val="bottom"/>
          </w:tcPr>
          <w:p>
            <w:pPr>
              <w:pStyle w:val="TableContents"/>
              <w:bidi w:val="0"/>
              <w:spacing w:before="0" w:after="283"/>
              <w:jc w:val="left"/>
              <w:rPr/>
            </w:pPr>
            <w:r>
              <w:rPr/>
              <w:t> </w:t>
            </w:r>
          </w:p>
        </w:tc>
        <w:tc>
          <w:tcPr>
            <w:tcW w:w="3169"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Brad Allen</w:t>
            </w:r>
          </w:p>
        </w:tc>
      </w:tr>
      <w:tr>
        <w:trPr/>
        <w:tc>
          <w:tcPr>
            <w:tcW w:w="838" w:type="dxa"/>
            <w:tcBorders/>
          </w:tcPr>
          <w:p>
            <w:pPr>
              <w:pStyle w:val="TableContents"/>
              <w:bidi w:val="0"/>
              <w:spacing w:before="0" w:after="283"/>
              <w:jc w:val="left"/>
              <w:rPr>
                <w:strike/>
                <w:color w:val="FF0000"/>
              </w:rPr>
            </w:pPr>
            <w:r>
              <w:rPr>
                <w:strike/>
                <w:color w:val="FF0000"/>
              </w:rPr>
              <w:t>Name:</w:t>
            </w:r>
          </w:p>
        </w:tc>
        <w:tc>
          <w:tcPr>
            <w:tcW w:w="75"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strike/>
                <w:color w:val="FF0000"/>
              </w:rPr>
            </w:pPr>
            <w:r>
              <w:rPr>
                <w:strike/>
                <w:color w:val="FF0000"/>
              </w:rPr>
              <w:t>Brad Allen</w:t>
            </w:r>
          </w:p>
        </w:tc>
      </w:tr>
      <w:tr>
        <w:trPr/>
        <w:tc>
          <w:tcPr>
            <w:tcW w:w="838" w:type="dxa"/>
            <w:tcBorders/>
          </w:tcPr>
          <w:p>
            <w:pPr>
              <w:pStyle w:val="TableContents"/>
              <w:bidi w:val="0"/>
              <w:spacing w:before="0" w:after="283"/>
              <w:jc w:val="left"/>
              <w:rPr>
                <w:strike/>
                <w:color w:val="FF0000"/>
              </w:rPr>
            </w:pPr>
            <w:r>
              <w:rPr>
                <w:strike/>
                <w:color w:val="FF0000"/>
              </w:rPr>
              <w:t>Title:</w:t>
            </w:r>
          </w:p>
        </w:tc>
        <w:tc>
          <w:tcPr>
            <w:tcW w:w="75"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strike/>
                <w:color w:val="FF0000"/>
              </w:rPr>
            </w:pPr>
            <w:r>
              <w:rPr>
                <w:strike/>
                <w:color w:val="FF0000"/>
              </w:rPr>
              <w:t>Manager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INVESTMENT CORPORATION</w:t>
      </w:r>
      <w:r>
        <w:rPr>
          <w:rFonts w:ascii="Times New Roman" w:hAnsi="Times New Roman"/>
          <w:sz w:val="20"/>
        </w:rPr>
        <w:t xml:space="preser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0"/>
        <w:gridCol w:w="60"/>
        <w:gridCol w:w="690"/>
        <w:gridCol w:w="60"/>
        <w:gridCol w:w="2882"/>
      </w:tblGrid>
      <w:tr>
        <w:trPr/>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60" w:type="dxa"/>
            <w:tcBorders/>
            <w:vAlign w:val="bottom"/>
          </w:tcPr>
          <w:p>
            <w:pPr>
              <w:pStyle w:val="TableContents"/>
              <w:bidi w:val="0"/>
              <w:spacing w:before="0" w:after="283"/>
              <w:jc w:val="left"/>
              <w:rPr/>
            </w:pPr>
            <w:r>
              <w:rPr/>
              <w:t> </w:t>
            </w:r>
          </w:p>
        </w:tc>
        <w:tc>
          <w:tcPr>
            <w:tcW w:w="3632" w:type="dxa"/>
            <w:gridSpan w:val="3"/>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w:t>
            </w:r>
          </w:p>
        </w:tc>
        <w:tc>
          <w:tcPr>
            <w:tcW w:w="60"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Edward H. Ross</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w:t>
            </w:r>
          </w:p>
        </w:tc>
        <w:tc>
          <w:tcPr>
            <w:tcW w:w="60"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Authorized Person</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INVESTMENT ADVISORS, LLC</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4"/>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60" w:type="dxa"/>
            <w:tcBorders/>
            <w:vAlign w:val="bottom"/>
          </w:tcPr>
          <w:p>
            <w:pPr>
              <w:pStyle w:val="TableContents"/>
              <w:bidi w:val="0"/>
              <w:spacing w:before="0" w:after="283"/>
              <w:jc w:val="left"/>
              <w:rPr/>
            </w:pPr>
            <w:r>
              <w:rPr/>
              <w:t> </w:t>
            </w:r>
          </w:p>
        </w:tc>
        <w:tc>
          <w:tcPr>
            <w:tcW w:w="3632" w:type="dxa"/>
            <w:gridSpan w:val="3"/>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w:t>
            </w:r>
          </w:p>
        </w:tc>
        <w:tc>
          <w:tcPr>
            <w:tcW w:w="60"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Edward H. Ross</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w:t>
            </w:r>
          </w:p>
        </w:tc>
        <w:tc>
          <w:tcPr>
            <w:tcW w:w="60"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Authorized Person</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color w:val="0000FF"/>
                <w:u w:val="single"/>
                <w:bdr w:val="double" w:sz="2" w:space="1" w:color="000000"/>
              </w:rPr>
            </w:pPr>
            <w:r>
              <w:rPr>
                <w:b/>
                <w:color w:val="0000FF"/>
                <w:u w:val="single"/>
                <w:bdr w:val="double" w:sz="2" w:space="1" w:color="000000"/>
              </w:rPr>
              <w:t>EXISTING WHOLLY-OWNED SUBSIDIARIES</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MEZZANINE CAPITAL, L.P.</w:t>
            </w:r>
          </w:p>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MEZZANINE CAPITAL II, L.P.</w:t>
            </w:r>
          </w:p>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MEZZANINE CAPITAL III, L.P.</w:t>
            </w:r>
          </w:p>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MEZZANINE CAPITAL IV, L.P.</w:t>
            </w:r>
          </w:p>
          <w:p>
            <w:pPr>
              <w:pStyle w:val="TableContents"/>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FIC FUNDING, LLC</w:t>
            </w:r>
          </w:p>
        </w:tc>
      </w:tr>
      <w:tr>
        <w:trPr/>
        <w:tc>
          <w:tcPr>
            <w:tcW w:w="4082" w:type="dxa"/>
            <w:gridSpan w:val="5"/>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INVESTMENT HOLDINGS, INC.</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4"/>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60" w:type="dxa"/>
            <w:tcBorders/>
            <w:vAlign w:val="bottom"/>
          </w:tcPr>
          <w:p>
            <w:pPr>
              <w:pStyle w:val="TableContents"/>
              <w:bidi w:val="0"/>
              <w:spacing w:before="0" w:after="283"/>
              <w:jc w:val="left"/>
              <w:rPr/>
            </w:pPr>
            <w:r>
              <w:rPr/>
              <w:t> </w:t>
            </w:r>
          </w:p>
        </w:tc>
        <w:tc>
          <w:tcPr>
            <w:tcW w:w="3632" w:type="dxa"/>
            <w:gridSpan w:val="3"/>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w:t>
            </w:r>
          </w:p>
        </w:tc>
        <w:tc>
          <w:tcPr>
            <w:tcW w:w="60"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Edward H. Ross</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w:t>
            </w:r>
          </w:p>
        </w:tc>
        <w:tc>
          <w:tcPr>
            <w:tcW w:w="60"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Authorized Person</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color w:val="0000FF"/>
                <w:u w:val="single"/>
                <w:bdr w:val="double" w:sz="2" w:space="1" w:color="000000"/>
              </w:rPr>
            </w:pPr>
            <w:r>
              <w:rPr>
                <w:b/>
                <w:color w:val="0000FF"/>
                <w:u w:val="single"/>
                <w:bdr w:val="double" w:sz="2" w:space="1" w:color="000000"/>
              </w:rPr>
              <w:t>EXISTING AFFILIATED FUNDS</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CREDIT OPPORTUNITIES, L.P. FIDUS EQUITY OPPORTUNITIES FUND, L.P.</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4"/>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60" w:type="dxa"/>
            <w:tcBorders/>
            <w:vAlign w:val="bottom"/>
          </w:tcPr>
          <w:p>
            <w:pPr>
              <w:pStyle w:val="TableContents"/>
              <w:bidi w:val="0"/>
              <w:spacing w:before="0" w:after="283"/>
              <w:jc w:val="left"/>
              <w:rPr/>
            </w:pPr>
            <w:r>
              <w:rPr/>
              <w:t> </w:t>
            </w:r>
          </w:p>
        </w:tc>
        <w:tc>
          <w:tcPr>
            <w:tcW w:w="3632" w:type="dxa"/>
            <w:gridSpan w:val="3"/>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w:t>
            </w:r>
          </w:p>
        </w:tc>
        <w:tc>
          <w:tcPr>
            <w:tcW w:w="60"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Edward H. Ross</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w:t>
            </w:r>
          </w:p>
        </w:tc>
        <w:tc>
          <w:tcPr>
            <w:tcW w:w="60"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Authorized Person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strike/>
          <w:color w:val="FF0000"/>
          <w:sz w:val="20"/>
        </w:rPr>
        <w:t>VERIFICATION</w:t>
      </w:r>
      <w:r>
        <w:rPr>
          <w:rFonts w:ascii="Times New Roman" w:hAnsi="Times New Roman"/>
          <w:color w:val="0000FF"/>
          <w:sz w:val="20"/>
          <w:u w:val="single"/>
          <w:bdr w:val="double" w:sz="2" w:space="1" w:color="000000"/>
        </w:rPr>
        <w:t>Exhibit A</w:t>
      </w:r>
      <w:r>
        <w:rPr>
          <w:rFonts w:ascii="Times New Roman" w:hAnsi="Times New Roman"/>
          <w:sz w:val="20"/>
        </w:rPr>
        <w:t xml:space="preserve"> </w:t>
      </w:r>
    </w:p>
    <w:p>
      <w:pPr>
        <w:pStyle w:val="TextBody"/>
        <w:bidi w:val="0"/>
        <w:spacing w:before="240" w:after="0"/>
        <w:jc w:val="center"/>
        <w:rPr>
          <w:rFonts w:ascii="Times New Roman" w:hAnsi="Times New Roman"/>
          <w:color w:val="0000FF"/>
          <w:sz w:val="20"/>
        </w:rPr>
      </w:pPr>
      <w:r>
        <w:rPr>
          <w:rFonts w:ascii="Times New Roman" w:hAnsi="Times New Roman"/>
          <w:color w:val="0000FF"/>
          <w:sz w:val="20"/>
          <w:u w:val="single"/>
          <w:bdr w:val="double" w:sz="2" w:space="1" w:color="000000"/>
        </w:rPr>
        <w:t>Verification</w:t>
      </w:r>
      <w:r>
        <w:rPr>
          <w:rFonts w:ascii="Times New Roman" w:hAnsi="Times New Roman"/>
          <w:color w:val="0000FF"/>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Each of the</w:t>
      </w:r>
      <w:r>
        <w:rPr>
          <w:rFonts w:ascii="Times New Roman" w:hAnsi="Times New Roman"/>
          <w:color w:val="0000FF"/>
          <w:sz w:val="20"/>
          <w:u w:val="single"/>
          <w:bdr w:val="double" w:sz="2" w:space="1" w:color="000000"/>
        </w:rPr>
        <w:t>The</w:t>
      </w:r>
      <w:r>
        <w:rPr>
          <w:rFonts w:ascii="Times New Roman" w:hAnsi="Times New Roman"/>
          <w:sz w:val="20"/>
        </w:rPr>
        <w:t xml:space="preserve"> undersigned states that he has duly executed the attached </w:t>
      </w:r>
      <w:r>
        <w:rPr>
          <w:rFonts w:ascii="Times New Roman" w:hAnsi="Times New Roman"/>
          <w:strike/>
          <w:color w:val="FF0000"/>
          <w:sz w:val="20"/>
        </w:rPr>
        <w:t>Amendment No. 2 to the</w:t>
      </w:r>
      <w:r>
        <w:rPr>
          <w:rFonts w:ascii="Times New Roman" w:hAnsi="Times New Roman"/>
          <w:sz w:val="20"/>
        </w:rPr>
        <w:t xml:space="preserve"> Application</w:t>
      </w:r>
      <w:r>
        <w:rPr>
          <w:rFonts w:ascii="Times New Roman" w:hAnsi="Times New Roman"/>
          <w:color w:val="0000FF"/>
          <w:sz w:val="20"/>
          <w:u w:val="single"/>
          <w:bdr w:val="double" w:sz="2" w:space="1" w:color="000000"/>
        </w:rPr>
        <w:t>,</w:t>
      </w:r>
      <w:r>
        <w:rPr>
          <w:rFonts w:ascii="Times New Roman" w:hAnsi="Times New Roman"/>
          <w:sz w:val="20"/>
        </w:rPr>
        <w:t xml:space="preserve"> dated </w:t>
      </w:r>
      <w:r>
        <w:rPr>
          <w:rFonts w:ascii="Times New Roman" w:hAnsi="Times New Roman"/>
          <w:strike/>
          <w:color w:val="FF0000"/>
          <w:sz w:val="20"/>
        </w:rPr>
        <w:t>as of May 8</w:t>
      </w:r>
      <w:r>
        <w:rPr>
          <w:rFonts w:ascii="Times New Roman" w:hAnsi="Times New Roman"/>
          <w:color w:val="0000FF"/>
          <w:sz w:val="20"/>
          <w:u w:val="single"/>
          <w:bdr w:val="double" w:sz="2" w:space="1" w:color="000000"/>
        </w:rPr>
        <w:t>August 28</w:t>
      </w:r>
      <w:r>
        <w:rPr>
          <w:rFonts w:ascii="Times New Roman" w:hAnsi="Times New Roman"/>
          <w:sz w:val="20"/>
        </w:rPr>
        <w:t>, 2026</w:t>
      </w:r>
      <w:r>
        <w:rPr>
          <w:rFonts w:ascii="Times New Roman" w:hAnsi="Times New Roman"/>
          <w:color w:val="0000FF"/>
          <w:sz w:val="20"/>
          <w:u w:val="single"/>
          <w:bdr w:val="double" w:sz="2" w:space="1" w:color="000000"/>
        </w:rPr>
        <w:t>,</w:t>
      </w:r>
      <w:r>
        <w:rPr>
          <w:rFonts w:ascii="Times New Roman" w:hAnsi="Times New Roman"/>
          <w:sz w:val="20"/>
        </w:rPr>
        <w:t xml:space="preserve"> for and on behalf of the </w:t>
      </w:r>
      <w:r>
        <w:rPr>
          <w:rFonts w:ascii="Times New Roman" w:hAnsi="Times New Roman"/>
          <w:strike/>
          <w:color w:val="FF0000"/>
          <w:sz w:val="20"/>
        </w:rPr>
        <w:t>entities listed below;</w:t>
      </w:r>
      <w:r>
        <w:rPr>
          <w:rFonts w:ascii="Times New Roman" w:hAnsi="Times New Roman"/>
          <w:color w:val="0000FF"/>
          <w:sz w:val="20"/>
          <w:u w:val="single"/>
          <w:bdr w:val="double" w:sz="2" w:space="1" w:color="000000"/>
        </w:rPr>
        <w:t>Applicants, as the case may be,</w:t>
      </w:r>
      <w:r>
        <w:rPr>
          <w:rFonts w:ascii="Times New Roman" w:hAnsi="Times New Roman"/>
          <w:sz w:val="20"/>
        </w:rPr>
        <w:t xml:space="preserve"> that he holds</w:t>
      </w:r>
      <w:r>
        <w:rPr>
          <w:rFonts w:ascii="Times New Roman" w:hAnsi="Times New Roman"/>
          <w:color w:val="0000FF"/>
          <w:sz w:val="20"/>
          <w:u w:val="single"/>
          <w:bdr w:val="double" w:sz="2" w:space="1" w:color="000000"/>
        </w:rPr>
        <w:t xml:space="preserve"> the</w:t>
      </w:r>
      <w:r>
        <w:rPr>
          <w:rFonts w:ascii="Times New Roman" w:hAnsi="Times New Roman"/>
          <w:sz w:val="20"/>
        </w:rPr>
        <w:t xml:space="preserve"> office with</w:t>
      </w:r>
      <w:r>
        <w:rPr>
          <w:rFonts w:ascii="Times New Roman" w:hAnsi="Times New Roman"/>
          <w:color w:val="0000FF"/>
          <w:sz w:val="20"/>
          <w:u w:val="single"/>
          <w:bdr w:val="double" w:sz="2" w:space="1" w:color="000000"/>
        </w:rPr>
        <w:t xml:space="preserve"> each</w:t>
      </w:r>
      <w:r>
        <w:rPr>
          <w:rFonts w:ascii="Times New Roman" w:hAnsi="Times New Roman"/>
          <w:sz w:val="20"/>
        </w:rPr>
        <w:t xml:space="preserve"> such entity as indicated below, and that all</w:t>
      </w:r>
      <w:r>
        <w:rPr>
          <w:rFonts w:ascii="Times New Roman" w:hAnsi="Times New Roman"/>
          <w:strike/>
          <w:color w:val="FF0000"/>
          <w:sz w:val="20"/>
        </w:rPr>
        <w:t xml:space="preserve"> action by</w:t>
      </w:r>
      <w:r>
        <w:rPr>
          <w:rFonts w:ascii="Times New Roman" w:hAnsi="Times New Roman"/>
          <w:color w:val="0000FF"/>
          <w:sz w:val="20"/>
          <w:u w:val="single"/>
          <w:bdr w:val="double" w:sz="2" w:space="1" w:color="000000"/>
        </w:rPr>
        <w:t>actions by stockholders, officers,</w:t>
      </w:r>
      <w:r>
        <w:rPr>
          <w:rFonts w:ascii="Times New Roman" w:hAnsi="Times New Roman"/>
          <w:sz w:val="20"/>
        </w:rPr>
        <w:t xml:space="preserve"> directors,</w:t>
      </w:r>
      <w:r>
        <w:rPr>
          <w:rFonts w:ascii="Times New Roman" w:hAnsi="Times New Roman"/>
          <w:strike/>
          <w:color w:val="FF0000"/>
          <w:sz w:val="20"/>
        </w:rPr>
        <w:t xml:space="preserve"> officers, stockholders, general partners, trustees or members of each entity and any other body</w:t>
      </w:r>
      <w:r>
        <w:rPr>
          <w:rFonts w:ascii="Times New Roman" w:hAnsi="Times New Roman"/>
          <w:color w:val="0000FF"/>
          <w:sz w:val="20"/>
          <w:u w:val="single"/>
          <w:bdr w:val="double" w:sz="2" w:space="1" w:color="000000"/>
        </w:rPr>
        <w:t>and other bodies</w:t>
      </w:r>
      <w:r>
        <w:rPr>
          <w:rFonts w:ascii="Times New Roman" w:hAnsi="Times New Roman"/>
          <w:sz w:val="20"/>
        </w:rPr>
        <w:t xml:space="preserve"> necessary to authorize the undersigned to execute and file such </w:t>
      </w:r>
      <w:r>
        <w:rPr>
          <w:rFonts w:ascii="Times New Roman" w:hAnsi="Times New Roman"/>
          <w:strike/>
          <w:color w:val="FF0000"/>
          <w:sz w:val="20"/>
        </w:rPr>
        <w:t>instrument has</w:t>
      </w:r>
      <w:r>
        <w:rPr>
          <w:rFonts w:ascii="Times New Roman" w:hAnsi="Times New Roman"/>
          <w:color w:val="0000FF"/>
          <w:sz w:val="20"/>
          <w:u w:val="single"/>
          <w:bdr w:val="double" w:sz="2" w:space="1" w:color="000000"/>
        </w:rPr>
        <w:t>Application have</w:t>
      </w:r>
      <w:r>
        <w:rPr>
          <w:rFonts w:ascii="Times New Roman" w:hAnsi="Times New Roman"/>
          <w:sz w:val="20"/>
        </w:rPr>
        <w:t xml:space="preserve"> been taken.</w:t>
      </w:r>
      <w:r>
        <w:rPr>
          <w:rFonts w:ascii="Times New Roman" w:hAnsi="Times New Roman"/>
          <w:strike/>
          <w:color w:val="FF0000"/>
          <w:sz w:val="20"/>
        </w:rPr>
        <w:t xml:space="preserve"> Each of the</w:t>
      </w:r>
      <w:r>
        <w:rPr>
          <w:rFonts w:ascii="Times New Roman" w:hAnsi="Times New Roman"/>
          <w:color w:val="0000FF"/>
          <w:sz w:val="20"/>
          <w:u w:val="single"/>
          <w:bdr w:val="double" w:sz="2" w:space="1" w:color="000000"/>
        </w:rPr>
        <w:t>The</w:t>
      </w:r>
      <w:r>
        <w:rPr>
          <w:rFonts w:ascii="Times New Roman" w:hAnsi="Times New Roman"/>
          <w:sz w:val="20"/>
        </w:rPr>
        <w:t xml:space="preserve"> undersigned further states that he is familiar with </w:t>
      </w:r>
      <w:r>
        <w:rPr>
          <w:rFonts w:ascii="Times New Roman" w:hAnsi="Times New Roman"/>
          <w:strike/>
          <w:color w:val="FF0000"/>
          <w:sz w:val="20"/>
        </w:rPr>
        <w:t>such</w:t>
      </w:r>
      <w:r>
        <w:rPr>
          <w:rFonts w:ascii="Times New Roman" w:hAnsi="Times New Roman"/>
          <w:color w:val="0000FF"/>
          <w:sz w:val="20"/>
          <w:u w:val="single"/>
          <w:bdr w:val="double" w:sz="2" w:space="1" w:color="000000"/>
        </w:rPr>
        <w:t>the</w:t>
      </w:r>
      <w:r>
        <w:rPr>
          <w:rFonts w:ascii="Times New Roman" w:hAnsi="Times New Roman"/>
          <w:sz w:val="20"/>
        </w:rPr>
        <w:t xml:space="preserve"> instrument</w:t>
      </w:r>
      <w:r>
        <w:rPr>
          <w:rFonts w:ascii="Times New Roman" w:hAnsi="Times New Roman"/>
          <w:strike/>
          <w:color w:val="FF0000"/>
          <w:sz w:val="20"/>
        </w:rPr>
        <w:t>,</w:t>
      </w:r>
      <w:r>
        <w:rPr>
          <w:rFonts w:ascii="Times New Roman" w:hAnsi="Times New Roman"/>
          <w:sz w:val="20"/>
        </w:rPr>
        <w:t xml:space="preserve"> and the contents thereof, and that the facts</w:t>
      </w:r>
      <w:r>
        <w:rPr>
          <w:rFonts w:ascii="Times New Roman" w:hAnsi="Times New Roman"/>
          <w:strike/>
          <w:color w:val="FF0000"/>
          <w:sz w:val="20"/>
        </w:rPr>
        <w:t xml:space="preserve"> therein</w:t>
      </w:r>
      <w:r>
        <w:rPr>
          <w:rFonts w:ascii="Times New Roman" w:hAnsi="Times New Roman"/>
          <w:sz w:val="20"/>
        </w:rPr>
        <w:t xml:space="preserve"> set forth</w:t>
      </w:r>
      <w:r>
        <w:rPr>
          <w:rFonts w:ascii="Times New Roman" w:hAnsi="Times New Roman"/>
          <w:color w:val="0000FF"/>
          <w:sz w:val="20"/>
          <w:u w:val="single"/>
          <w:bdr w:val="double" w:sz="2" w:space="1" w:color="000000"/>
        </w:rPr>
        <w:t xml:space="preserve"> therein</w:t>
      </w:r>
      <w:r>
        <w:rPr>
          <w:rFonts w:ascii="Times New Roman" w:hAnsi="Times New Roman"/>
          <w:sz w:val="20"/>
        </w:rPr>
        <w:t xml:space="preserve"> are true to the best of his </w:t>
      </w:r>
      <w:r>
        <w:rPr>
          <w:rFonts w:ascii="Times New Roman" w:hAnsi="Times New Roman"/>
          <w:color w:val="0000FF"/>
          <w:sz w:val="20"/>
          <w:u w:val="single"/>
          <w:bdr w:val="double" w:sz="2" w:space="1" w:color="000000"/>
        </w:rPr>
        <w:t>or her</w:t>
      </w:r>
      <w:r>
        <w:rPr>
          <w:rFonts w:ascii="Times New Roman" w:hAnsi="Times New Roman"/>
          <w:sz w:val="20"/>
        </w:rPr>
        <w:t xml:space="preserve"> knowledge, information, and belief.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96"/>
        <w:gridCol w:w="60"/>
        <w:gridCol w:w="3326"/>
      </w:tblGrid>
      <w:tr>
        <w:trPr/>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trike/>
                <w:color w:val="FF0000"/>
              </w:rPr>
            </w:pPr>
            <w:r>
              <w:rPr>
                <w:b/>
                <w:strike/>
                <w:color w:val="FF0000"/>
              </w:rPr>
              <w:t>KEYSTONE PRIVATE INCOME FUND</w:t>
            </w:r>
          </w:p>
        </w:tc>
      </w:tr>
      <w:tr>
        <w:trPr>
          <w:trHeight w:val="240" w:hRule="atLeast"/>
        </w:trPr>
        <w:tc>
          <w:tcPr>
            <w:tcW w:w="696" w:type="dxa"/>
            <w:tcBorders/>
            <w:vAlign w:val="center"/>
          </w:tcPr>
          <w:p>
            <w:pPr>
              <w:pStyle w:val="TableContents"/>
              <w:bidi w:val="0"/>
              <w:spacing w:before="0" w:after="283"/>
              <w:jc w:val="left"/>
              <w:rPr>
                <w:sz w:val="4"/>
                <w:szCs w:val="4"/>
              </w:rPr>
            </w:pPr>
            <w:r>
              <w:rPr>
                <w:sz w:val="4"/>
                <w:szCs w:val="4"/>
              </w:rPr>
            </w:r>
          </w:p>
        </w:tc>
        <w:tc>
          <w:tcPr>
            <w:tcW w:w="3386"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Brad Allen</w:t>
            </w:r>
          </w:p>
        </w:tc>
      </w:tr>
      <w:tr>
        <w:trPr/>
        <w:tc>
          <w:tcPr>
            <w:tcW w:w="696"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283"/>
              <w:jc w:val="left"/>
              <w:rPr>
                <w:strike/>
                <w:color w:val="FF0000"/>
              </w:rPr>
            </w:pPr>
            <w:r>
              <w:rPr>
                <w:strike/>
                <w:color w:val="FF0000"/>
              </w:rPr>
              <w:t>Brad Allen</w:t>
            </w:r>
          </w:p>
        </w:tc>
      </w:tr>
      <w:tr>
        <w:trPr/>
        <w:tc>
          <w:tcPr>
            <w:tcW w:w="696"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283"/>
              <w:jc w:val="left"/>
              <w:rPr>
                <w:strike/>
                <w:color w:val="FF0000"/>
              </w:rPr>
            </w:pPr>
            <w:r>
              <w:rPr>
                <w:strike/>
                <w:color w:val="FF0000"/>
              </w:rPr>
              <w:t>Treasurer (Principal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trike/>
                <w:color w:val="FF0000"/>
              </w:rPr>
            </w:pPr>
            <w:r>
              <w:rPr>
                <w:b/>
                <w:strike/>
                <w:color w:val="FF0000"/>
              </w:rPr>
              <w:t>KEYSTONE NATIONAL GROUP, LLC</w:t>
            </w:r>
          </w:p>
        </w:tc>
      </w:tr>
      <w:tr>
        <w:trPr>
          <w:trHeight w:val="240" w:hRule="atLeast"/>
        </w:trPr>
        <w:tc>
          <w:tcPr>
            <w:tcW w:w="696" w:type="dxa"/>
            <w:tcBorders/>
            <w:vAlign w:val="center"/>
          </w:tcPr>
          <w:p>
            <w:pPr>
              <w:pStyle w:val="TableContents"/>
              <w:bidi w:val="0"/>
              <w:spacing w:before="0" w:after="283"/>
              <w:jc w:val="left"/>
              <w:rPr>
                <w:sz w:val="4"/>
                <w:szCs w:val="4"/>
              </w:rPr>
            </w:pPr>
            <w:r>
              <w:rPr>
                <w:sz w:val="4"/>
                <w:szCs w:val="4"/>
              </w:rPr>
            </w:r>
          </w:p>
        </w:tc>
        <w:tc>
          <w:tcPr>
            <w:tcW w:w="3386"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Brad Allen</w:t>
            </w:r>
          </w:p>
        </w:tc>
      </w:tr>
      <w:tr>
        <w:trPr/>
        <w:tc>
          <w:tcPr>
            <w:tcW w:w="696"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283"/>
              <w:jc w:val="left"/>
              <w:rPr>
                <w:strike/>
                <w:color w:val="FF0000"/>
              </w:rPr>
            </w:pPr>
            <w:r>
              <w:rPr>
                <w:strike/>
                <w:color w:val="FF0000"/>
              </w:rPr>
              <w:t>Brad Allen</w:t>
            </w:r>
          </w:p>
        </w:tc>
      </w:tr>
      <w:tr>
        <w:trPr/>
        <w:tc>
          <w:tcPr>
            <w:tcW w:w="696" w:type="dxa"/>
            <w:tcBorders/>
          </w:tcPr>
          <w:p>
            <w:pPr>
              <w:pStyle w:val="TableContents"/>
              <w:bidi w:val="0"/>
              <w:spacing w:before="0" w:after="283"/>
              <w:jc w:val="left"/>
              <w:rPr>
                <w:strike/>
                <w:color w:val="FF0000"/>
              </w:rPr>
            </w:pPr>
            <w:r>
              <w:rPr>
                <w:strike/>
                <w:color w:val="FF0000"/>
              </w:rPr>
              <w:t xml:space="preserve">Title: </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283"/>
              <w:jc w:val="left"/>
              <w:rPr>
                <w:strike/>
                <w:color w:val="FF0000"/>
              </w:rPr>
            </w:pPr>
            <w:r>
              <w:rPr>
                <w:strike/>
                <w:color w:val="FF0000"/>
              </w:rPr>
              <w:t>Managing Partner and Chief Financial Officer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880"/>
        <w:gridCol w:w="80"/>
        <w:gridCol w:w="3122"/>
      </w:tblGrid>
      <w:tr>
        <w:trPr/>
        <w:tc>
          <w:tcPr>
            <w:tcW w:w="88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31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trike/>
                <w:color w:val="FF0000"/>
              </w:rPr>
            </w:pPr>
            <w:r>
              <w:rPr>
                <w:b/>
                <w:strike/>
                <w:color w:val="FF0000"/>
              </w:rPr>
              <w:t>KEYSTONE PRIVATE MARKET OPPORTUNITIES IX (Q), LP</w:t>
            </w:r>
          </w:p>
        </w:tc>
      </w:tr>
      <w:tr>
        <w:trPr>
          <w:trHeight w:val="240" w:hRule="atLeast"/>
        </w:trPr>
        <w:tc>
          <w:tcPr>
            <w:tcW w:w="880" w:type="dxa"/>
            <w:tcBorders/>
            <w:vAlign w:val="center"/>
          </w:tcPr>
          <w:p>
            <w:pPr>
              <w:pStyle w:val="TableContents"/>
              <w:bidi w:val="0"/>
              <w:spacing w:before="0" w:after="283"/>
              <w:jc w:val="left"/>
              <w:rPr>
                <w:sz w:val="4"/>
                <w:szCs w:val="4"/>
              </w:rPr>
            </w:pPr>
            <w:r>
              <w:rPr>
                <w:sz w:val="4"/>
                <w:szCs w:val="4"/>
              </w:rPr>
            </w:r>
          </w:p>
        </w:tc>
        <w:tc>
          <w:tcPr>
            <w:tcW w:w="3202"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strike/>
                <w:color w:val="FF0000"/>
              </w:rPr>
            </w:pPr>
            <w:r>
              <w:rPr>
                <w:strike/>
                <w:color w:val="FF0000"/>
              </w:rPr>
              <w:t>By:</w:t>
            </w:r>
          </w:p>
        </w:tc>
        <w:tc>
          <w:tcPr>
            <w:tcW w:w="80" w:type="dxa"/>
            <w:tcBorders/>
            <w:vAlign w:val="bottom"/>
          </w:tcPr>
          <w:p>
            <w:pPr>
              <w:pStyle w:val="TableContents"/>
              <w:bidi w:val="0"/>
              <w:spacing w:before="0" w:after="283"/>
              <w:jc w:val="left"/>
              <w:rPr/>
            </w:pPr>
            <w:r>
              <w:rPr/>
              <w:t> </w:t>
            </w:r>
          </w:p>
        </w:tc>
        <w:tc>
          <w:tcPr>
            <w:tcW w:w="3122"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Brad Allen</w:t>
            </w:r>
          </w:p>
        </w:tc>
      </w:tr>
      <w:tr>
        <w:trPr/>
        <w:tc>
          <w:tcPr>
            <w:tcW w:w="880" w:type="dxa"/>
            <w:tcBorders/>
          </w:tcPr>
          <w:p>
            <w:pPr>
              <w:pStyle w:val="TableContents"/>
              <w:bidi w:val="0"/>
              <w:spacing w:before="0" w:after="283"/>
              <w:jc w:val="left"/>
              <w:rPr>
                <w:strike/>
                <w:color w:val="FF0000"/>
              </w:rPr>
            </w:pPr>
            <w:r>
              <w:rPr>
                <w:strike/>
                <w:color w:val="FF0000"/>
              </w:rPr>
              <w:t>Name:</w:t>
            </w:r>
          </w:p>
        </w:tc>
        <w:tc>
          <w:tcPr>
            <w:tcW w:w="80" w:type="dxa"/>
            <w:tcBorders/>
            <w:vAlign w:val="bottom"/>
          </w:tcPr>
          <w:p>
            <w:pPr>
              <w:pStyle w:val="TableContents"/>
              <w:bidi w:val="0"/>
              <w:spacing w:before="0" w:after="283"/>
              <w:jc w:val="left"/>
              <w:rPr/>
            </w:pPr>
            <w:r>
              <w:rPr/>
              <w:t> </w:t>
            </w:r>
          </w:p>
        </w:tc>
        <w:tc>
          <w:tcPr>
            <w:tcW w:w="3122" w:type="dxa"/>
            <w:tcBorders/>
          </w:tcPr>
          <w:p>
            <w:pPr>
              <w:pStyle w:val="TableContents"/>
              <w:bidi w:val="0"/>
              <w:spacing w:before="0" w:after="283"/>
              <w:jc w:val="left"/>
              <w:rPr>
                <w:strike/>
                <w:color w:val="FF0000"/>
              </w:rPr>
            </w:pPr>
            <w:r>
              <w:rPr>
                <w:strike/>
                <w:color w:val="FF0000"/>
              </w:rPr>
              <w:t>Brad Allen</w:t>
            </w:r>
          </w:p>
        </w:tc>
      </w:tr>
      <w:tr>
        <w:trPr/>
        <w:tc>
          <w:tcPr>
            <w:tcW w:w="880" w:type="dxa"/>
            <w:tcBorders/>
          </w:tcPr>
          <w:p>
            <w:pPr>
              <w:pStyle w:val="TableContents"/>
              <w:bidi w:val="0"/>
              <w:spacing w:before="0" w:after="283"/>
              <w:jc w:val="left"/>
              <w:rPr>
                <w:strike/>
                <w:color w:val="FF0000"/>
              </w:rPr>
            </w:pPr>
            <w:r>
              <w:rPr>
                <w:strike/>
                <w:color w:val="FF0000"/>
              </w:rPr>
              <w:t>Title:</w:t>
            </w:r>
          </w:p>
        </w:tc>
        <w:tc>
          <w:tcPr>
            <w:tcW w:w="80" w:type="dxa"/>
            <w:tcBorders/>
            <w:vAlign w:val="bottom"/>
          </w:tcPr>
          <w:p>
            <w:pPr>
              <w:pStyle w:val="TableContents"/>
              <w:bidi w:val="0"/>
              <w:spacing w:before="0" w:after="283"/>
              <w:jc w:val="left"/>
              <w:rPr/>
            </w:pPr>
            <w:r>
              <w:rPr/>
              <w:t> </w:t>
            </w:r>
          </w:p>
        </w:tc>
        <w:tc>
          <w:tcPr>
            <w:tcW w:w="3122" w:type="dxa"/>
            <w:tcBorders/>
          </w:tcPr>
          <w:p>
            <w:pPr>
              <w:pStyle w:val="TableContents"/>
              <w:bidi w:val="0"/>
              <w:spacing w:before="0" w:after="283"/>
              <w:jc w:val="left"/>
              <w:rPr>
                <w:strike/>
                <w:color w:val="FF0000"/>
              </w:rPr>
            </w:pPr>
            <w:r>
              <w:rPr>
                <w:strike/>
                <w:color w:val="FF0000"/>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trike/>
                <w:color w:val="FF0000"/>
              </w:rPr>
            </w:pPr>
            <w:r>
              <w:rPr>
                <w:b/>
                <w:strike/>
                <w:color w:val="FF0000"/>
              </w:rPr>
              <w:t>KEYSTONE PRIVATE MARKET OPPORTUNITIES IX, LP</w:t>
            </w:r>
          </w:p>
        </w:tc>
      </w:tr>
      <w:tr>
        <w:trPr>
          <w:trHeight w:val="240" w:hRule="atLeast"/>
        </w:trPr>
        <w:tc>
          <w:tcPr>
            <w:tcW w:w="880" w:type="dxa"/>
            <w:tcBorders/>
            <w:vAlign w:val="center"/>
          </w:tcPr>
          <w:p>
            <w:pPr>
              <w:pStyle w:val="TableContents"/>
              <w:bidi w:val="0"/>
              <w:spacing w:before="0" w:after="283"/>
              <w:jc w:val="left"/>
              <w:rPr>
                <w:sz w:val="4"/>
                <w:szCs w:val="4"/>
              </w:rPr>
            </w:pPr>
            <w:r>
              <w:rPr>
                <w:sz w:val="4"/>
                <w:szCs w:val="4"/>
              </w:rPr>
            </w:r>
          </w:p>
        </w:tc>
        <w:tc>
          <w:tcPr>
            <w:tcW w:w="3202"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strike/>
                <w:color w:val="FF0000"/>
              </w:rPr>
            </w:pPr>
            <w:r>
              <w:rPr>
                <w:strike/>
                <w:color w:val="FF0000"/>
              </w:rPr>
              <w:t>By:</w:t>
            </w:r>
          </w:p>
        </w:tc>
        <w:tc>
          <w:tcPr>
            <w:tcW w:w="80" w:type="dxa"/>
            <w:tcBorders/>
            <w:vAlign w:val="bottom"/>
          </w:tcPr>
          <w:p>
            <w:pPr>
              <w:pStyle w:val="TableContents"/>
              <w:bidi w:val="0"/>
              <w:spacing w:before="0" w:after="283"/>
              <w:jc w:val="left"/>
              <w:rPr/>
            </w:pPr>
            <w:r>
              <w:rPr/>
              <w:t> </w:t>
            </w:r>
          </w:p>
        </w:tc>
        <w:tc>
          <w:tcPr>
            <w:tcW w:w="3122"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Brad Allen</w:t>
            </w:r>
          </w:p>
        </w:tc>
      </w:tr>
      <w:tr>
        <w:trPr/>
        <w:tc>
          <w:tcPr>
            <w:tcW w:w="880" w:type="dxa"/>
            <w:tcBorders/>
          </w:tcPr>
          <w:p>
            <w:pPr>
              <w:pStyle w:val="TableContents"/>
              <w:bidi w:val="0"/>
              <w:spacing w:before="0" w:after="283"/>
              <w:jc w:val="left"/>
              <w:rPr>
                <w:strike/>
                <w:color w:val="FF0000"/>
              </w:rPr>
            </w:pPr>
            <w:r>
              <w:rPr>
                <w:strike/>
                <w:color w:val="FF0000"/>
              </w:rPr>
              <w:t>Name:</w:t>
            </w:r>
          </w:p>
        </w:tc>
        <w:tc>
          <w:tcPr>
            <w:tcW w:w="80" w:type="dxa"/>
            <w:tcBorders/>
            <w:vAlign w:val="bottom"/>
          </w:tcPr>
          <w:p>
            <w:pPr>
              <w:pStyle w:val="TableContents"/>
              <w:bidi w:val="0"/>
              <w:spacing w:before="0" w:after="283"/>
              <w:jc w:val="left"/>
              <w:rPr/>
            </w:pPr>
            <w:r>
              <w:rPr/>
              <w:t> </w:t>
            </w:r>
          </w:p>
        </w:tc>
        <w:tc>
          <w:tcPr>
            <w:tcW w:w="3122" w:type="dxa"/>
            <w:tcBorders/>
          </w:tcPr>
          <w:p>
            <w:pPr>
              <w:pStyle w:val="TableContents"/>
              <w:bidi w:val="0"/>
              <w:spacing w:before="0" w:after="283"/>
              <w:jc w:val="left"/>
              <w:rPr>
                <w:strike/>
                <w:color w:val="FF0000"/>
              </w:rPr>
            </w:pPr>
            <w:r>
              <w:rPr>
                <w:strike/>
                <w:color w:val="FF0000"/>
              </w:rPr>
              <w:t>Brad Allen</w:t>
            </w:r>
          </w:p>
        </w:tc>
      </w:tr>
      <w:tr>
        <w:trPr/>
        <w:tc>
          <w:tcPr>
            <w:tcW w:w="880" w:type="dxa"/>
            <w:tcBorders/>
          </w:tcPr>
          <w:p>
            <w:pPr>
              <w:pStyle w:val="TableContents"/>
              <w:bidi w:val="0"/>
              <w:spacing w:before="0" w:after="283"/>
              <w:jc w:val="left"/>
              <w:rPr>
                <w:strike/>
                <w:color w:val="FF0000"/>
              </w:rPr>
            </w:pPr>
            <w:r>
              <w:rPr>
                <w:strike/>
                <w:color w:val="FF0000"/>
              </w:rPr>
              <w:t xml:space="preserve">Title: </w:t>
            </w:r>
          </w:p>
        </w:tc>
        <w:tc>
          <w:tcPr>
            <w:tcW w:w="80" w:type="dxa"/>
            <w:tcBorders/>
            <w:vAlign w:val="bottom"/>
          </w:tcPr>
          <w:p>
            <w:pPr>
              <w:pStyle w:val="TableContents"/>
              <w:bidi w:val="0"/>
              <w:spacing w:before="0" w:after="283"/>
              <w:jc w:val="left"/>
              <w:rPr/>
            </w:pPr>
            <w:r>
              <w:rPr/>
              <w:t> </w:t>
            </w:r>
          </w:p>
        </w:tc>
        <w:tc>
          <w:tcPr>
            <w:tcW w:w="3122" w:type="dxa"/>
            <w:tcBorders/>
          </w:tcPr>
          <w:p>
            <w:pPr>
              <w:pStyle w:val="TableContents"/>
              <w:bidi w:val="0"/>
              <w:spacing w:before="0" w:after="283"/>
              <w:jc w:val="left"/>
              <w:rPr>
                <w:strike/>
                <w:color w:val="FF0000"/>
              </w:rPr>
            </w:pPr>
            <w:r>
              <w:rPr>
                <w:strike/>
                <w:color w:val="FF0000"/>
              </w:rPr>
              <w:t>Manager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77"/>
        <w:gridCol w:w="60"/>
        <w:gridCol w:w="3245"/>
      </w:tblGrid>
      <w:tr>
        <w:trPr/>
        <w:tc>
          <w:tcPr>
            <w:tcW w:w="77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trike/>
                <w:color w:val="FF0000"/>
              </w:rPr>
            </w:pPr>
            <w:r>
              <w:rPr>
                <w:b/>
                <w:strike/>
                <w:color w:val="FF0000"/>
              </w:rPr>
              <w:t>KEYSTONE REAL ESTATE LENDING FUND, LLC</w:t>
            </w:r>
          </w:p>
        </w:tc>
      </w:tr>
      <w:tr>
        <w:trPr>
          <w:trHeight w:val="240" w:hRule="atLeast"/>
        </w:trPr>
        <w:tc>
          <w:tcPr>
            <w:tcW w:w="777" w:type="dxa"/>
            <w:tcBorders/>
            <w:vAlign w:val="center"/>
          </w:tcPr>
          <w:p>
            <w:pPr>
              <w:pStyle w:val="TableContents"/>
              <w:bidi w:val="0"/>
              <w:spacing w:before="0" w:after="283"/>
              <w:jc w:val="left"/>
              <w:rPr>
                <w:sz w:val="4"/>
                <w:szCs w:val="4"/>
              </w:rPr>
            </w:pPr>
            <w:r>
              <w:rPr>
                <w:sz w:val="4"/>
                <w:szCs w:val="4"/>
              </w:rPr>
            </w:r>
          </w:p>
        </w:tc>
        <w:tc>
          <w:tcPr>
            <w:tcW w:w="3305" w:type="dxa"/>
            <w:gridSpan w:val="2"/>
            <w:tcBorders/>
            <w:vAlign w:val="center"/>
          </w:tcPr>
          <w:p>
            <w:pPr>
              <w:pStyle w:val="TableContents"/>
              <w:bidi w:val="0"/>
              <w:spacing w:before="0" w:after="283"/>
              <w:jc w:val="left"/>
              <w:rPr>
                <w:sz w:val="4"/>
                <w:szCs w:val="4"/>
              </w:rPr>
            </w:pPr>
            <w:r>
              <w:rPr>
                <w:sz w:val="4"/>
                <w:szCs w:val="4"/>
              </w:rPr>
            </w:r>
          </w:p>
        </w:tc>
      </w:tr>
      <w:tr>
        <w:trPr/>
        <w:tc>
          <w:tcPr>
            <w:tcW w:w="777"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245"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Brad Allen</w:t>
            </w:r>
          </w:p>
        </w:tc>
      </w:tr>
      <w:tr>
        <w:trPr/>
        <w:tc>
          <w:tcPr>
            <w:tcW w:w="777"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245" w:type="dxa"/>
            <w:tcBorders/>
          </w:tcPr>
          <w:p>
            <w:pPr>
              <w:pStyle w:val="TableContents"/>
              <w:bidi w:val="0"/>
              <w:spacing w:before="0" w:after="283"/>
              <w:jc w:val="left"/>
              <w:rPr>
                <w:strike/>
                <w:color w:val="FF0000"/>
              </w:rPr>
            </w:pPr>
            <w:r>
              <w:rPr>
                <w:strike/>
                <w:color w:val="FF0000"/>
              </w:rPr>
              <w:t>Brad Allen</w:t>
            </w:r>
          </w:p>
        </w:tc>
      </w:tr>
      <w:tr>
        <w:trPr/>
        <w:tc>
          <w:tcPr>
            <w:tcW w:w="777"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245" w:type="dxa"/>
            <w:tcBorders/>
          </w:tcPr>
          <w:p>
            <w:pPr>
              <w:pStyle w:val="TableContents"/>
              <w:bidi w:val="0"/>
              <w:spacing w:before="0" w:after="283"/>
              <w:jc w:val="left"/>
              <w:rPr>
                <w:strike/>
                <w:color w:val="FF0000"/>
              </w:rPr>
            </w:pPr>
            <w:r>
              <w:rPr>
                <w:strike/>
                <w:color w:val="FF0000"/>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trike/>
                <w:color w:val="FF0000"/>
              </w:rPr>
            </w:pPr>
            <w:r>
              <w:rPr>
                <w:b/>
                <w:strike/>
                <w:color w:val="FF0000"/>
              </w:rPr>
              <w:t>KEYSTONE REAL ESTATE INVESTMENT TRUST, LLC</w:t>
            </w:r>
          </w:p>
        </w:tc>
      </w:tr>
      <w:tr>
        <w:trPr>
          <w:trHeight w:val="240" w:hRule="atLeast"/>
        </w:trPr>
        <w:tc>
          <w:tcPr>
            <w:tcW w:w="777" w:type="dxa"/>
            <w:tcBorders/>
            <w:vAlign w:val="center"/>
          </w:tcPr>
          <w:p>
            <w:pPr>
              <w:pStyle w:val="TableContents"/>
              <w:bidi w:val="0"/>
              <w:spacing w:before="0" w:after="283"/>
              <w:jc w:val="left"/>
              <w:rPr>
                <w:sz w:val="4"/>
                <w:szCs w:val="4"/>
              </w:rPr>
            </w:pPr>
            <w:r>
              <w:rPr>
                <w:sz w:val="4"/>
                <w:szCs w:val="4"/>
              </w:rPr>
            </w:r>
          </w:p>
        </w:tc>
        <w:tc>
          <w:tcPr>
            <w:tcW w:w="3305" w:type="dxa"/>
            <w:gridSpan w:val="2"/>
            <w:tcBorders/>
            <w:vAlign w:val="center"/>
          </w:tcPr>
          <w:p>
            <w:pPr>
              <w:pStyle w:val="TableContents"/>
              <w:bidi w:val="0"/>
              <w:spacing w:before="0" w:after="283"/>
              <w:jc w:val="left"/>
              <w:rPr>
                <w:sz w:val="4"/>
                <w:szCs w:val="4"/>
              </w:rPr>
            </w:pPr>
            <w:r>
              <w:rPr>
                <w:sz w:val="4"/>
                <w:szCs w:val="4"/>
              </w:rPr>
            </w:r>
          </w:p>
        </w:tc>
      </w:tr>
      <w:tr>
        <w:trPr/>
        <w:tc>
          <w:tcPr>
            <w:tcW w:w="777"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245"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Brad Allen</w:t>
            </w:r>
          </w:p>
        </w:tc>
      </w:tr>
      <w:tr>
        <w:trPr/>
        <w:tc>
          <w:tcPr>
            <w:tcW w:w="777"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245" w:type="dxa"/>
            <w:tcBorders/>
          </w:tcPr>
          <w:p>
            <w:pPr>
              <w:pStyle w:val="TableContents"/>
              <w:bidi w:val="0"/>
              <w:spacing w:before="0" w:after="283"/>
              <w:jc w:val="left"/>
              <w:rPr>
                <w:strike/>
                <w:color w:val="FF0000"/>
              </w:rPr>
            </w:pPr>
            <w:r>
              <w:rPr>
                <w:strike/>
                <w:color w:val="FF0000"/>
              </w:rPr>
              <w:t>Brad Allen</w:t>
            </w:r>
          </w:p>
        </w:tc>
      </w:tr>
      <w:tr>
        <w:trPr/>
        <w:tc>
          <w:tcPr>
            <w:tcW w:w="777" w:type="dxa"/>
            <w:tcBorders/>
          </w:tcPr>
          <w:p>
            <w:pPr>
              <w:pStyle w:val="TableContents"/>
              <w:bidi w:val="0"/>
              <w:spacing w:before="0" w:after="283"/>
              <w:jc w:val="left"/>
              <w:rPr>
                <w:strike/>
                <w:color w:val="FF0000"/>
              </w:rPr>
            </w:pPr>
            <w:r>
              <w:rPr>
                <w:strike/>
                <w:color w:val="FF0000"/>
              </w:rPr>
              <w:t xml:space="preserve">Title: </w:t>
            </w:r>
          </w:p>
        </w:tc>
        <w:tc>
          <w:tcPr>
            <w:tcW w:w="60" w:type="dxa"/>
            <w:tcBorders/>
            <w:vAlign w:val="bottom"/>
          </w:tcPr>
          <w:p>
            <w:pPr>
              <w:pStyle w:val="TableContents"/>
              <w:bidi w:val="0"/>
              <w:spacing w:before="0" w:after="283"/>
              <w:jc w:val="left"/>
              <w:rPr/>
            </w:pPr>
            <w:r>
              <w:rPr/>
              <w:t> </w:t>
            </w:r>
          </w:p>
        </w:tc>
        <w:tc>
          <w:tcPr>
            <w:tcW w:w="3245" w:type="dxa"/>
            <w:tcBorders/>
          </w:tcPr>
          <w:p>
            <w:pPr>
              <w:pStyle w:val="TableContents"/>
              <w:bidi w:val="0"/>
              <w:spacing w:before="0" w:after="283"/>
              <w:jc w:val="left"/>
              <w:rPr>
                <w:strike/>
                <w:color w:val="FF0000"/>
              </w:rPr>
            </w:pPr>
            <w:r>
              <w:rPr>
                <w:strike/>
                <w:color w:val="FF0000"/>
              </w:rPr>
              <w:t>Manager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62"/>
        <w:gridCol w:w="60"/>
        <w:gridCol w:w="686"/>
        <w:gridCol w:w="60"/>
        <w:gridCol w:w="2914"/>
      </w:tblGrid>
      <w:tr>
        <w:trPr/>
        <w:tc>
          <w:tcPr>
            <w:tcW w:w="3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INVESTMENT CORPORATION</w:t>
            </w:r>
          </w:p>
        </w:tc>
      </w:tr>
      <w:tr>
        <w:trPr>
          <w:trHeight w:val="240" w:hRule="atLeast"/>
        </w:trPr>
        <w:tc>
          <w:tcPr>
            <w:tcW w:w="362" w:type="dxa"/>
            <w:tcBorders/>
            <w:vAlign w:val="center"/>
          </w:tcPr>
          <w:p>
            <w:pPr>
              <w:pStyle w:val="TableContents"/>
              <w:bidi w:val="0"/>
              <w:spacing w:before="0" w:after="283"/>
              <w:jc w:val="left"/>
              <w:rPr>
                <w:sz w:val="4"/>
                <w:szCs w:val="4"/>
              </w:rPr>
            </w:pPr>
            <w:r>
              <w:rPr>
                <w:sz w:val="4"/>
                <w:szCs w:val="4"/>
              </w:rPr>
            </w:r>
          </w:p>
        </w:tc>
        <w:tc>
          <w:tcPr>
            <w:tcW w:w="3720" w:type="dxa"/>
            <w:gridSpan w:val="4"/>
            <w:tcBorders/>
            <w:vAlign w:val="center"/>
          </w:tcPr>
          <w:p>
            <w:pPr>
              <w:pStyle w:val="TableContents"/>
              <w:bidi w:val="0"/>
              <w:spacing w:before="0" w:after="283"/>
              <w:jc w:val="left"/>
              <w:rPr>
                <w:sz w:val="4"/>
                <w:szCs w:val="4"/>
              </w:rPr>
            </w:pPr>
            <w:r>
              <w:rPr>
                <w:sz w:val="4"/>
                <w:szCs w:val="4"/>
              </w:rPr>
            </w:r>
          </w:p>
        </w:tc>
      </w:tr>
      <w:tr>
        <w:trPr/>
        <w:tc>
          <w:tcPr>
            <w:tcW w:w="36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60" w:type="dxa"/>
            <w:tcBorders/>
            <w:vAlign w:val="bottom"/>
          </w:tcPr>
          <w:p>
            <w:pPr>
              <w:pStyle w:val="TableContents"/>
              <w:bidi w:val="0"/>
              <w:spacing w:before="0" w:after="283"/>
              <w:jc w:val="left"/>
              <w:rPr/>
            </w:pPr>
            <w:r>
              <w:rPr/>
              <w:t> </w:t>
            </w:r>
          </w:p>
        </w:tc>
        <w:tc>
          <w:tcPr>
            <w:tcW w:w="3660" w:type="dxa"/>
            <w:gridSpan w:val="3"/>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w:t>
            </w:r>
          </w:p>
        </w:tc>
        <w:tc>
          <w:tcPr>
            <w:tcW w:w="60" w:type="dxa"/>
            <w:tcBorders/>
            <w:vAlign w:val="bottom"/>
          </w:tcPr>
          <w:p>
            <w:pPr>
              <w:pStyle w:val="TableContents"/>
              <w:bidi w:val="0"/>
              <w:spacing w:before="0" w:after="283"/>
              <w:jc w:val="left"/>
              <w:rPr/>
            </w:pPr>
            <w:r>
              <w:rPr/>
              <w:t> </w:t>
            </w:r>
          </w:p>
        </w:tc>
        <w:tc>
          <w:tcPr>
            <w:tcW w:w="2914"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Edward H. Ross</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w:t>
            </w:r>
          </w:p>
        </w:tc>
        <w:tc>
          <w:tcPr>
            <w:tcW w:w="60" w:type="dxa"/>
            <w:tcBorders/>
            <w:vAlign w:val="bottom"/>
          </w:tcPr>
          <w:p>
            <w:pPr>
              <w:pStyle w:val="TableContents"/>
              <w:bidi w:val="0"/>
              <w:spacing w:before="0" w:after="283"/>
              <w:jc w:val="left"/>
              <w:rPr/>
            </w:pPr>
            <w:r>
              <w:rPr/>
              <w:t> </w:t>
            </w:r>
          </w:p>
        </w:tc>
        <w:tc>
          <w:tcPr>
            <w:tcW w:w="2914"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Authorized Person</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INVESTMENT ADVISORS, LLC</w:t>
            </w:r>
          </w:p>
        </w:tc>
      </w:tr>
      <w:tr>
        <w:trPr>
          <w:trHeight w:val="240" w:hRule="atLeast"/>
        </w:trPr>
        <w:tc>
          <w:tcPr>
            <w:tcW w:w="362" w:type="dxa"/>
            <w:tcBorders/>
            <w:vAlign w:val="center"/>
          </w:tcPr>
          <w:p>
            <w:pPr>
              <w:pStyle w:val="TableContents"/>
              <w:bidi w:val="0"/>
              <w:spacing w:before="0" w:after="283"/>
              <w:jc w:val="left"/>
              <w:rPr>
                <w:sz w:val="4"/>
                <w:szCs w:val="4"/>
              </w:rPr>
            </w:pPr>
            <w:r>
              <w:rPr>
                <w:sz w:val="4"/>
                <w:szCs w:val="4"/>
              </w:rPr>
            </w:r>
          </w:p>
        </w:tc>
        <w:tc>
          <w:tcPr>
            <w:tcW w:w="3720" w:type="dxa"/>
            <w:gridSpan w:val="4"/>
            <w:tcBorders/>
            <w:vAlign w:val="center"/>
          </w:tcPr>
          <w:p>
            <w:pPr>
              <w:pStyle w:val="TableContents"/>
              <w:bidi w:val="0"/>
              <w:spacing w:before="0" w:after="283"/>
              <w:jc w:val="left"/>
              <w:rPr>
                <w:sz w:val="4"/>
                <w:szCs w:val="4"/>
              </w:rPr>
            </w:pPr>
            <w:r>
              <w:rPr>
                <w:sz w:val="4"/>
                <w:szCs w:val="4"/>
              </w:rPr>
            </w:r>
          </w:p>
        </w:tc>
      </w:tr>
      <w:tr>
        <w:trPr/>
        <w:tc>
          <w:tcPr>
            <w:tcW w:w="36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60" w:type="dxa"/>
            <w:tcBorders/>
            <w:vAlign w:val="bottom"/>
          </w:tcPr>
          <w:p>
            <w:pPr>
              <w:pStyle w:val="TableContents"/>
              <w:bidi w:val="0"/>
              <w:spacing w:before="0" w:after="283"/>
              <w:jc w:val="left"/>
              <w:rPr/>
            </w:pPr>
            <w:r>
              <w:rPr/>
              <w:t> </w:t>
            </w:r>
          </w:p>
        </w:tc>
        <w:tc>
          <w:tcPr>
            <w:tcW w:w="3660" w:type="dxa"/>
            <w:gridSpan w:val="3"/>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w:t>
            </w:r>
          </w:p>
        </w:tc>
        <w:tc>
          <w:tcPr>
            <w:tcW w:w="60" w:type="dxa"/>
            <w:tcBorders/>
            <w:vAlign w:val="bottom"/>
          </w:tcPr>
          <w:p>
            <w:pPr>
              <w:pStyle w:val="TableContents"/>
              <w:bidi w:val="0"/>
              <w:spacing w:before="0" w:after="283"/>
              <w:jc w:val="left"/>
              <w:rPr/>
            </w:pPr>
            <w:r>
              <w:rPr/>
              <w:t> </w:t>
            </w:r>
          </w:p>
        </w:tc>
        <w:tc>
          <w:tcPr>
            <w:tcW w:w="2914"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Edward H. Ross</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w:t>
            </w:r>
          </w:p>
        </w:tc>
        <w:tc>
          <w:tcPr>
            <w:tcW w:w="60" w:type="dxa"/>
            <w:tcBorders/>
            <w:vAlign w:val="bottom"/>
          </w:tcPr>
          <w:p>
            <w:pPr>
              <w:pStyle w:val="TableContents"/>
              <w:bidi w:val="0"/>
              <w:spacing w:before="0" w:after="283"/>
              <w:jc w:val="left"/>
              <w:rPr/>
            </w:pPr>
            <w:r>
              <w:rPr/>
              <w:t> </w:t>
            </w:r>
          </w:p>
        </w:tc>
        <w:tc>
          <w:tcPr>
            <w:tcW w:w="2914"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Authorized Person</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EXISTING WHOLLY-OWNED SUBSIDIARIES</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MEZZANINE CAPITAL, L.P.</w:t>
            </w:r>
          </w:p>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MEZZANINE CAPITAL II, L.P.</w:t>
            </w:r>
          </w:p>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MEZZANINE CAPITAL III, L.P.</w:t>
            </w:r>
          </w:p>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MEZZANINE CAPITAL IV, L.P.</w:t>
            </w:r>
          </w:p>
          <w:p>
            <w:pPr>
              <w:pStyle w:val="TableContents"/>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FIC FUNDING, LLC</w:t>
            </w:r>
          </w:p>
        </w:tc>
      </w:tr>
      <w:tr>
        <w:trPr/>
        <w:tc>
          <w:tcPr>
            <w:tcW w:w="4082" w:type="dxa"/>
            <w:gridSpan w:val="5"/>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INVESTMENT HOLDINGS, INC.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62"/>
        <w:gridCol w:w="60"/>
        <w:gridCol w:w="686"/>
        <w:gridCol w:w="60"/>
        <w:gridCol w:w="2914"/>
      </w:tblGrid>
      <w:tr>
        <w:trPr/>
        <w:tc>
          <w:tcPr>
            <w:tcW w:w="3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r>
      <w:tr>
        <w:trPr/>
        <w:tc>
          <w:tcPr>
            <w:tcW w:w="36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60" w:type="dxa"/>
            <w:tcBorders/>
            <w:vAlign w:val="bottom"/>
          </w:tcPr>
          <w:p>
            <w:pPr>
              <w:pStyle w:val="TableContents"/>
              <w:bidi w:val="0"/>
              <w:spacing w:before="0" w:after="283"/>
              <w:jc w:val="left"/>
              <w:rPr/>
            </w:pPr>
            <w:r>
              <w:rPr/>
              <w:t> </w:t>
            </w:r>
          </w:p>
        </w:tc>
        <w:tc>
          <w:tcPr>
            <w:tcW w:w="3660" w:type="dxa"/>
            <w:gridSpan w:val="3"/>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w:t>
            </w:r>
          </w:p>
        </w:tc>
        <w:tc>
          <w:tcPr>
            <w:tcW w:w="60" w:type="dxa"/>
            <w:tcBorders/>
            <w:vAlign w:val="bottom"/>
          </w:tcPr>
          <w:p>
            <w:pPr>
              <w:pStyle w:val="TableContents"/>
              <w:bidi w:val="0"/>
              <w:spacing w:before="0" w:after="283"/>
              <w:jc w:val="left"/>
              <w:rPr/>
            </w:pPr>
            <w:r>
              <w:rPr/>
              <w:t> </w:t>
            </w:r>
          </w:p>
        </w:tc>
        <w:tc>
          <w:tcPr>
            <w:tcW w:w="2914"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Edward H. Ross</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w:t>
            </w:r>
          </w:p>
        </w:tc>
        <w:tc>
          <w:tcPr>
            <w:tcW w:w="60" w:type="dxa"/>
            <w:tcBorders/>
            <w:vAlign w:val="bottom"/>
          </w:tcPr>
          <w:p>
            <w:pPr>
              <w:pStyle w:val="TableContents"/>
              <w:bidi w:val="0"/>
              <w:spacing w:before="0" w:after="283"/>
              <w:jc w:val="left"/>
              <w:rPr/>
            </w:pPr>
            <w:r>
              <w:rPr/>
              <w:t> </w:t>
            </w:r>
          </w:p>
        </w:tc>
        <w:tc>
          <w:tcPr>
            <w:tcW w:w="2914"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Authorized Person</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EXISTING AFFILIATED FUNDS</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CREDIT OPPORTUNITIES, L.P.</w:t>
            </w:r>
          </w:p>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EQUITY OPPORTUNITIES FUND, L.P.</w:t>
            </w:r>
          </w:p>
          <w:p>
            <w:pPr>
              <w:pStyle w:val="TableContents"/>
              <w:bidi w:val="0"/>
              <w:spacing w:before="0" w:after="20"/>
              <w:jc w:val="left"/>
              <w:rPr>
                <w:rFonts w:ascii="Times New Roman" w:hAnsi="Times New Roman"/>
                <w:strike/>
                <w:color w:val="FF0000"/>
                <w:sz w:val="20"/>
              </w:rPr>
            </w:pPr>
            <w:r>
              <w:rPr>
                <w:rFonts w:ascii="Times New Roman" w:hAnsi="Times New Roman"/>
                <w:strike/>
                <w:color w:val="FF0000"/>
                <w:sz w:val="20"/>
              </w:rPr>
              <w:t>EXHIBIT A</w:t>
            </w:r>
          </w:p>
        </w:tc>
      </w:tr>
      <w:tr>
        <w:trPr>
          <w:trHeight w:val="240" w:hRule="atLeast"/>
        </w:trPr>
        <w:tc>
          <w:tcPr>
            <w:tcW w:w="362" w:type="dxa"/>
            <w:tcBorders/>
            <w:vAlign w:val="center"/>
          </w:tcPr>
          <w:p>
            <w:pPr>
              <w:pStyle w:val="TableContents"/>
              <w:bidi w:val="0"/>
              <w:spacing w:before="0" w:after="283"/>
              <w:jc w:val="left"/>
              <w:rPr>
                <w:sz w:val="4"/>
                <w:szCs w:val="4"/>
              </w:rPr>
            </w:pPr>
            <w:r>
              <w:rPr>
                <w:sz w:val="4"/>
                <w:szCs w:val="4"/>
              </w:rPr>
            </w:r>
          </w:p>
        </w:tc>
        <w:tc>
          <w:tcPr>
            <w:tcW w:w="3720" w:type="dxa"/>
            <w:gridSpan w:val="4"/>
            <w:tcBorders/>
            <w:vAlign w:val="center"/>
          </w:tcPr>
          <w:p>
            <w:pPr>
              <w:pStyle w:val="TableContents"/>
              <w:bidi w:val="0"/>
              <w:spacing w:before="0" w:after="283"/>
              <w:jc w:val="left"/>
              <w:rPr>
                <w:sz w:val="4"/>
                <w:szCs w:val="4"/>
              </w:rPr>
            </w:pPr>
            <w:r>
              <w:rPr>
                <w:sz w:val="4"/>
                <w:szCs w:val="4"/>
              </w:rPr>
            </w:r>
          </w:p>
        </w:tc>
      </w:tr>
      <w:tr>
        <w:trPr/>
        <w:tc>
          <w:tcPr>
            <w:tcW w:w="36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60" w:type="dxa"/>
            <w:tcBorders/>
            <w:vAlign w:val="bottom"/>
          </w:tcPr>
          <w:p>
            <w:pPr>
              <w:pStyle w:val="TableContents"/>
              <w:bidi w:val="0"/>
              <w:spacing w:before="0" w:after="283"/>
              <w:jc w:val="left"/>
              <w:rPr/>
            </w:pPr>
            <w:r>
              <w:rPr/>
              <w:t> </w:t>
            </w:r>
          </w:p>
        </w:tc>
        <w:tc>
          <w:tcPr>
            <w:tcW w:w="3660" w:type="dxa"/>
            <w:gridSpan w:val="3"/>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/s/ Edward H. Ross</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w:t>
            </w:r>
          </w:p>
        </w:tc>
        <w:tc>
          <w:tcPr>
            <w:tcW w:w="60" w:type="dxa"/>
            <w:tcBorders/>
            <w:vAlign w:val="bottom"/>
          </w:tcPr>
          <w:p>
            <w:pPr>
              <w:pStyle w:val="TableContents"/>
              <w:bidi w:val="0"/>
              <w:spacing w:before="0" w:after="283"/>
              <w:jc w:val="left"/>
              <w:rPr/>
            </w:pPr>
            <w:r>
              <w:rPr/>
              <w:t> </w:t>
            </w:r>
          </w:p>
        </w:tc>
        <w:tc>
          <w:tcPr>
            <w:tcW w:w="2914"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Edward H. Ross</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w:t>
            </w:r>
          </w:p>
        </w:tc>
        <w:tc>
          <w:tcPr>
            <w:tcW w:w="60" w:type="dxa"/>
            <w:tcBorders/>
            <w:vAlign w:val="bottom"/>
          </w:tcPr>
          <w:p>
            <w:pPr>
              <w:pStyle w:val="TableContents"/>
              <w:bidi w:val="0"/>
              <w:spacing w:before="0" w:after="283"/>
              <w:jc w:val="left"/>
              <w:rPr/>
            </w:pPr>
            <w:r>
              <w:rPr/>
              <w:t> </w:t>
            </w:r>
          </w:p>
        </w:tc>
        <w:tc>
          <w:tcPr>
            <w:tcW w:w="2914"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Authorized Person</w:t>
            </w:r>
          </w:p>
        </w:tc>
      </w:tr>
    </w:tbl>
    <w:p>
      <w:pPr>
        <w:pStyle w:val="TextBody"/>
        <w:bidi w:val="0"/>
        <w:spacing w:before="240" w:after="0"/>
        <w:jc w:val="left"/>
        <w:rPr>
          <w:rFonts w:ascii="Times New Roman" w:hAnsi="Times New Roman"/>
          <w:sz w:val="20"/>
        </w:rPr>
      </w:pPr>
      <w:r>
        <w:rPr>
          <w:rFonts w:ascii="Times New Roman" w:hAnsi="Times New Roman"/>
          <w:strike/>
          <w:color w:val="FF0000"/>
          <w:sz w:val="20"/>
        </w:rPr>
        <w:t>Resolutions Adopted by the Board of Trustees of Keystone Private Income Fund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trike/>
          <w:color w:val="FF0000"/>
          <w:sz w:val="20"/>
        </w:rPr>
        <w:t>Approval of Filing Section 17(d) Application for Co-Investment Relief</w:t>
      </w:r>
      <w:r>
        <w:rPr>
          <w:rFonts w:ascii="Times New Roman" w:hAnsi="Times New Roman"/>
          <w:i/>
          <w:sz w:val="20"/>
        </w:rPr>
        <w:t xml:space="preserve"> </w:t>
      </w:r>
    </w:p>
    <w:p>
      <w:pPr>
        <w:pStyle w:val="TextBody"/>
        <w:bidi w:val="0"/>
        <w:spacing w:before="240" w:after="0"/>
        <w:jc w:val="right"/>
        <w:rPr>
          <w:rFonts w:ascii="Times New Roman" w:hAnsi="Times New Roman"/>
          <w:sz w:val="20"/>
        </w:rPr>
      </w:pPr>
      <w:r>
        <w:rPr>
          <w:rFonts w:ascii="Times New Roman" w:hAnsi="Times New Roman"/>
          <w:color w:val="0000FF"/>
          <w:sz w:val="20"/>
          <w:u w:val="single"/>
          <w:bdr w:val="double" w:sz="2" w:space="1" w:color="000000"/>
        </w:rPr>
        <w:t>Exhibit B</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color w:val="0000FF"/>
          <w:sz w:val="20"/>
          <w:u w:val="single"/>
          <w:bdr w:val="double" w:sz="2" w:space="1" w:color="000000"/>
        </w:rPr>
        <w:t>Resolutions of the Board of Directors (the “Board”) of</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Fidus Investment Corporation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w:t>
      </w:r>
      <w:r>
        <w:rPr>
          <w:rFonts w:ascii="Times New Roman" w:hAnsi="Times New Roman"/>
          <w:strike/>
          <w:color w:val="FF0000"/>
          <w:sz w:val="20"/>
        </w:rPr>
        <w:t xml:space="preserve"> of Trustees of the Keystone Private Income Fund (the “Fund”) deems it is</w:t>
      </w:r>
      <w:r>
        <w:rPr>
          <w:rFonts w:ascii="Times New Roman" w:hAnsi="Times New Roman"/>
          <w:strike/>
          <w:color w:val="008000"/>
          <w:sz w:val="20"/>
        </w:rPr>
        <w:t xml:space="preserve"> advisable and in the best interest of the</w:t>
      </w:r>
      <w:r>
        <w:rPr>
          <w:rFonts w:ascii="Times New Roman" w:hAnsi="Times New Roman"/>
          <w:strike/>
          <w:color w:val="FF0000"/>
          <w:sz w:val="20"/>
        </w:rPr>
        <w:t xml:space="preserve"> Fund to file with</w:t>
      </w:r>
      <w:r>
        <w:rPr>
          <w:rFonts w:ascii="Times New Roman" w:hAnsi="Times New Roman"/>
          <w:color w:val="0000FF"/>
          <w:sz w:val="20"/>
          <w:u w:val="single"/>
          <w:bdr w:val="double" w:sz="2" w:space="1" w:color="000000"/>
        </w:rPr>
        <w:t xml:space="preserve"> has reviewed the Co-Investment Exemptive Application (the “</w:t>
      </w:r>
      <w:r>
        <w:rPr>
          <w:rFonts w:ascii="Times New Roman" w:hAnsi="Times New Roman"/>
          <w:b/>
          <w:i/>
          <w:color w:val="0000FF"/>
          <w:sz w:val="20"/>
          <w:u w:val="single"/>
          <w:bdr w:val="double" w:sz="2" w:space="1" w:color="000000"/>
        </w:rPr>
        <w:t>Exemptive Application</w:t>
      </w:r>
      <w:r>
        <w:rPr>
          <w:rFonts w:ascii="Times New Roman" w:hAnsi="Times New Roman"/>
          <w:color w:val="0000FF"/>
          <w:sz w:val="20"/>
          <w:u w:val="single"/>
          <w:bdr w:val="double" w:sz="2" w:space="1" w:color="000000"/>
        </w:rPr>
        <w:t>”), a copy of which is</w:t>
      </w:r>
      <w:r>
        <w:rPr>
          <w:rFonts w:ascii="Times New Roman" w:hAnsi="Times New Roman"/>
          <w:color w:val="008000"/>
          <w:sz w:val="20"/>
          <w:u w:val="single"/>
          <w:bdr w:val="double" w:sz="2" w:space="1" w:color="000000"/>
        </w:rPr>
        <w:t xml:space="preserve"> attached hereto as Exhibit A,</w:t>
      </w:r>
      <w:r>
        <w:rPr>
          <w:rFonts w:ascii="Times New Roman" w:hAnsi="Times New Roman"/>
          <w:color w:val="0000FF"/>
          <w:sz w:val="20"/>
          <w:u w:val="single"/>
          <w:bdr w:val="double" w:sz="2" w:space="1" w:color="000000"/>
        </w:rPr>
        <w:t xml:space="preserve"> for an order of</w:t>
      </w:r>
      <w:r>
        <w:rPr>
          <w:rFonts w:ascii="Times New Roman" w:hAnsi="Times New Roman"/>
          <w:sz w:val="20"/>
        </w:rPr>
        <w:t xml:space="preserve"> the U.S. Securities and Exchange Commission (</w:t>
      </w:r>
      <w:r>
        <w:rPr>
          <w:rFonts w:ascii="Times New Roman" w:hAnsi="Times New Roman"/>
          <w:strike/>
          <w:color w:val="FF0000"/>
          <w:sz w:val="20"/>
        </w:rPr>
        <w:t>the “Commission”) an application for an</w:t>
      </w:r>
      <w:r>
        <w:rPr>
          <w:rFonts w:ascii="Times New Roman" w:hAnsi="Times New Roman"/>
          <w:sz w:val="20"/>
        </w:rPr>
        <w:t xml:space="preserve"> </w:t>
      </w:r>
      <w:r>
        <w:rPr>
          <w:rFonts w:ascii="Times New Roman" w:hAnsi="Times New Roman"/>
          <w:strike/>
          <w:color w:val="FF0000"/>
          <w:sz w:val="20"/>
        </w:rPr>
        <w:t>order</w:t>
      </w:r>
      <w:r>
        <w:rPr>
          <w:rFonts w:ascii="Times New Roman" w:hAnsi="Times New Roman"/>
          <w:color w:val="0000FF"/>
          <w:sz w:val="20"/>
          <w:u w:val="single"/>
          <w:bdr w:val="double" w:sz="2" w:space="1" w:color="000000"/>
        </w:rPr>
        <w:t>the “</w:t>
      </w:r>
      <w:r>
        <w:rPr>
          <w:rFonts w:ascii="Times New Roman" w:hAnsi="Times New Roman"/>
          <w:b/>
          <w:i/>
          <w:color w:val="0000FF"/>
          <w:sz w:val="20"/>
          <w:u w:val="single"/>
          <w:bdr w:val="double" w:sz="2" w:space="1" w:color="000000"/>
        </w:rPr>
        <w:t>SEC</w:t>
      </w:r>
      <w:r>
        <w:rPr>
          <w:rFonts w:ascii="Times New Roman" w:hAnsi="Times New Roman"/>
          <w:color w:val="0000FF"/>
          <w:sz w:val="20"/>
          <w:u w:val="single"/>
          <w:bdr w:val="double" w:sz="2" w:space="1" w:color="000000"/>
        </w:rPr>
        <w:t>”)</w:t>
      </w:r>
      <w:r>
        <w:rPr>
          <w:rFonts w:ascii="Times New Roman" w:hAnsi="Times New Roman"/>
          <w:sz w:val="20"/>
        </w:rPr>
        <w:t xml:space="preserve"> pursuant to Sections 17(d)</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 xml:space="preserve"> and</w:t>
      </w:r>
      <w:r>
        <w:rPr>
          <w:rFonts w:ascii="Times New Roman" w:hAnsi="Times New Roman"/>
          <w:sz w:val="20"/>
        </w:rPr>
        <w:t xml:space="preserve"> 57(i)</w:t>
      </w:r>
      <w:r>
        <w:rPr>
          <w:rFonts w:ascii="Times New Roman" w:hAnsi="Times New Roman"/>
          <w:strike/>
          <w:color w:val="FF0000"/>
          <w:sz w:val="20"/>
        </w:rPr>
        <w:t xml:space="preserve"> of</w:t>
      </w:r>
      <w:r>
        <w:rPr>
          <w:rFonts w:ascii="Times New Roman" w:hAnsi="Times New Roman"/>
          <w:color w:val="0000FF"/>
          <w:sz w:val="20"/>
          <w:u w:val="single"/>
          <w:bdr w:val="double" w:sz="2" w:space="1" w:color="000000"/>
        </w:rPr>
        <w:t xml:space="preserve"> of</w:t>
      </w:r>
      <w:r>
        <w:rPr>
          <w:rFonts w:ascii="Times New Roman" w:hAnsi="Times New Roman"/>
          <w:sz w:val="20"/>
        </w:rPr>
        <w:t xml:space="preserve"> the Investment Company Act of 1940, as amended (</w:t>
      </w:r>
      <w:r>
        <w:rPr>
          <w:rFonts w:ascii="Times New Roman" w:hAnsi="Times New Roman"/>
          <w:strike/>
          <w:color w:val="FF0000"/>
          <w:sz w:val="20"/>
        </w:rPr>
        <w:t>the “</w:t>
      </w:r>
      <w:r>
        <w:rPr>
          <w:rFonts w:ascii="Times New Roman" w:hAnsi="Times New Roman"/>
          <w:color w:val="0000FF"/>
          <w:sz w:val="20"/>
          <w:u w:val="single"/>
          <w:bdr w:val="double" w:sz="2" w:space="1" w:color="000000"/>
        </w:rPr>
        <w:t>the “</w:t>
      </w:r>
      <w:r>
        <w:rPr>
          <w:rFonts w:ascii="Times New Roman" w:hAnsi="Times New Roman"/>
          <w:b/>
          <w:i/>
          <w:sz w:val="20"/>
        </w:rPr>
        <w:t>1940 Act</w:t>
      </w:r>
      <w:r>
        <w:rPr>
          <w:rFonts w:ascii="Times New Roman" w:hAnsi="Times New Roman"/>
          <w:sz w:val="20"/>
        </w:rPr>
        <w:t>”), and</w:t>
      </w:r>
      <w:r>
        <w:rPr>
          <w:rFonts w:ascii="Times New Roman" w:hAnsi="Times New Roman"/>
          <w:strike/>
          <w:color w:val="FF0000"/>
          <w:sz w:val="20"/>
        </w:rPr>
        <w:t xml:space="preserve"> Rule 17d</w:t>
      </w:r>
      <w:r>
        <w:rPr>
          <w:rFonts w:ascii="Times New Roman" w:hAnsi="Times New Roman"/>
          <w:color w:val="0000FF"/>
          <w:sz w:val="20"/>
          <w:u w:val="single"/>
          <w:bdr w:val="double" w:sz="2" w:space="1" w:color="000000"/>
        </w:rPr>
        <w:t>Rule 17d</w:t>
      </w:r>
      <w:r>
        <w:rPr>
          <w:rFonts w:ascii="Times New Roman" w:hAnsi="Times New Roman"/>
          <w:sz w:val="20"/>
        </w:rPr>
        <w:t>-1</w:t>
      </w:r>
      <w:r>
        <w:rPr>
          <w:rFonts w:ascii="Times New Roman" w:hAnsi="Times New Roman"/>
          <w:strike/>
          <w:color w:val="FF0000"/>
          <w:sz w:val="20"/>
        </w:rPr>
        <w:t xml:space="preserve"> promulgated</w:t>
      </w:r>
      <w:r>
        <w:rPr>
          <w:rFonts w:ascii="Times New Roman" w:hAnsi="Times New Roman"/>
          <w:sz w:val="20"/>
        </w:rPr>
        <w:t xml:space="preserve"> thereunder</w:t>
      </w:r>
      <w:r>
        <w:rPr>
          <w:rFonts w:ascii="Times New Roman" w:hAnsi="Times New Roman"/>
          <w:strike/>
          <w:color w:val="FF0000"/>
          <w:sz w:val="20"/>
        </w:rPr>
        <w:t xml:space="preserve"> (the “Application”), to authorize the entering into of</w:t>
      </w:r>
      <w:r>
        <w:rPr>
          <w:rFonts w:ascii="Times New Roman" w:hAnsi="Times New Roman"/>
          <w:color w:val="0000FF"/>
          <w:sz w:val="20"/>
          <w:u w:val="single"/>
          <w:bdr w:val="double" w:sz="2" w:space="1" w:color="000000"/>
        </w:rPr>
        <w:t>permitting</w:t>
      </w:r>
      <w:r>
        <w:rPr>
          <w:rFonts w:ascii="Times New Roman" w:hAnsi="Times New Roman"/>
          <w:sz w:val="20"/>
        </w:rPr>
        <w:t xml:space="preserve"> certain joint transactions that otherwise may be prohibited by Sections 17(d) </w:t>
      </w:r>
      <w:r>
        <w:rPr>
          <w:rFonts w:ascii="Times New Roman" w:hAnsi="Times New Roman"/>
          <w:strike/>
          <w:color w:val="FF0000"/>
          <w:sz w:val="20"/>
        </w:rPr>
        <w:t>and</w:t>
      </w:r>
      <w:r>
        <w:rPr>
          <w:rFonts w:ascii="Times New Roman" w:hAnsi="Times New Roman"/>
          <w:color w:val="0000FF"/>
          <w:sz w:val="20"/>
          <w:u w:val="single"/>
          <w:bdr w:val="double" w:sz="2" w:space="1" w:color="000000"/>
        </w:rPr>
        <w:t xml:space="preserve"> and</w:t>
      </w:r>
      <w:r>
        <w:rPr>
          <w:rFonts w:ascii="Times New Roman" w:hAnsi="Times New Roman"/>
          <w:sz w:val="20"/>
        </w:rPr>
        <w:t xml:space="preserve"> 57(a)(4)</w:t>
      </w:r>
      <w:r>
        <w:rPr>
          <w:rFonts w:ascii="Times New Roman" w:hAnsi="Times New Roman"/>
          <w:strike/>
          <w:color w:val="FF0000"/>
          <w:sz w:val="20"/>
        </w:rPr>
        <w:t xml:space="preserve"> of</w:t>
      </w:r>
      <w:r>
        <w:rPr>
          <w:rFonts w:ascii="Times New Roman" w:hAnsi="Times New Roman"/>
          <w:color w:val="0000FF"/>
          <w:sz w:val="20"/>
          <w:u w:val="single"/>
          <w:bdr w:val="double" w:sz="2" w:space="1" w:color="000000"/>
        </w:rPr>
        <w:t xml:space="preserve"> of</w:t>
      </w:r>
      <w:r>
        <w:rPr>
          <w:rFonts w:ascii="Times New Roman" w:hAnsi="Times New Roman"/>
          <w:sz w:val="20"/>
        </w:rPr>
        <w:t xml:space="preserve"> the 1940 Act and</w:t>
      </w:r>
      <w:r>
        <w:rPr>
          <w:rFonts w:ascii="Times New Roman" w:hAnsi="Times New Roman"/>
          <w:strike/>
          <w:color w:val="FF0000"/>
          <w:sz w:val="20"/>
        </w:rPr>
        <w:t xml:space="preserve"> Rule 17d</w:t>
      </w:r>
      <w:r>
        <w:rPr>
          <w:rFonts w:ascii="Times New Roman" w:hAnsi="Times New Roman"/>
          <w:color w:val="0000FF"/>
          <w:sz w:val="20"/>
          <w:u w:val="single"/>
          <w:bdr w:val="double" w:sz="2" w:space="1" w:color="000000"/>
        </w:rPr>
        <w:t>Rule 17d</w:t>
      </w:r>
      <w:r>
        <w:rPr>
          <w:rFonts w:ascii="Times New Roman" w:hAnsi="Times New Roman"/>
          <w:sz w:val="20"/>
        </w:rPr>
        <w:t>-1</w:t>
      </w:r>
      <w:r>
        <w:rPr>
          <w:rFonts w:ascii="Times New Roman" w:hAnsi="Times New Roman"/>
          <w:strike/>
          <w:color w:val="FF0000"/>
          <w:sz w:val="20"/>
        </w:rPr>
        <w:t xml:space="preserve"> promulgated</w:t>
      </w:r>
      <w:r>
        <w:rPr>
          <w:rFonts w:ascii="Times New Roman" w:hAnsi="Times New Roman"/>
          <w:sz w:val="20"/>
        </w:rPr>
        <w:t xml:space="preserve"> thereunder</w:t>
      </w:r>
      <w:r>
        <w:rPr>
          <w:rFonts w:ascii="Times New Roman" w:hAnsi="Times New Roman"/>
          <w:strike/>
          <w:color w:val="FF0000"/>
          <w:sz w:val="20"/>
        </w:rPr>
        <w:t>,</w:t>
      </w:r>
      <w:r>
        <w:rPr>
          <w:rFonts w:ascii="Times New Roman" w:hAnsi="Times New Roman"/>
          <w:color w:val="0000FF"/>
          <w:sz w:val="20"/>
          <w:u w:val="single"/>
          <w:bdr w:val="double" w:sz="2" w:space="1" w:color="000000"/>
        </w:rPr>
        <w:t>; 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color w:val="0000FF"/>
          <w:sz w:val="20"/>
          <w:u w:val="single"/>
          <w:bdr w:val="double" w:sz="2" w:space="1" w:color="000000"/>
        </w:rPr>
        <w:t>WHEREAS</w:t>
      </w:r>
      <w:r>
        <w:rPr>
          <w:rFonts w:ascii="Times New Roman" w:hAnsi="Times New Roman"/>
          <w:color w:val="0000FF"/>
          <w:sz w:val="20"/>
          <w:u w:val="single"/>
          <w:bdr w:val="double" w:sz="2" w:space="1" w:color="000000"/>
        </w:rPr>
        <w:t>, the Board deems it</w:t>
      </w:r>
      <w:r>
        <w:rPr>
          <w:rFonts w:ascii="Times New Roman" w:hAnsi="Times New Roman"/>
          <w:color w:val="008000"/>
          <w:sz w:val="20"/>
          <w:u w:val="single"/>
          <w:bdr w:val="double" w:sz="2" w:space="1" w:color="000000"/>
        </w:rPr>
        <w:t xml:space="preserve"> advisable and in the best interest of the</w:t>
      </w:r>
      <w:r>
        <w:rPr>
          <w:rFonts w:ascii="Times New Roman" w:hAnsi="Times New Roman"/>
          <w:color w:val="0000FF"/>
          <w:sz w:val="20"/>
          <w:u w:val="single"/>
          <w:bdr w:val="double" w:sz="2" w:space="1" w:color="000000"/>
        </w:rPr>
        <w:t xml:space="preserve"> Company that the Company file the Exemptive Application.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 THEREFORE, BE IT RESOLVED</w:t>
      </w:r>
      <w:r>
        <w:rPr>
          <w:rFonts w:ascii="Times New Roman" w:hAnsi="Times New Roman"/>
          <w:sz w:val="20"/>
        </w:rPr>
        <w:t xml:space="preserve">, that the </w:t>
      </w:r>
      <w:r>
        <w:rPr>
          <w:rFonts w:ascii="Times New Roman" w:hAnsi="Times New Roman"/>
          <w:strike/>
          <w:color w:val="FF0000"/>
          <w:sz w:val="20"/>
        </w:rPr>
        <w:t>officers of Keystone National Group, LLC and the Fund be, and each of them</w:t>
      </w:r>
      <w:r>
        <w:rPr>
          <w:rFonts w:ascii="Times New Roman" w:hAnsi="Times New Roman"/>
          <w:color w:val="0000FF"/>
          <w:sz w:val="20"/>
          <w:u w:val="single"/>
          <w:bdr w:val="double" w:sz="2" w:space="1" w:color="000000"/>
        </w:rPr>
        <w:t>Board shall be, and</w:t>
      </w:r>
      <w:r>
        <w:rPr>
          <w:rFonts w:ascii="Times New Roman" w:hAnsi="Times New Roman"/>
          <w:sz w:val="20"/>
        </w:rPr>
        <w:t xml:space="preserve"> hereby is, authorized</w:t>
      </w:r>
      <w:r>
        <w:rPr>
          <w:rFonts w:ascii="Times New Roman" w:hAnsi="Times New Roman"/>
          <w:color w:val="0000FF"/>
          <w:sz w:val="20"/>
          <w:u w:val="single"/>
          <w:bdr w:val="double" w:sz="2" w:space="1" w:color="000000"/>
        </w:rPr>
        <w:t>, empowered</w:t>
      </w:r>
      <w:r>
        <w:rPr>
          <w:rFonts w:ascii="Times New Roman" w:hAnsi="Times New Roman"/>
          <w:sz w:val="20"/>
        </w:rPr>
        <w:t xml:space="preserve"> and directed</w:t>
      </w:r>
      <w:r>
        <w:rPr>
          <w:rFonts w:ascii="Times New Roman" w:hAnsi="Times New Roman"/>
          <w:strike/>
          <w:color w:val="FF0000"/>
          <w:sz w:val="20"/>
        </w:rPr>
        <w:t xml:space="preserve"> on behalf of</w:t>
      </w:r>
      <w:r>
        <w:rPr>
          <w:rFonts w:ascii="Times New Roman" w:hAnsi="Times New Roman"/>
          <w:color w:val="0000FF"/>
          <w:sz w:val="20"/>
          <w:u w:val="single"/>
          <w:bdr w:val="double" w:sz="2" w:space="1" w:color="000000"/>
        </w:rPr>
        <w:t>, in</w:t>
      </w:r>
      <w:r>
        <w:rPr>
          <w:rFonts w:ascii="Times New Roman" w:hAnsi="Times New Roman"/>
          <w:sz w:val="20"/>
        </w:rPr>
        <w:t xml:space="preserve"> the </w:t>
      </w:r>
      <w:r>
        <w:rPr>
          <w:rFonts w:ascii="Times New Roman" w:hAnsi="Times New Roman"/>
          <w:strike/>
          <w:color w:val="FF0000"/>
          <w:sz w:val="20"/>
        </w:rPr>
        <w:t>Fund and in its</w:t>
      </w:r>
      <w:r>
        <w:rPr>
          <w:rFonts w:ascii="Times New Roman" w:hAnsi="Times New Roman"/>
          <w:sz w:val="20"/>
        </w:rPr>
        <w:t xml:space="preserve"> name and on behalf of the</w:t>
      </w:r>
      <w:r>
        <w:rPr>
          <w:rFonts w:ascii="Times New Roman" w:hAnsi="Times New Roman"/>
          <w:strike/>
          <w:color w:val="FF0000"/>
          <w:sz w:val="20"/>
        </w:rPr>
        <w:t xml:space="preserve"> Fund</w:t>
      </w:r>
      <w:r>
        <w:rPr>
          <w:rFonts w:ascii="Times New Roman" w:hAnsi="Times New Roman"/>
          <w:color w:val="0000FF"/>
          <w:sz w:val="20"/>
          <w:u w:val="single"/>
          <w:bdr w:val="double" w:sz="2" w:space="1" w:color="000000"/>
        </w:rPr>
        <w:t>Company</w:t>
      </w:r>
      <w:r>
        <w:rPr>
          <w:rFonts w:ascii="Times New Roman" w:hAnsi="Times New Roman"/>
          <w:sz w:val="20"/>
        </w:rPr>
        <w:t xml:space="preserve">, to </w:t>
      </w:r>
      <w:r>
        <w:rPr>
          <w:rFonts w:ascii="Times New Roman" w:hAnsi="Times New Roman"/>
          <w:strike/>
          <w:color w:val="FF0000"/>
          <w:sz w:val="20"/>
        </w:rPr>
        <w:t>prepare, execute, and</w:t>
      </w:r>
      <w:r>
        <w:rPr>
          <w:rFonts w:ascii="Times New Roman" w:hAnsi="Times New Roman"/>
          <w:sz w:val="20"/>
        </w:rPr>
        <w:t xml:space="preserve"> cause to be </w:t>
      </w:r>
      <w:r>
        <w:rPr>
          <w:rFonts w:ascii="Times New Roman" w:hAnsi="Times New Roman"/>
          <w:color w:val="0000FF"/>
          <w:sz w:val="20"/>
          <w:u w:val="single"/>
          <w:bdr w:val="double" w:sz="2" w:space="1" w:color="000000"/>
        </w:rPr>
        <w:t>executed, delivered and</w:t>
      </w:r>
      <w:r>
        <w:rPr>
          <w:rFonts w:ascii="Times New Roman" w:hAnsi="Times New Roman"/>
          <w:sz w:val="20"/>
        </w:rPr>
        <w:t xml:space="preserve"> filed with the </w:t>
      </w:r>
      <w:r>
        <w:rPr>
          <w:rFonts w:ascii="Times New Roman" w:hAnsi="Times New Roman"/>
          <w:strike/>
          <w:color w:val="FF0000"/>
          <w:sz w:val="20"/>
        </w:rPr>
        <w:t>Commission an Application for an Order of Exemption, substantially in the form</w:t>
      </w:r>
      <w:r>
        <w:rPr>
          <w:rFonts w:ascii="Times New Roman" w:hAnsi="Times New Roman"/>
          <w:strike/>
          <w:color w:val="008000"/>
          <w:sz w:val="20"/>
        </w:rPr>
        <w:t xml:space="preserve"> attached hereto as Exhibit A,</w:t>
      </w:r>
      <w:r>
        <w:rPr>
          <w:rFonts w:ascii="Times New Roman" w:hAnsi="Times New Roman"/>
          <w:strike/>
          <w:color w:val="FF0000"/>
          <w:sz w:val="20"/>
        </w:rPr>
        <w:t xml:space="preserve"> and any amendments thereto, pursuant to Section 17(d) of the 1940 Act, and Rule 17d-1 promulgated under the 1940 Act, authorizing certain joint transactions that otherwise may be prohibited by Section 17(d) of the 1940 Act; and it is further</w:t>
      </w:r>
      <w:r>
        <w:rPr>
          <w:rFonts w:ascii="Times New Roman" w:hAnsi="Times New Roman"/>
          <w:color w:val="0000FF"/>
          <w:sz w:val="20"/>
          <w:u w:val="single"/>
          <w:bdr w:val="double" w:sz="2" w:space="1" w:color="000000"/>
        </w:rPr>
        <w:t>SEC the Exemptive Application, in substantially the form provided to the Board;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color w:val="0000FF"/>
          <w:sz w:val="20"/>
          <w:u w:val="single"/>
          <w:bdr w:val="double" w:sz="2" w:space="1" w:color="000000"/>
        </w:rPr>
        <w:t>FURTHER</w:t>
      </w:r>
      <w:r>
        <w:rPr>
          <w:rFonts w:ascii="Times New Roman" w:hAnsi="Times New Roman"/>
          <w:b/>
          <w:sz w:val="20"/>
        </w:rPr>
        <w:t xml:space="preserve"> RESOLVED</w:t>
      </w:r>
      <w:r>
        <w:rPr>
          <w:rFonts w:ascii="Times New Roman" w:hAnsi="Times New Roman"/>
          <w:sz w:val="20"/>
        </w:rPr>
        <w:t>, that the</w:t>
      </w:r>
      <w:r>
        <w:rPr>
          <w:rFonts w:ascii="Times New Roman" w:hAnsi="Times New Roman"/>
          <w:strike/>
          <w:color w:val="FF0000"/>
          <w:sz w:val="20"/>
        </w:rPr>
        <w:t xml:space="preserve"> officers of the Fund be, and each of them</w:t>
      </w:r>
      <w:r>
        <w:rPr>
          <w:rFonts w:ascii="Times New Roman" w:hAnsi="Times New Roman"/>
          <w:color w:val="0000FF"/>
          <w:sz w:val="20"/>
          <w:u w:val="single"/>
          <w:bdr w:val="double" w:sz="2" w:space="1" w:color="000000"/>
        </w:rPr>
        <w:t>Authorized Officers (as defined below) shall be, and</w:t>
      </w:r>
      <w:r>
        <w:rPr>
          <w:rFonts w:ascii="Times New Roman" w:hAnsi="Times New Roman"/>
          <w:sz w:val="20"/>
        </w:rPr>
        <w:t xml:space="preserve"> hereby</w:t>
      </w:r>
      <w:r>
        <w:rPr>
          <w:rFonts w:ascii="Times New Roman" w:hAnsi="Times New Roman"/>
          <w:strike/>
          <w:color w:val="FF0000"/>
          <w:sz w:val="20"/>
        </w:rPr>
        <w:t xml:space="preserve"> is</w:t>
      </w:r>
      <w:r>
        <w:rPr>
          <w:rFonts w:ascii="Times New Roman" w:hAnsi="Times New Roman"/>
          <w:color w:val="0000FF"/>
          <w:sz w:val="20"/>
          <w:u w:val="single"/>
          <w:bdr w:val="double" w:sz="2" w:space="1" w:color="000000"/>
        </w:rPr>
        <w:t>are</w:t>
      </w:r>
      <w:r>
        <w:rPr>
          <w:rFonts w:ascii="Times New Roman" w:hAnsi="Times New Roman"/>
          <w:sz w:val="20"/>
        </w:rPr>
        <w:t>, authorized</w:t>
      </w:r>
      <w:r>
        <w:rPr>
          <w:rFonts w:ascii="Times New Roman" w:hAnsi="Times New Roman"/>
          <w:color w:val="0000FF"/>
          <w:sz w:val="20"/>
          <w:u w:val="single"/>
          <w:bdr w:val="double" w:sz="2" w:space="1" w:color="000000"/>
        </w:rPr>
        <w:t>, empowered</w:t>
      </w:r>
      <w:r>
        <w:rPr>
          <w:rFonts w:ascii="Times New Roman" w:hAnsi="Times New Roman"/>
          <w:sz w:val="20"/>
        </w:rPr>
        <w:t xml:space="preserve"> and directed</w:t>
      </w:r>
      <w:r>
        <w:rPr>
          <w:rFonts w:ascii="Times New Roman" w:hAnsi="Times New Roman"/>
          <w:strike/>
          <w:color w:val="FF0000"/>
          <w:sz w:val="20"/>
        </w:rPr>
        <w:t xml:space="preserve"> to take such further action and execute such other documents as such officer or officers shall deem necessary or advisable</w:t>
      </w:r>
      <w:r>
        <w:rPr>
          <w:rFonts w:ascii="Times New Roman" w:hAnsi="Times New Roman"/>
          <w:color w:val="0000FF"/>
          <w:sz w:val="20"/>
          <w:u w:val="single"/>
          <w:bdr w:val="double" w:sz="2" w:space="1" w:color="000000"/>
        </w:rPr>
        <w:t>, in the name and on behalf of the Company, to cause to be made, executed, delivered and filed with the SEC any amendments to the Exemptive Application, together with such exhibits and other documents thereto, as are satisfactory in form and substance to counsel to the Company</w:t>
      </w:r>
      <w:r>
        <w:rPr>
          <w:rFonts w:ascii="Times New Roman" w:hAnsi="Times New Roman"/>
          <w:sz w:val="20"/>
        </w:rPr>
        <w:t xml:space="preserve"> in order to effectuate the </w:t>
      </w:r>
      <w:r>
        <w:rPr>
          <w:rFonts w:ascii="Times New Roman" w:hAnsi="Times New Roman"/>
          <w:strike/>
          <w:color w:val="FF0000"/>
          <w:sz w:val="20"/>
        </w:rPr>
        <w:t>intent of the</w:t>
      </w:r>
      <w:r>
        <w:rPr>
          <w:rFonts w:ascii="Times New Roman" w:hAnsi="Times New Roman"/>
          <w:sz w:val="20"/>
        </w:rPr>
        <w:t xml:space="preserve"> foregoing </w:t>
      </w:r>
      <w:r>
        <w:rPr>
          <w:rFonts w:ascii="Times New Roman" w:hAnsi="Times New Roman"/>
          <w:strike/>
          <w:color w:val="FF0000"/>
          <w:sz w:val="20"/>
        </w:rPr>
        <w:t>resolution; and it is further</w:t>
      </w:r>
      <w:r>
        <w:rPr>
          <w:rFonts w:ascii="Times New Roman" w:hAnsi="Times New Roman"/>
          <w:color w:val="0000FF"/>
          <w:sz w:val="20"/>
          <w:u w:val="single"/>
          <w:bdr w:val="double" w:sz="2" w:space="1" w:color="000000"/>
        </w:rPr>
        <w:t>, such determination to be conclusively evidenced by the taking of any such 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color w:val="0000FF"/>
          <w:sz w:val="20"/>
          <w:u w:val="single"/>
          <w:bdr w:val="double" w:sz="2" w:space="1" w:color="000000"/>
        </w:rPr>
        <w:t>FURTHER</w:t>
      </w:r>
      <w:r>
        <w:rPr>
          <w:rFonts w:ascii="Times New Roman" w:hAnsi="Times New Roman"/>
          <w:b/>
          <w:sz w:val="20"/>
        </w:rPr>
        <w:t xml:space="preserve"> RESOLVED</w:t>
      </w:r>
      <w:r>
        <w:rPr>
          <w:rFonts w:ascii="Times New Roman" w:hAnsi="Times New Roman"/>
          <w:sz w:val="20"/>
        </w:rPr>
        <w:t xml:space="preserve">, that </w:t>
      </w:r>
      <w:r>
        <w:rPr>
          <w:rFonts w:ascii="Times New Roman" w:hAnsi="Times New Roman"/>
          <w:strike/>
          <w:color w:val="FF0000"/>
          <w:sz w:val="20"/>
        </w:rPr>
        <w:t>any and all actions previously taken by the Fund or any of its trustees or officers</w:t>
      </w:r>
      <w:r>
        <w:rPr>
          <w:rFonts w:ascii="Times New Roman" w:hAnsi="Times New Roman"/>
          <w:color w:val="0000FF"/>
          <w:sz w:val="20"/>
          <w:u w:val="single"/>
          <w:bdr w:val="double" w:sz="2" w:space="1" w:color="000000"/>
        </w:rPr>
        <w:t>all acts and things previously done by the Authorized Officers, on or prior to the date hereof, in the name and on behalf of the Company</w:t>
      </w:r>
      <w:r>
        <w:rPr>
          <w:rFonts w:ascii="Times New Roman" w:hAnsi="Times New Roman"/>
          <w:sz w:val="20"/>
        </w:rPr>
        <w:t xml:space="preserve"> in connection with the </w:t>
      </w:r>
      <w:r>
        <w:rPr>
          <w:rFonts w:ascii="Times New Roman" w:hAnsi="Times New Roman"/>
          <w:strike/>
          <w:color w:val="FF0000"/>
          <w:sz w:val="20"/>
        </w:rPr>
        <w:t>actions contemplated by the</w:t>
      </w:r>
      <w:r>
        <w:rPr>
          <w:rFonts w:ascii="Times New Roman" w:hAnsi="Times New Roman"/>
          <w:sz w:val="20"/>
        </w:rPr>
        <w:t xml:space="preserve"> foregoing resolutions </w:t>
      </w:r>
      <w:r>
        <w:rPr>
          <w:rFonts w:ascii="Times New Roman" w:hAnsi="Times New Roman"/>
          <w:strike/>
          <w:color w:val="FF0000"/>
          <w:sz w:val="20"/>
        </w:rPr>
        <w:t>be, and each of them hereby is</w:t>
      </w:r>
      <w:r>
        <w:rPr>
          <w:rFonts w:ascii="Times New Roman" w:hAnsi="Times New Roman"/>
          <w:color w:val="0000FF"/>
          <w:sz w:val="20"/>
          <w:u w:val="single"/>
          <w:bdr w:val="double" w:sz="2" w:space="1" w:color="000000"/>
        </w:rPr>
        <w:t>are in all respects authorized</w:t>
      </w:r>
      <w:r>
        <w:rPr>
          <w:rFonts w:ascii="Times New Roman" w:hAnsi="Times New Roman"/>
          <w:sz w:val="20"/>
        </w:rPr>
        <w:t xml:space="preserve">, ratified, </w:t>
      </w:r>
      <w:r>
        <w:rPr>
          <w:rFonts w:ascii="Times New Roman" w:hAnsi="Times New Roman"/>
          <w:strike/>
          <w:color w:val="FF0000"/>
          <w:sz w:val="20"/>
        </w:rPr>
        <w:t>confirmed,</w:t>
      </w:r>
      <w:r>
        <w:rPr>
          <w:rFonts w:ascii="Times New Roman" w:hAnsi="Times New Roman"/>
          <w:sz w:val="20"/>
        </w:rPr>
        <w:t xml:space="preserve"> approved</w:t>
      </w:r>
      <w:r>
        <w:rPr>
          <w:rFonts w:ascii="Times New Roman" w:hAnsi="Times New Roman"/>
          <w:color w:val="0000FF"/>
          <w:sz w:val="20"/>
          <w:u w:val="single"/>
          <w:bdr w:val="double" w:sz="2" w:space="1" w:color="000000"/>
        </w:rPr>
        <w:t>, confirmed</w:t>
      </w:r>
      <w:r>
        <w:rPr>
          <w:rFonts w:ascii="Times New Roman" w:hAnsi="Times New Roman"/>
          <w:sz w:val="20"/>
        </w:rPr>
        <w:t xml:space="preserve"> and adopted</w:t>
      </w:r>
      <w:r>
        <w:rPr>
          <w:rFonts w:ascii="Times New Roman" w:hAnsi="Times New Roman"/>
          <w:strike/>
          <w:color w:val="FF0000"/>
          <w:sz w:val="20"/>
        </w:rPr>
        <w:t xml:space="preserve"> in all respects</w:t>
      </w:r>
      <w:r>
        <w:rPr>
          <w:rFonts w:ascii="Times New Roman" w:hAnsi="Times New Roman"/>
          <w:sz w:val="20"/>
        </w:rPr>
        <w:t xml:space="preserve"> as</w:t>
      </w:r>
      <w:r>
        <w:rPr>
          <w:rFonts w:ascii="Times New Roman" w:hAnsi="Times New Roman"/>
          <w:strike/>
          <w:color w:val="FF0000"/>
          <w:sz w:val="20"/>
        </w:rPr>
        <w:t xml:space="preserve"> and for</w:t>
      </w:r>
      <w:r>
        <w:rPr>
          <w:rFonts w:ascii="Times New Roman" w:hAnsi="Times New Roman"/>
          <w:sz w:val="20"/>
        </w:rPr>
        <w:t xml:space="preserve"> the acts and deeds</w:t>
      </w:r>
      <w:r>
        <w:rPr>
          <w:rFonts w:ascii="Times New Roman" w:hAnsi="Times New Roman"/>
          <w:color w:val="0000FF"/>
          <w:sz w:val="20"/>
          <w:u w:val="single"/>
          <w:bdr w:val="double" w:sz="2" w:space="1" w:color="000000"/>
        </w:rPr>
        <w:t xml:space="preserve"> by and on behalf</w:t>
      </w:r>
      <w:r>
        <w:rPr>
          <w:rFonts w:ascii="Times New Roman" w:hAnsi="Times New Roman"/>
          <w:sz w:val="20"/>
        </w:rPr>
        <w:t xml:space="preserve"> of the</w:t>
      </w:r>
      <w:r>
        <w:rPr>
          <w:rFonts w:ascii="Times New Roman" w:hAnsi="Times New Roman"/>
          <w:strike/>
          <w:color w:val="FF0000"/>
          <w:sz w:val="20"/>
        </w:rPr>
        <w:t xml:space="preserve"> Fund.</w:t>
      </w:r>
      <w:r>
        <w:rPr>
          <w:rFonts w:ascii="Times New Roman" w:hAnsi="Times New Roman"/>
          <w:color w:val="0000FF"/>
          <w:sz w:val="20"/>
          <w:u w:val="single"/>
          <w:bdr w:val="double" w:sz="2" w:space="1" w:color="000000"/>
        </w:rPr>
        <w:t>Company; 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color w:val="0000FF"/>
          <w:sz w:val="20"/>
          <w:u w:val="single"/>
          <w:bdr w:val="double" w:sz="2" w:space="1" w:color="000000"/>
        </w:rPr>
        <w:t>FURTHER RESOLVED</w:t>
      </w:r>
      <w:r>
        <w:rPr>
          <w:rFonts w:ascii="Times New Roman" w:hAnsi="Times New Roman"/>
          <w:color w:val="0000FF"/>
          <w:sz w:val="20"/>
          <w:u w:val="single"/>
          <w:bdr w:val="double" w:sz="2" w:space="1" w:color="000000"/>
        </w:rPr>
        <w:t>, that each of Chief Executive Officer and Chief Financial Officer of the Company (the “</w:t>
      </w:r>
      <w:r>
        <w:rPr>
          <w:rFonts w:ascii="Times New Roman" w:hAnsi="Times New Roman"/>
          <w:b/>
          <w:i/>
          <w:color w:val="0000FF"/>
          <w:sz w:val="20"/>
          <w:u w:val="single"/>
          <w:bdr w:val="double" w:sz="2" w:space="1" w:color="000000"/>
        </w:rPr>
        <w:t>Authorized Officers</w:t>
      </w:r>
      <w:r>
        <w:rPr>
          <w:rFonts w:ascii="Times New Roman" w:hAnsi="Times New Roman"/>
          <w:color w:val="0000FF"/>
          <w:sz w:val="20"/>
          <w:u w:val="single"/>
          <w:bdr w:val="double" w:sz="2" w:space="1" w:color="000000"/>
        </w:rPr>
        <w:t>”) be, and hereby is, authorized, empowered and directed to certify and deliver copies of these resolutions to such governmental bodies, agencies, persons, firms or corporations as the Authorized Officer may deem necessary and to identify by such Authorized Officer’s signature or certificate, or in such form as may be required, the documents and instruments presented to and approved herein and to furnish evidence of the approval of any document, instrument or provision or any addition, deletion or change in any document or instrument.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Schedule A – Existing Wholly-Owned Subsidiaries</w:t>
      </w: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color w:val="0000FF"/>
          <w:sz w:val="20"/>
          <w:u w:val="single"/>
          <w:bdr w:val="double" w:sz="2" w:space="1" w:color="000000"/>
        </w:rPr>
        <w:t>Existing Wholly-Owned Subsidiaries of Fidus Investment Corporation</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Fidus Mezzanine Capital, 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Mezzanine Capital II, 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Mezzanine Capital III, 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Mezzanine Capital IV, 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FIC Funding, LLC</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Investment Holdings, Inc.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color w:val="FF0000"/>
          <w:sz w:val="20"/>
        </w:rPr>
      </w:pPr>
      <w:r>
        <w:rPr>
          <w:rFonts w:ascii="Times New Roman" w:hAnsi="Times New Roman"/>
          <w:i/>
          <w:color w:val="FF0000"/>
          <w:sz w:val="20"/>
        </w:rPr>
        <w:t xml:space="preserve">[Different first page setting changed from off in original to on in modified.]. </w:t>
      </w:r>
    </w:p>
    <w:p>
      <w:pPr>
        <w:pStyle w:val="TextBody"/>
        <w:bidi w:val="0"/>
        <w:spacing w:before="240" w:after="0"/>
        <w:jc w:val="center"/>
        <w:rPr>
          <w:rFonts w:ascii="Times New Roman" w:hAnsi="Times New Roman"/>
          <w:b/>
          <w:sz w:val="20"/>
        </w:rPr>
      </w:pPr>
      <w:r>
        <w:rPr>
          <w:rFonts w:ascii="Times New Roman" w:hAnsi="Times New Roman"/>
          <w:b/>
          <w:color w:val="0000FF"/>
          <w:sz w:val="20"/>
          <w:u w:val="single"/>
          <w:bdr w:val="double" w:sz="2" w:space="1" w:color="000000"/>
        </w:rPr>
        <w:t>Schedule B – Existing Affiliated Funds</w:t>
      </w: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color w:val="0000FF"/>
          <w:sz w:val="20"/>
          <w:u w:val="single"/>
          <w:bdr w:val="double" w:sz="2" w:space="1" w:color="000000"/>
        </w:rPr>
        <w:t>Existing Affiliated Funds Advised by Fidus Investment Advisors, LLC:</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Fidus Credit Opportunities, 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Equity Opportunities Fund, L.P.</w:t>
      </w:r>
      <w:r>
        <w:rPr>
          <w:rFonts w:ascii="Times New Roman" w:hAnsi="Times New Roman"/>
          <w:sz w:val="20"/>
        </w:rPr>
        <w:t xml:space="preserve"> </w:t>
      </w:r>
    </w:p>
    <w:p>
      <w:pPr>
        <w:pStyle w:val="TextBody"/>
        <w:bidi w:val="0"/>
        <w:spacing w:before="240" w:after="0"/>
        <w:jc w:val="left"/>
        <w:rPr>
          <w:rFonts w:ascii="Times New Roman" w:hAnsi="Times New Roman"/>
          <w:i/>
          <w:color w:val="FF0000"/>
          <w:sz w:val="20"/>
        </w:rPr>
      </w:pPr>
      <w:r>
        <w:rPr>
          <w:rFonts w:ascii="Times New Roman" w:hAnsi="Times New Roman"/>
          <w:i/>
          <w:color w:val="FF0000"/>
          <w:sz w:val="20"/>
        </w:rPr>
        <w:t xml:space="preserve">[Different first page setting changed from off in original to on in modified.].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color w:val="FF0000"/>
          <w:sz w:val="20"/>
        </w:rPr>
      </w:pPr>
      <w:r>
        <w:rPr>
          <w:rFonts w:ascii="Times New Roman" w:hAnsi="Times New Roman"/>
          <w:i/>
          <w:color w:val="FF0000"/>
          <w:sz w:val="20"/>
        </w:rPr>
        <w:t xml:space="preserve">[Different first page setting changed from off in original to on in modified.]. </w:t>
      </w:r>
    </w:p>
    <w:p>
      <w:pPr>
        <w:pStyle w:val="TextBody"/>
        <w:bidi w:val="0"/>
        <w:spacing w:before="240" w:after="0"/>
        <w:jc w:val="right"/>
        <w:rPr>
          <w:rFonts w:ascii="Times New Roman" w:hAnsi="Times New Roman"/>
          <w:sz w:val="20"/>
        </w:rPr>
      </w:pPr>
      <w:r>
        <w:rPr>
          <w:rFonts w:ascii="Times New Roman" w:hAnsi="Times New Roman"/>
          <w:color w:val="0000FF"/>
          <w:sz w:val="20"/>
          <w:u w:val="single"/>
          <w:bdr w:val="double" w:sz="2" w:space="1" w:color="000000"/>
        </w:rPr>
        <w:t>Exhibit C</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color w:val="0000FF"/>
          <w:sz w:val="20"/>
          <w:u w:val="single"/>
          <w:bdr w:val="double" w:sz="2" w:space="1" w:color="000000"/>
        </w:rPr>
        <w:t>Marked Copies of the Application Showing Changes from the Final Versions of the Two Applications Identified as Substantially Identical Under Rule 0-5(e)(3)</w:t>
      </w:r>
      <w:r>
        <w:rPr>
          <w:rFonts w:ascii="Times New Roman" w:hAnsi="Times New Roman"/>
          <w:b/>
          <w:sz w:val="20"/>
        </w:rPr>
        <w:t xml:space="preserve"> </w:t>
      </w:r>
    </w:p>
    <w:p>
      <w:pPr>
        <w:pStyle w:val="TextBody"/>
        <w:bidi w:val="0"/>
        <w:spacing w:before="240" w:after="0"/>
        <w:jc w:val="left"/>
        <w:rPr>
          <w:rFonts w:ascii="Times New Roman" w:hAnsi="Times New Roman"/>
          <w:color w:val="FF0000"/>
          <w:sz w:val="20"/>
        </w:rPr>
      </w:pPr>
      <w:r>
        <w:rPr>
          <w:rFonts w:ascii="Times New Roman" w:hAnsi="Times New Roman"/>
          <w:i/>
          <w:color w:val="FF0000"/>
          <w:sz w:val="20"/>
        </w:rPr>
        <w:t>[Different first page setting changed from off in original to on in modified.].</w:t>
      </w:r>
      <w:r>
        <w:rPr>
          <w:rFonts w:ascii="Times New Roman" w:hAnsi="Times New Roman"/>
          <w:color w:val="FF0000"/>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color w:val="0000FF"/>
          <w:sz w:val="20"/>
          <w:u w:val="single"/>
          <w:bdr w:val="double" w:sz="2" w:space="1" w:color="000000"/>
        </w:rPr>
        <w:t>File No.</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File No. 812-15805</w:t>
      </w:r>
      <w:r>
        <w:rPr>
          <w:rFonts w:ascii="Times New Roman" w:hAnsi="Times New Roman"/>
          <w:sz w:val="20"/>
        </w:rPr>
        <w:t xml:space="preserve"> </w:t>
      </w:r>
    </w:p>
    <w:p>
      <w:pPr>
        <w:pStyle w:val="TextBody"/>
        <w:bidi w:val="0"/>
        <w:spacing w:before="240" w:after="0"/>
        <w:jc w:val="center"/>
        <w:rPr>
          <w:rFonts w:ascii="Times New Roman" w:hAnsi="Times New Roman"/>
          <w:b/>
          <w:sz w:val="36"/>
        </w:rPr>
      </w:pPr>
      <w:r>
        <w:rPr>
          <w:rFonts w:ascii="Times New Roman" w:hAnsi="Times New Roman"/>
          <w:b/>
          <w:sz w:val="36"/>
        </w:rPr>
        <w:t xml:space="preserve">U.S. 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color w:val="0000FF"/>
          <w:sz w:val="20"/>
          <w:u w:val="single"/>
          <w:bdr w:val="double" w:sz="2" w:space="1" w:color="000000"/>
        </w:rPr>
        <w:t>EXPEDITED REVIEW REQUESTED UNDER 17 CFR 270.0-5(d)</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i/>
          <w:sz w:val="20"/>
        </w:rPr>
      </w:pPr>
      <w:r>
        <w:rPr>
          <w:rFonts w:ascii="Times New Roman" w:hAnsi="Times New Roman"/>
          <w:i/>
          <w:sz w:val="20"/>
        </w:rPr>
        <w:t xml:space="preserve">In the Matter of the Application of: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BLUEROCK PRIVATE REAL ESTATE FUND, BLUEROCK HIGH INCOME INSTITUTIONAL CREDIT FUND, BLUEROCK FUND ADVISOR, LLC AND BLUEROCK CREDIT FUND ADVISOR, LLC</w:t>
      </w:r>
      <w:r>
        <w:rPr>
          <w:rFonts w:ascii="Times New Roman" w:hAnsi="Times New Roman"/>
          <w:b/>
          <w:sz w:val="20"/>
        </w:rPr>
        <w:t xml:space="preserve"> </w:t>
      </w:r>
    </w:p>
    <w:p>
      <w:pPr>
        <w:pStyle w:val="TextBody"/>
        <w:bidi w:val="0"/>
        <w:spacing w:before="240" w:after="0"/>
        <w:jc w:val="center"/>
        <w:rPr>
          <w:rFonts w:ascii="Times New Roman" w:hAnsi="Times New Roman"/>
          <w:b/>
          <w:sz w:val="20"/>
          <w:u w:val="single"/>
        </w:rPr>
      </w:pPr>
      <w:r>
        <w:rPr>
          <w:rFonts w:ascii="Times New Roman" w:hAnsi="Times New Roman"/>
          <w:b/>
          <w:color w:val="0000FF"/>
          <w:sz w:val="20"/>
          <w:u w:val="single"/>
        </w:rPr>
        <w:t>FIDUS INVESTMENT CORPORATION, FIDUS CREDIT OPPORTUNITIES, L.P., FIDUS EQUITY OPPORTUNITIES FUND, L.P., FIDUS MEZZANINE CAPITAL, L.P., FIDUS MEZZANINE CAPITAL II, L.P., FIDUS MEZZANINE CAPITAL III, L.P., FIDUS MEZZANINE CAPITAL IV, L.P., FIC FUNDING, LLC, FIDUS INVESTMENT HOLDINGS, INC., AND FIDUS INVESTMENT ADVISORS, LLC</w:t>
      </w:r>
      <w:r>
        <w:rPr>
          <w:rFonts w:ascii="Times New Roman" w:hAnsi="Times New Roman"/>
          <w:b/>
          <w:sz w:val="20"/>
          <w:u w:val="single"/>
        </w:rPr>
        <w:t xml:space="preserve"> </w:t>
      </w:r>
    </w:p>
    <w:p>
      <w:pPr>
        <w:pStyle w:val="TextBody"/>
        <w:bidi w:val="0"/>
        <w:spacing w:before="240" w:after="0"/>
        <w:jc w:val="center"/>
        <w:rPr>
          <w:rFonts w:ascii="Times New Roman" w:hAnsi="Times New Roman"/>
          <w:sz w:val="20"/>
        </w:rPr>
      </w:pPr>
      <w:r>
        <w:rPr>
          <w:rFonts w:ascii="Times New Roman" w:hAnsi="Times New Roman"/>
          <w:strike/>
          <w:color w:val="FF0000"/>
          <w:sz w:val="20"/>
        </w:rPr>
        <w:t>919 Third</w:t>
      </w:r>
      <w:r>
        <w:rPr>
          <w:rFonts w:ascii="Times New Roman" w:hAnsi="Times New Roman"/>
          <w:color w:val="0000FF"/>
          <w:sz w:val="20"/>
          <w:u w:val="single"/>
          <w:bdr w:val="double" w:sz="2" w:space="1" w:color="000000"/>
        </w:rPr>
        <w:t>1603 Orrington</w:t>
      </w:r>
      <w:r>
        <w:rPr>
          <w:rFonts w:ascii="Times New Roman" w:hAnsi="Times New Roman"/>
          <w:sz w:val="20"/>
        </w:rPr>
        <w:t xml:space="preserve"> Avenue,</w:t>
      </w:r>
      <w:r>
        <w:rPr>
          <w:rFonts w:ascii="Times New Roman" w:hAnsi="Times New Roman"/>
          <w:strike/>
          <w:color w:val="FF0000"/>
          <w:sz w:val="20"/>
        </w:rPr>
        <w:t xml:space="preserve"> 40th Floor</w:t>
      </w:r>
      <w:r>
        <w:rPr>
          <w:rFonts w:ascii="Times New Roman" w:hAnsi="Times New Roman"/>
          <w:color w:val="0000FF"/>
          <w:sz w:val="20"/>
          <w:u w:val="single"/>
          <w:bdr w:val="double" w:sz="2" w:space="1" w:color="000000"/>
        </w:rPr>
        <w:t>Suite 1005</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trike/>
          <w:color w:val="FF0000"/>
          <w:sz w:val="20"/>
        </w:rPr>
        <w:t>New York, NY 10022</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trike/>
          <w:color w:val="FF0000"/>
          <w:sz w:val="20"/>
        </w:rPr>
        <w:t>(212) 843 -1601</w:t>
      </w:r>
      <w:r>
        <w:rPr>
          <w:rFonts w:ascii="Times New Roman" w:hAnsi="Times New Roman"/>
          <w:color w:val="0000FF"/>
          <w:sz w:val="20"/>
          <w:u w:val="single"/>
          <w:bdr w:val="double" w:sz="2" w:space="1" w:color="000000"/>
        </w:rPr>
        <w:t>Evanston, Illinois 60201</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(847) 859-3940</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trike/>
          <w:color w:val="FF0000"/>
          <w:sz w:val="20"/>
        </w:rPr>
        <w:t>AMENDMENT NO. 4 TO THE</w:t>
      </w:r>
      <w:r>
        <w:rPr>
          <w:rFonts w:ascii="Times New Roman" w:hAnsi="Times New Roman"/>
          <w:sz w:val="20"/>
        </w:rPr>
        <w:t xml:space="preserve"> 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i/>
          <w:sz w:val="20"/>
        </w:rPr>
      </w:pPr>
      <w:r>
        <w:rPr>
          <w:rFonts w:ascii="Times New Roman" w:hAnsi="Times New Roman"/>
          <w:i/>
          <w:sz w:val="20"/>
        </w:rPr>
        <w:t xml:space="preserve">All Communications, Notices and Orders to: </w:t>
      </w:r>
    </w:p>
    <w:p>
      <w:pPr>
        <w:pStyle w:val="TextBody"/>
        <w:bidi w:val="0"/>
        <w:spacing w:before="240" w:after="0"/>
        <w:jc w:val="center"/>
        <w:rPr>
          <w:rFonts w:ascii="Times New Roman" w:hAnsi="Times New Roman"/>
          <w:sz w:val="20"/>
        </w:rPr>
      </w:pPr>
      <w:r>
        <w:rPr>
          <w:rFonts w:ascii="Times New Roman" w:hAnsi="Times New Roman"/>
          <w:color w:val="0000FF"/>
          <w:sz w:val="20"/>
          <w:u w:val="single"/>
          <w:bdr w:val="double" w:sz="2" w:space="1" w:color="000000"/>
        </w:rPr>
        <w:t>Edward H. Ross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Chief Executive Officer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Fidus Investment Corporation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1603 Orrington Avenue, Suite 1005</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Evanston, Illinois 60201</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(847) 859-3940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eross@fidusinv.com</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trike/>
          <w:color w:val="FF0000"/>
          <w:sz w:val="20"/>
        </w:rPr>
        <w:t>Jason Emala, Esq.</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Bluerock Asset Management, LLC</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919 Third Avenue, 40th Floor</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New York, NY 10022</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Telephone: (212) 843-1601</w:t>
      </w:r>
      <w:r>
        <w:rPr>
          <w:rFonts w:ascii="Times New Roman" w:hAnsi="Times New Roman"/>
          <w:b/>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i/>
          <w:sz w:val="20"/>
        </w:rPr>
      </w:pPr>
      <w:r>
        <w:rPr>
          <w:rFonts w:ascii="Times New Roman" w:hAnsi="Times New Roman"/>
          <w:i/>
          <w:sz w:val="20"/>
        </w:rPr>
        <w:t xml:space="preserve">Copies to: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Nicole Simon</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Stradley Ronon Stevens &amp; Young, LLP</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100 Park Avenue, Suite 2000</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New York, NY 10017</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Telephone: (212) 812-4137</w:t>
      </w:r>
      <w:r>
        <w:rPr>
          <w:rFonts w:ascii="Times New Roman" w:hAnsi="Times New Roman"/>
          <w:b/>
          <w:sz w:val="20"/>
        </w:rPr>
        <w:t xml:space="preserve"> </w:t>
      </w:r>
    </w:p>
    <w:p>
      <w:pPr>
        <w:pStyle w:val="TextBody"/>
        <w:bidi w:val="0"/>
        <w:spacing w:before="240" w:after="0"/>
        <w:jc w:val="center"/>
        <w:rPr>
          <w:rFonts w:ascii="Times New Roman" w:hAnsi="Times New Roman"/>
          <w:sz w:val="20"/>
        </w:rPr>
      </w:pPr>
      <w:r>
        <w:rPr>
          <w:rFonts w:ascii="Times New Roman" w:hAnsi="Times New Roman"/>
          <w:color w:val="0000FF"/>
          <w:sz w:val="20"/>
          <w:u w:val="single"/>
          <w:bdr w:val="double" w:sz="2" w:space="1" w:color="000000"/>
        </w:rPr>
        <w:t>Steven B. Boehm</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Anne G. Oberndorf</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Payam Siadatpour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Eversheds Sutherland (US) LLP</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700 6</w:t>
      </w:r>
      <w:r>
        <w:rPr>
          <w:rFonts w:ascii="Times New Roman" w:hAnsi="Times New Roman"/>
          <w:sz w:val="20"/>
        </w:rPr>
        <w:t>th</w:t>
      </w:r>
      <w:r>
        <w:rPr>
          <w:rFonts w:ascii="Times New Roman" w:hAnsi="Times New Roman"/>
          <w:color w:val="0000FF"/>
          <w:sz w:val="20"/>
          <w:u w:val="single"/>
          <w:bdr w:val="double" w:sz="2" w:space="1" w:color="000000"/>
        </w:rPr>
        <w:t xml:space="preserve"> Street, N.W.</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Washington, D.C. 20001</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(202) 383-0100</w:t>
      </w:r>
      <w:r>
        <w:rPr>
          <w:rFonts w:ascii="Times New Roman" w:hAnsi="Times New Roman"/>
          <w:sz w:val="20"/>
        </w:rPr>
        <w:t xml:space="preserve"> </w:t>
      </w:r>
    </w:p>
    <w:p>
      <w:pPr>
        <w:pStyle w:val="TextBody"/>
        <w:bidi w:val="0"/>
        <w:spacing w:before="0" w:after="0"/>
        <w:jc w:val="center"/>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anneoberndorf@eversheds-sutherland.us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trike/>
          <w:color w:val="FF0000"/>
          <w:sz w:val="20"/>
        </w:rPr>
        <w:t>June 8</w:t>
      </w:r>
      <w:r>
        <w:rPr>
          <w:rFonts w:ascii="Times New Roman" w:hAnsi="Times New Roman"/>
          <w:b/>
          <w:color w:val="0000FF"/>
          <w:sz w:val="20"/>
          <w:u w:val="single"/>
          <w:bdr w:val="double" w:sz="2" w:space="1" w:color="000000"/>
        </w:rPr>
        <w:t>August 28</w:t>
      </w:r>
      <w:r>
        <w:rPr>
          <w:rFonts w:ascii="Times New Roman" w:hAnsi="Times New Roman"/>
          <w:b/>
          <w:sz w:val="20"/>
        </w:rPr>
        <w:t xml:space="preserve">, 2026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UNITED STATES OF AMERICA</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BEFORE THE</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SECURITIES AND EXCHANGE COMMISSION</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strike/>
                <w:color w:val="FF0000"/>
              </w:rPr>
            </w:pPr>
            <w:r>
              <w:rPr>
                <w:b/>
                <w:strike/>
                <w:color w:val="FF0000"/>
              </w:rPr>
              <w:t>I.</w:t>
            </w:r>
          </w:p>
        </w:tc>
        <w:tc>
          <w:tcPr>
            <w:tcW w:w="9798" w:type="dxa"/>
            <w:tcBorders/>
          </w:tcPr>
          <w:p>
            <w:pPr>
              <w:pStyle w:val="TableContents"/>
              <w:bidi w:val="0"/>
              <w:spacing w:before="0" w:after="0"/>
              <w:jc w:val="left"/>
              <w:rPr>
                <w:rFonts w:ascii="Times New Roman" w:hAnsi="Times New Roman"/>
                <w:color w:val="FF0000"/>
                <w:sz w:val="20"/>
              </w:rPr>
            </w:pPr>
            <w:r>
              <w:rPr>
                <w:rFonts w:ascii="Times New Roman" w:hAnsi="Times New Roman"/>
                <w:b/>
                <w:strike/>
                <w:color w:val="FF0000"/>
                <w:sz w:val="20"/>
              </w:rPr>
              <w:t>SUMMARY OF APPLICATION</w:t>
            </w:r>
            <w:r>
              <w:rPr>
                <w:rFonts w:ascii="Times New Roman" w:hAnsi="Times New Roman"/>
                <w:color w:val="FF0000"/>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strike/>
                <w:color w:val="FF0000"/>
              </w:rPr>
            </w:pPr>
            <w:r>
              <w:rPr>
                <w:b/>
                <w:strike/>
                <w:color w:val="FF0000"/>
              </w:rPr>
              <w:t>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color w:val="0000FF"/>
                <w:sz w:val="20"/>
                <w:u w:val="single"/>
                <w:bdr w:val="double" w:sz="2" w:space="1" w:color="000000"/>
              </w:rPr>
              <w:t>SUMMARY OF APPLICATION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The following entities hereby request an order (the “</w:t>
      </w:r>
      <w:r>
        <w:rPr>
          <w:rFonts w:ascii="Times New Roman" w:hAnsi="Times New Roman"/>
          <w:b/>
          <w:i/>
          <w:sz w:val="20"/>
        </w:rPr>
        <w:t>Order</w:t>
      </w:r>
      <w:r>
        <w:rPr>
          <w:rFonts w:ascii="Times New Roman" w:hAnsi="Times New Roman"/>
          <w:sz w:val="20"/>
        </w:rPr>
        <w:t>”) of the U.S. Securities and Exchange Commission (the “</w:t>
      </w:r>
      <w:r>
        <w:rPr>
          <w:rFonts w:ascii="Times New Roman" w:hAnsi="Times New Roman"/>
          <w:b/>
          <w:i/>
          <w:sz w:val="20"/>
        </w:rPr>
        <w:t>SEC</w:t>
      </w:r>
      <w:r>
        <w:rPr>
          <w:rFonts w:ascii="Times New Roman" w:hAnsi="Times New Roman"/>
          <w:sz w:val="20"/>
        </w:rPr>
        <w:t>” or “</w:t>
      </w:r>
      <w:r>
        <w:rPr>
          <w:rFonts w:ascii="Times New Roman" w:hAnsi="Times New Roman"/>
          <w:b/>
          <w:i/>
          <w:sz w:val="20"/>
        </w:rPr>
        <w:t>Commission</w:t>
      </w:r>
      <w:r>
        <w:rPr>
          <w:rFonts w:ascii="Times New Roman" w:hAnsi="Times New Roman"/>
          <w:sz w:val="20"/>
        </w:rPr>
        <w:t>”) under Sections 17(d) and 57(i) of the Investment Company Act of 1940, as amended (the “</w:t>
      </w:r>
      <w:r>
        <w:rPr>
          <w:rFonts w:ascii="Times New Roman" w:hAnsi="Times New Roman"/>
          <w:b/>
          <w:i/>
          <w:sz w:val="20"/>
        </w:rPr>
        <w:t>1940 Act</w:t>
      </w:r>
      <w:r>
        <w:rPr>
          <w:rFonts w:ascii="Times New Roman" w:hAnsi="Times New Roman"/>
          <w:sz w:val="20"/>
        </w:rPr>
        <w:t>”),1 and Rule 17d-1, permitting certain joint transactions otherwise prohibited by Sections 17(d) and 57(a)(4) of the 1940 Act and Rule 17d-1 thereunder.</w:t>
      </w:r>
      <w:r>
        <w:rPr>
          <w:rFonts w:ascii="Times New Roman" w:hAnsi="Times New Roman"/>
          <w:color w:val="0000FF"/>
          <w:sz w:val="20"/>
          <w:u w:val="single"/>
          <w:bdr w:val="double" w:sz="2" w:space="1" w:color="000000"/>
        </w:rPr>
        <w:t xml:space="preserve"> The Order would supersede the exemptive order issued by the Commission on August 29, 2024 (the “</w:t>
      </w:r>
      <w:r>
        <w:rPr>
          <w:rFonts w:ascii="Times New Roman" w:hAnsi="Times New Roman"/>
          <w:b/>
          <w:i/>
          <w:color w:val="0000FF"/>
          <w:sz w:val="20"/>
          <w:u w:val="single"/>
          <w:bdr w:val="double" w:sz="2" w:space="1" w:color="000000"/>
        </w:rPr>
        <w:t>Prior Order</w:t>
      </w:r>
      <w:r>
        <w:rPr>
          <w:rFonts w:ascii="Times New Roman" w:hAnsi="Times New Roman"/>
          <w:color w:val="0000FF"/>
          <w:sz w:val="20"/>
          <w:u w:val="single"/>
          <w:bdr w:val="double" w:sz="2" w:space="1" w:color="000000"/>
        </w:rPr>
        <w:t>”)</w:t>
      </w:r>
      <w:r>
        <w:rPr>
          <w:rFonts w:ascii="Times New Roman" w:hAnsi="Times New Roman"/>
          <w:strike/>
          <w:color w:val="FF0000"/>
          <w:sz w:val="13"/>
        </w:rPr>
        <w:t>2</w:t>
      </w:r>
      <w:r>
        <w:rPr>
          <w:rFonts w:ascii="Times New Roman" w:hAnsi="Times New Roman"/>
          <w:color w:val="0000FF"/>
          <w:sz w:val="20"/>
          <w:u w:val="single"/>
          <w:bdr w:val="double" w:sz="2" w:space="1" w:color="000000"/>
        </w:rPr>
        <w:t xml:space="preserve"> that was granted pursuant to Sections 17(d), 57(i) and Rule 17d-1, with the result that no person will continue to rely on the Prior Order if the Order is granted.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strike/>
                <w:color w:val="FF0000"/>
              </w:rPr>
            </w:pPr>
            <w:r>
              <w:rPr>
                <w:strike/>
                <w:color w:val="FF0000"/>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Bluerock Private Real Estate Fund (“</w:t>
            </w:r>
            <w:r>
              <w:rPr>
                <w:rFonts w:ascii="Times New Roman" w:hAnsi="Times New Roman"/>
                <w:b/>
                <w:i/>
                <w:strike/>
                <w:color w:val="FF0000"/>
                <w:sz w:val="20"/>
              </w:rPr>
              <w:t>BPRE</w:t>
            </w:r>
            <w:r>
              <w:rPr>
                <w:rFonts w:ascii="Times New Roman" w:hAnsi="Times New Roman"/>
                <w:strike/>
                <w:color w:val="FF0000"/>
                <w:sz w:val="20"/>
              </w:rPr>
              <w:t>”), an externally managed, non-diversified closed-end management investment company registered under the 1940 Act and listed on the New York Stock Exchange;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305"/>
        <w:gridCol w:w="9800"/>
      </w:tblGrid>
      <w:tr>
        <w:trPr/>
        <w:tc>
          <w:tcPr>
            <w:tcW w:w="10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Bluerock High Income Institutional Credit Fund (“</w:t>
            </w:r>
            <w:r>
              <w:rPr>
                <w:rFonts w:ascii="Times New Roman" w:hAnsi="Times New Roman"/>
                <w:b/>
                <w:i/>
                <w:strike/>
                <w:color w:val="FF0000"/>
                <w:sz w:val="20"/>
              </w:rPr>
              <w:t>HI</w:t>
            </w:r>
            <w:r>
              <w:rPr>
                <w:rFonts w:ascii="Times New Roman" w:hAnsi="Times New Roman"/>
                <w:strike/>
                <w:color w:val="FF0000"/>
                <w:sz w:val="20"/>
              </w:rPr>
              <w:t>” and, together with BPRE,</w:t>
            </w:r>
            <w:r>
              <w:rPr>
                <w:rFonts w:ascii="Times New Roman" w:hAnsi="Times New Roman"/>
                <w:color w:val="0000FF"/>
                <w:sz w:val="20"/>
                <w:u w:val="single"/>
                <w:bdr w:val="double" w:sz="2" w:space="1" w:color="000000"/>
              </w:rPr>
              <w:t xml:space="preserve"> Fidus Investment Corporation (</w:t>
            </w:r>
            <w:r>
              <w:rPr>
                <w:rFonts w:ascii="Times New Roman" w:hAnsi="Times New Roman"/>
                <w:sz w:val="20"/>
              </w:rPr>
              <w:t>the “</w:t>
            </w:r>
            <w:r>
              <w:rPr>
                <w:rFonts w:ascii="Times New Roman" w:hAnsi="Times New Roman"/>
                <w:b/>
                <w:i/>
                <w:sz w:val="20"/>
              </w:rPr>
              <w:t>Existing Regulated</w:t>
            </w:r>
            <w:r>
              <w:rPr>
                <w:rFonts w:ascii="Times New Roman" w:hAnsi="Times New Roman"/>
                <w:strike/>
                <w:color w:val="FF0000"/>
                <w:sz w:val="20"/>
              </w:rPr>
              <w:t xml:space="preserve"> </w:t>
            </w:r>
            <w:r>
              <w:rPr>
                <w:rFonts w:ascii="Times New Roman" w:hAnsi="Times New Roman"/>
                <w:b/>
                <w:i/>
                <w:strike/>
                <w:color w:val="FF0000"/>
                <w:sz w:val="20"/>
              </w:rPr>
              <w:t>Funds</w:t>
            </w:r>
            <w:r>
              <w:rPr>
                <w:rFonts w:ascii="Times New Roman" w:hAnsi="Times New Roman"/>
                <w:strike/>
                <w:color w:val="FF0000"/>
                <w:sz w:val="20"/>
              </w:rPr>
              <w:t>”), an externally managed</w:t>
            </w:r>
            <w:r>
              <w:rPr>
                <w:rFonts w:ascii="Times New Roman" w:hAnsi="Times New Roman"/>
                <w:b/>
                <w:i/>
                <w:color w:val="0000FF"/>
                <w:sz w:val="20"/>
                <w:u w:val="single"/>
                <w:bdr w:val="double" w:sz="2" w:space="1" w:color="000000"/>
              </w:rPr>
              <w:t>Fund</w:t>
            </w:r>
            <w:r>
              <w:rPr>
                <w:rFonts w:ascii="Times New Roman" w:hAnsi="Times New Roman"/>
                <w:color w:val="0000FF"/>
                <w:sz w:val="20"/>
                <w:u w:val="single"/>
                <w:bdr w:val="double" w:sz="2" w:space="1" w:color="000000"/>
              </w:rPr>
              <w:t>”), a corporation formed under the General Corporate Laws of the State of Maryland for the purpose of operating as an externally-managed</w:t>
            </w:r>
            <w:r>
              <w:rPr>
                <w:rFonts w:ascii="Times New Roman" w:hAnsi="Times New Roman"/>
                <w:sz w:val="20"/>
              </w:rPr>
              <w:t>, non-diversified, closed-end management investment company</w:t>
            </w:r>
            <w:r>
              <w:rPr>
                <w:rFonts w:ascii="Times New Roman" w:hAnsi="Times New Roman"/>
                <w:strike/>
                <w:color w:val="FF0000"/>
                <w:sz w:val="20"/>
              </w:rPr>
              <w:t xml:space="preserve"> registered</w:t>
            </w:r>
            <w:r>
              <w:rPr>
                <w:rFonts w:ascii="Times New Roman" w:hAnsi="Times New Roman"/>
                <w:color w:val="0000FF"/>
                <w:sz w:val="20"/>
                <w:u w:val="single"/>
                <w:bdr w:val="double" w:sz="2" w:space="1" w:color="000000"/>
              </w:rPr>
              <w:t>that has elected to be regulated as a business development company (“</w:t>
            </w:r>
            <w:r>
              <w:rPr>
                <w:rFonts w:ascii="Times New Roman" w:hAnsi="Times New Roman"/>
                <w:b/>
                <w:i/>
                <w:color w:val="0000FF"/>
                <w:sz w:val="20"/>
                <w:u w:val="single"/>
                <w:bdr w:val="double" w:sz="2" w:space="1" w:color="000000"/>
              </w:rPr>
              <w:t>BDC</w:t>
            </w:r>
            <w:r>
              <w:rPr>
                <w:rFonts w:ascii="Times New Roman" w:hAnsi="Times New Roman"/>
                <w:color w:val="0000FF"/>
                <w:sz w:val="20"/>
                <w:u w:val="single"/>
                <w:bdr w:val="double" w:sz="2" w:space="1" w:color="000000"/>
              </w:rPr>
              <w:t>”)</w:t>
            </w:r>
            <w:r>
              <w:rPr>
                <w:rFonts w:ascii="Times New Roman" w:hAnsi="Times New Roman"/>
                <w:sz w:val="20"/>
              </w:rPr>
              <w:t xml:space="preserve"> under the 1940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Certain vehicles (as identified on Schedule A hereto) (the “</w:t>
            </w:r>
            <w:r>
              <w:rPr>
                <w:rFonts w:ascii="Times New Roman" w:hAnsi="Times New Roman"/>
                <w:b/>
                <w:i/>
                <w:color w:val="0000FF"/>
                <w:sz w:val="20"/>
                <w:u w:val="single"/>
                <w:bdr w:val="double" w:sz="2" w:space="1" w:color="000000"/>
              </w:rPr>
              <w:t>Existing Wholly-Owned Subsidiaries</w:t>
            </w:r>
            <w:r>
              <w:rPr>
                <w:rFonts w:ascii="Times New Roman" w:hAnsi="Times New Roman"/>
                <w:color w:val="0000FF"/>
                <w:sz w:val="20"/>
                <w:u w:val="single"/>
                <w:bdr w:val="double" w:sz="2" w:space="1" w:color="000000"/>
              </w:rPr>
              <w:t>”), each of which is a separate and distinct legal entity and each of which is a Wholly-Owned Investment Sub (as defined below) of the Existing Regulated Fund.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7"/>
        <w:gridCol w:w="9797"/>
      </w:tblGrid>
      <w:tr>
        <w:trPr/>
        <w:tc>
          <w:tcPr>
            <w:tcW w:w="101"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strike/>
                <w:color w:val="FF0000"/>
              </w:rPr>
            </w:pPr>
            <w:r>
              <w:rPr>
                <w:strike/>
                <w:color w:val="FF0000"/>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Bluerock Fund Advisor, LLC</w:t>
            </w:r>
            <w:r>
              <w:rPr>
                <w:rFonts w:ascii="Times New Roman" w:hAnsi="Times New Roman"/>
                <w:color w:val="0000FF"/>
                <w:sz w:val="20"/>
                <w:u w:val="single"/>
                <w:bdr w:val="double" w:sz="2" w:space="1" w:color="000000"/>
              </w:rPr>
              <w:t>Fidus Investment Advisors, LLC,</w:t>
            </w:r>
            <w:r>
              <w:rPr>
                <w:rFonts w:ascii="Times New Roman" w:hAnsi="Times New Roman"/>
                <w:sz w:val="20"/>
              </w:rPr>
              <w:t xml:space="preserve"> and its successors</w:t>
            </w:r>
            <w:r>
              <w:rPr>
                <w:rFonts w:ascii="Times New Roman" w:hAnsi="Times New Roman"/>
                <w:strike/>
                <w:color w:val="FF0000"/>
                <w:sz w:val="13"/>
              </w:rPr>
              <w:t>2</w:t>
            </w:r>
            <w:r>
              <w:rPr>
                <w:rFonts w:ascii="Times New Roman" w:hAnsi="Times New Roman"/>
                <w:strike/>
                <w:color w:val="FF0000"/>
                <w:sz w:val="20"/>
              </w:rPr>
              <w:t>(“</w:t>
            </w:r>
            <w:r>
              <w:rPr>
                <w:rFonts w:ascii="Times New Roman" w:hAnsi="Times New Roman"/>
                <w:b/>
                <w:i/>
                <w:strike/>
                <w:color w:val="FF0000"/>
                <w:sz w:val="20"/>
              </w:rPr>
              <w:t>BFA</w:t>
            </w:r>
            <w:r>
              <w:rPr>
                <w:rFonts w:ascii="Times New Roman" w:hAnsi="Times New Roman"/>
                <w:strike/>
                <w:color w:val="FF0000"/>
                <w:sz w:val="20"/>
              </w:rPr>
              <w:t>”), an indirect, majority-owned subsidiary of BAM (as defined below) and the</w:t>
            </w:r>
            <w:r>
              <w:rPr>
                <w:rFonts w:ascii="Times New Roman" w:hAnsi="Times New Roman"/>
                <w:sz w:val="20"/>
              </w:rPr>
              <w:t xml:space="preserve"> </w:t>
            </w:r>
            <w:r>
              <w:rPr>
                <w:rFonts w:ascii="Times New Roman" w:hAnsi="Times New Roman"/>
                <w:color w:val="0000FF"/>
                <w:sz w:val="13"/>
                <w:u w:val="single"/>
                <w:bdr w:val="double" w:sz="2" w:space="1" w:color="000000"/>
              </w:rPr>
              <w:t>3</w:t>
            </w:r>
            <w:r>
              <w:rPr>
                <w:rFonts w:ascii="Times New Roman" w:hAnsi="Times New Roman"/>
                <w:sz w:val="20"/>
              </w:rPr>
              <w:t xml:space="preserve"> (</w:t>
            </w:r>
            <w:r>
              <w:rPr>
                <w:rFonts w:ascii="Times New Roman" w:hAnsi="Times New Roman"/>
                <w:color w:val="0000FF"/>
                <w:sz w:val="20"/>
                <w:u w:val="single"/>
                <w:bdr w:val="double" w:sz="2" w:space="1" w:color="000000"/>
              </w:rPr>
              <w:t>the “</w:t>
            </w:r>
            <w:r>
              <w:rPr>
                <w:rFonts w:ascii="Times New Roman" w:hAnsi="Times New Roman"/>
                <w:b/>
                <w:i/>
                <w:color w:val="0000FF"/>
                <w:sz w:val="20"/>
                <w:u w:val="single"/>
                <w:bdr w:val="double" w:sz="2" w:space="1" w:color="000000"/>
              </w:rPr>
              <w:t xml:space="preserve">Existing </w:t>
            </w:r>
            <w:r>
              <w:rPr>
                <w:rFonts w:ascii="Times New Roman" w:hAnsi="Times New Roman"/>
                <w:color w:val="0000FF"/>
                <w:sz w:val="20"/>
                <w:u w:val="single"/>
                <w:bdr w:val="double" w:sz="2" w:space="1" w:color="000000"/>
              </w:rPr>
              <w:t>Adviser”), an</w:t>
            </w:r>
            <w:r>
              <w:rPr>
                <w:rFonts w:ascii="Times New Roman" w:hAnsi="Times New Roman"/>
                <w:sz w:val="20"/>
              </w:rPr>
              <w:t xml:space="preserve"> investment adviser </w:t>
            </w:r>
            <w:r>
              <w:rPr>
                <w:rFonts w:ascii="Times New Roman" w:hAnsi="Times New Roman"/>
                <w:strike/>
                <w:color w:val="FF0000"/>
                <w:sz w:val="20"/>
              </w:rPr>
              <w:t>to BPRE. BFA is</w:t>
            </w:r>
            <w:r>
              <w:rPr>
                <w:rFonts w:ascii="Times New Roman" w:hAnsi="Times New Roman"/>
                <w:sz w:val="20"/>
              </w:rPr>
              <w:t xml:space="preserve"> registered with the </w:t>
            </w:r>
            <w:r>
              <w:rPr>
                <w:rFonts w:ascii="Times New Roman" w:hAnsi="Times New Roman"/>
                <w:strike/>
                <w:color w:val="FF0000"/>
                <w:sz w:val="20"/>
              </w:rPr>
              <w:t>SEC as an investment adviser</w:t>
            </w:r>
            <w:r>
              <w:rPr>
                <w:rFonts w:ascii="Times New Roman" w:hAnsi="Times New Roman"/>
                <w:color w:val="0000FF"/>
                <w:sz w:val="20"/>
                <w:u w:val="single"/>
                <w:bdr w:val="double" w:sz="2" w:space="1" w:color="000000"/>
              </w:rPr>
              <w:t>Commission</w:t>
            </w:r>
            <w:r>
              <w:rPr>
                <w:rFonts w:ascii="Times New Roman" w:hAnsi="Times New Roman"/>
                <w:sz w:val="20"/>
              </w:rPr>
              <w:t xml:space="preserve"> under the Investment Advisers Act of 1940 (the “</w:t>
            </w:r>
            <w:r>
              <w:rPr>
                <w:rFonts w:ascii="Times New Roman" w:hAnsi="Times New Roman"/>
                <w:b/>
                <w:i/>
                <w:sz w:val="20"/>
              </w:rPr>
              <w:t>Advisers Act</w:t>
            </w:r>
            <w:r>
              <w:rPr>
                <w:rFonts w:ascii="Times New Roman" w:hAnsi="Times New Roman"/>
                <w:sz w:val="20"/>
              </w:rPr>
              <w:t>”)</w:t>
            </w:r>
            <w:r>
              <w:rPr>
                <w:rFonts w:ascii="Times New Roman" w:hAnsi="Times New Roman"/>
                <w:color w:val="0000FF"/>
                <w:sz w:val="20"/>
                <w:u w:val="single"/>
                <w:bdr w:val="double" w:sz="2" w:space="1" w:color="000000"/>
              </w:rPr>
              <w:t>, which serves as the investment adviser to the Existing Regulated Fund and the Existing Affiliated Funds (defined below)</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306"/>
        <w:gridCol w:w="9799"/>
      </w:tblGrid>
      <w:tr>
        <w:trPr/>
        <w:tc>
          <w:tcPr>
            <w:tcW w:w="10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strike/>
                <w:color w:val="FF0000"/>
              </w:rPr>
            </w:pPr>
            <w:r>
              <w:rPr>
                <w:strike/>
                <w:color w:val="FF0000"/>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Bluerock Credit Fund Advisor, LLC and its successors (“</w:t>
            </w:r>
            <w:r>
              <w:rPr>
                <w:rFonts w:ascii="Times New Roman" w:hAnsi="Times New Roman"/>
                <w:b/>
                <w:i/>
                <w:strike/>
                <w:color w:val="FF0000"/>
                <w:sz w:val="20"/>
              </w:rPr>
              <w:t>CFA</w:t>
            </w:r>
            <w:r>
              <w:rPr>
                <w:rFonts w:ascii="Times New Roman" w:hAnsi="Times New Roman"/>
                <w:strike/>
                <w:color w:val="FF0000"/>
                <w:sz w:val="20"/>
              </w:rPr>
              <w:t>” and, together with the Existing Regulated Funds and BFA, the “</w:t>
            </w:r>
            <w:r>
              <w:rPr>
                <w:rFonts w:ascii="Times New Roman" w:hAnsi="Times New Roman"/>
                <w:b/>
                <w:i/>
                <w:strike/>
                <w:color w:val="FF0000"/>
                <w:sz w:val="20"/>
              </w:rPr>
              <w:t>Applicants</w:t>
            </w:r>
            <w:r>
              <w:rPr>
                <w:rFonts w:ascii="Times New Roman" w:hAnsi="Times New Roman"/>
                <w:strike/>
                <w:color w:val="FF0000"/>
                <w:sz w:val="20"/>
              </w:rPr>
              <w:t>”), an indirect, majority-owned subsidiary of BAM and the investment adviser to HI.</w:t>
            </w:r>
            <w:r>
              <w:rPr>
                <w:rFonts w:ascii="Times New Roman" w:hAnsi="Times New Roman"/>
                <w:sz w:val="20"/>
              </w:rPr>
              <w:t>3</w:t>
            </w:r>
            <w:r>
              <w:rPr>
                <w:rFonts w:ascii="Times New Roman" w:hAnsi="Times New Roman"/>
                <w:strike/>
                <w:color w:val="FF0000"/>
                <w:sz w:val="20"/>
              </w:rPr>
              <w:t>CFA is registered with the SEC as an investment adviser under the Advisers Act.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investment vehicles (as identified on Schedule B hereto), each of which is a separate and distinct legal</w:t>
            </w:r>
            <w:r>
              <w:rPr>
                <w:rFonts w:ascii="Times New Roman" w:hAnsi="Times New Roman"/>
                <w:sz w:val="20"/>
              </w:rPr>
              <w:t xml:space="preserve"> </w:t>
            </w:r>
            <w:r>
              <w:rPr>
                <w:rFonts w:ascii="Times New Roman" w:hAnsi="Times New Roman"/>
                <w:color w:val="0000FF"/>
                <w:sz w:val="20"/>
                <w:u w:val="single"/>
                <w:bdr w:val="double" w:sz="2" w:space="1" w:color="000000"/>
              </w:rPr>
              <w:t>entity and each of which would be an investment company but for Section 3(c)(7) of the 1940 Act (the “</w:t>
            </w:r>
            <w:r>
              <w:rPr>
                <w:rFonts w:ascii="Times New Roman" w:hAnsi="Times New Roman"/>
                <w:b/>
                <w:i/>
                <w:color w:val="0000FF"/>
                <w:sz w:val="20"/>
                <w:u w:val="single"/>
                <w:bdr w:val="double" w:sz="2" w:space="1" w:color="000000"/>
              </w:rPr>
              <w:t>Existing Affiliated Funds</w:t>
            </w:r>
            <w:r>
              <w:rPr>
                <w:rFonts w:ascii="Times New Roman" w:hAnsi="Times New Roman"/>
                <w:color w:val="0000FF"/>
                <w:sz w:val="20"/>
                <w:u w:val="single"/>
                <w:bdr w:val="double" w:sz="2" w:space="1" w:color="000000"/>
              </w:rPr>
              <w:t>” and collectively with the Existing Regulated Funds, the Existing Wholly-Owned</w:t>
            </w:r>
            <w:r>
              <w:rPr>
                <w:rFonts w:ascii="Times New Roman" w:hAnsi="Times New Roman"/>
                <w:sz w:val="20"/>
              </w:rPr>
              <w:t xml:space="preserve"> </w:t>
            </w:r>
            <w:r>
              <w:rPr>
                <w:rFonts w:ascii="Times New Roman" w:hAnsi="Times New Roman"/>
                <w:color w:val="0000FF"/>
                <w:sz w:val="20"/>
                <w:u w:val="single"/>
                <w:bdr w:val="double" w:sz="2" w:space="1" w:color="000000"/>
              </w:rPr>
              <w:t>Subsidiaries, and the Existing Adviser, the “</w:t>
            </w:r>
            <w:r>
              <w:rPr>
                <w:rFonts w:ascii="Times New Roman" w:hAnsi="Times New Roman"/>
                <w:b/>
                <w:i/>
                <w:color w:val="0000FF"/>
                <w:sz w:val="20"/>
                <w:u w:val="single"/>
                <w:bdr w:val="double" w:sz="2" w:space="1" w:color="000000"/>
              </w:rPr>
              <w:t>Applicants</w:t>
            </w:r>
            <w:r>
              <w:rPr>
                <w:rFonts w:ascii="Times New Roman" w:hAnsi="Times New Roman"/>
                <w:color w:val="0000FF"/>
                <w:sz w:val="20"/>
                <w:u w:val="single"/>
                <w:bdr w:val="double" w:sz="2" w:space="1" w:color="000000"/>
              </w:rPr>
              <w:t>”).4</w:t>
            </w:r>
            <w:r>
              <w:rPr>
                <w:rFonts w:ascii="Times New Roman" w:hAnsi="Times New Roman"/>
                <w:sz w:val="20"/>
              </w:rPr>
              <w:t xml:space="preserve">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indicated, all section and rule references herein are to the 1940 Act and rules promulgated thereunder.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Investment Corporation, et al. (File No. 812-15496) Release No. IC-35289 (August 2, 2024) (notice), Release No. IC-35309 (August 29, 2024) (order).</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strike/>
                <w:color w:val="FF0000"/>
                <w:sz w:val="13"/>
              </w:rPr>
            </w:pPr>
            <w:r>
              <w:rPr>
                <w:strike/>
                <w:color w:val="FF0000"/>
                <w:sz w:val="13"/>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The term “successor,” as applied to each Adviser (as defined below), means an entity that results from a reorganization into another jurisdiction or change in the type of business organization.</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color w:val="0000FF"/>
                <w:sz w:val="13"/>
                <w:u w:val="single"/>
                <w:bdr w:val="double" w:sz="2" w:space="1" w:color="000000"/>
              </w:rPr>
              <w:t>3</w:t>
            </w:r>
            <w:r>
              <w:rPr>
                <w:color w:val="0000FF"/>
                <w:u w:val="single"/>
                <w:bdr w:val="double" w:sz="2" w:space="1" w:color="000000"/>
              </w:rPr>
              <w:t xml:space="preserve">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term “</w:t>
            </w:r>
            <w:r>
              <w:rPr>
                <w:rFonts w:ascii="Times New Roman" w:hAnsi="Times New Roman"/>
                <w:b/>
                <w:i/>
                <w:color w:val="0000FF"/>
                <w:sz w:val="20"/>
                <w:u w:val="single"/>
                <w:bdr w:val="double" w:sz="2" w:space="1" w:color="000000"/>
              </w:rPr>
              <w:t>successor</w:t>
            </w:r>
            <w:r>
              <w:rPr>
                <w:rFonts w:ascii="Times New Roman" w:hAnsi="Times New Roman"/>
                <w:color w:val="0000FF"/>
                <w:sz w:val="20"/>
                <w:u w:val="single"/>
                <w:bdr w:val="double" w:sz="2" w:space="1" w:color="000000"/>
              </w:rPr>
              <w:t>” means an entity that results from a reorganization into another jurisdiction or change in the type of business organization.</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strike/>
                <w:color w:val="FF0000"/>
                <w:sz w:val="13"/>
              </w:rPr>
            </w:pPr>
            <w:r>
              <w:rPr>
                <w:strike/>
                <w:color w:val="FF0000"/>
                <w:sz w:val="13"/>
              </w:rPr>
              <w:t>3</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All existing entities that currently intend to rely upon the requested Order have been named as Applicants. Any other existing or future entity that subsequently relies on the Order will comply with the terms and conditions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relief requested in this application for the Order (the “</w:t>
      </w:r>
      <w:r>
        <w:rPr>
          <w:rFonts w:ascii="Times New Roman" w:hAnsi="Times New Roman"/>
          <w:b/>
          <w:i/>
          <w:sz w:val="20"/>
        </w:rPr>
        <w:t>Application</w:t>
      </w:r>
      <w:r>
        <w:rPr>
          <w:rFonts w:ascii="Times New Roman" w:hAnsi="Times New Roman"/>
          <w:sz w:val="20"/>
        </w:rPr>
        <w:t>”) would allow a Regulated Fund</w:t>
      </w:r>
      <w:r>
        <w:rPr>
          <w:rFonts w:ascii="Times New Roman" w:hAnsi="Times New Roman"/>
          <w:strike/>
          <w:color w:val="FF0000"/>
          <w:sz w:val="13"/>
        </w:rPr>
        <w:t>4</w:t>
      </w:r>
      <w:r>
        <w:rPr>
          <w:rFonts w:ascii="Times New Roman" w:hAnsi="Times New Roman"/>
          <w:color w:val="0000FF"/>
          <w:sz w:val="20"/>
          <w:u w:val="single"/>
          <w:bdr w:val="double" w:sz="2" w:space="1" w:color="000000"/>
        </w:rPr>
        <w:t>5</w:t>
      </w:r>
      <w:r>
        <w:rPr>
          <w:rFonts w:ascii="Times New Roman" w:hAnsi="Times New Roman"/>
          <w:sz w:val="20"/>
        </w:rPr>
        <w:t xml:space="preserve"> and one or more Affiliated Entities</w:t>
      </w:r>
      <w:r>
        <w:rPr>
          <w:rFonts w:ascii="Times New Roman" w:hAnsi="Times New Roman"/>
          <w:strike/>
          <w:color w:val="FF0000"/>
          <w:sz w:val="20"/>
        </w:rPr>
        <w:t>5</w:t>
      </w:r>
      <w:r>
        <w:rPr>
          <w:rFonts w:ascii="Times New Roman" w:hAnsi="Times New Roman"/>
          <w:color w:val="0000FF"/>
          <w:sz w:val="20"/>
          <w:u w:val="single"/>
          <w:bdr w:val="double" w:sz="2" w:space="1" w:color="000000"/>
        </w:rPr>
        <w:t>6</w:t>
      </w:r>
      <w:r>
        <w:rPr>
          <w:rFonts w:ascii="Times New Roman" w:hAnsi="Times New Roman"/>
          <w:sz w:val="20"/>
        </w:rPr>
        <w:t xml:space="preserve"> to engage in Co-Investment Transactions</w:t>
      </w:r>
      <w:r>
        <w:rPr>
          <w:rFonts w:ascii="Times New Roman" w:hAnsi="Times New Roman"/>
          <w:strike/>
          <w:color w:val="FF0000"/>
          <w:sz w:val="20"/>
        </w:rPr>
        <w:t>6</w:t>
      </w:r>
      <w:r>
        <w:rPr>
          <w:rFonts w:ascii="Times New Roman" w:hAnsi="Times New Roman"/>
          <w:color w:val="0000FF"/>
          <w:sz w:val="20"/>
          <w:u w:val="single"/>
          <w:bdr w:val="double" w:sz="2" w:space="1" w:color="000000"/>
        </w:rPr>
        <w:t>7</w:t>
      </w:r>
      <w:r>
        <w:rPr>
          <w:rFonts w:ascii="Times New Roman" w:hAnsi="Times New Roman"/>
          <w:sz w:val="20"/>
        </w:rPr>
        <w:t xml:space="preserve"> subject to the terms and conditions described herein. The Regulated Funds and Affiliated Entities that participate in a Co-Investment Transaction are collectively referred to herein as “</w:t>
      </w:r>
      <w:r>
        <w:rPr>
          <w:rFonts w:ascii="Times New Roman" w:hAnsi="Times New Roman"/>
          <w:b/>
          <w:i/>
          <w:sz w:val="20"/>
        </w:rPr>
        <w:t>Participants</w:t>
      </w:r>
      <w:r>
        <w:rPr>
          <w:rFonts w:ascii="Times New Roman" w:hAnsi="Times New Roman"/>
          <w:sz w:val="20"/>
        </w:rPr>
        <w:t>.”</w:t>
      </w:r>
      <w:r>
        <w:rPr>
          <w:rFonts w:ascii="Times New Roman" w:hAnsi="Times New Roman"/>
          <w:strike/>
          <w:color w:val="FF0000"/>
          <w:sz w:val="20"/>
        </w:rPr>
        <w:t>7</w:t>
      </w:r>
      <w:r>
        <w:rPr>
          <w:rFonts w:ascii="Times New Roman" w:hAnsi="Times New Roman"/>
          <w:color w:val="0000FF"/>
          <w:sz w:val="20"/>
          <w:u w:val="single"/>
          <w:bdr w:val="double" w:sz="2" w:space="1" w:color="000000"/>
        </w:rPr>
        <w:t xml:space="preserve"> 8</w:t>
      </w:r>
      <w:r>
        <w:rPr>
          <w:rFonts w:ascii="Times New Roman" w:hAnsi="Times New Roman"/>
          <w:sz w:val="20"/>
        </w:rPr>
        <w:t xml:space="preserve"> The Applicants do not seek relief for transactions effected consistent with Commission staff no-action positions.</w:t>
      </w:r>
      <w:r>
        <w:rPr>
          <w:rFonts w:ascii="Times New Roman" w:hAnsi="Times New Roman"/>
          <w:strike/>
          <w:color w:val="FF0000"/>
          <w:sz w:val="20"/>
        </w:rPr>
        <w:t>8</w:t>
      </w:r>
      <w:r>
        <w:rPr>
          <w:rFonts w:ascii="Times New Roman" w:hAnsi="Times New Roman"/>
          <w:color w:val="0000FF"/>
          <w:sz w:val="20"/>
          <w:u w:val="single"/>
          <w:bdr w:val="double" w:sz="2" w:space="1" w:color="000000"/>
        </w:rPr>
        <w:t xml:space="preserve"> 9</w:t>
      </w:r>
      <w:r>
        <w:rPr>
          <w:rFonts w:ascii="Times New Roman" w:hAnsi="Times New Roman"/>
          <w:color w:val="0000FF"/>
          <w:sz w:val="20"/>
        </w:rPr>
        <w:t xml:space="preserve">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strike/>
                <w:color w:val="FF0000"/>
              </w:rPr>
              <w:t>of the</w:t>
            </w:r>
            <w:r>
              <w:rPr/>
              <w:t xml:space="preserve"> </w:t>
            </w:r>
            <w:r>
              <w:rPr>
                <w:strike/>
                <w:color w:val="FF0000"/>
              </w:rPr>
              <w:t>other existing or future entity that subsequently relies on the Order will comply with the terms and conditions of the Application.</w:t>
            </w:r>
            <w:r>
              <w:rPr/>
              <w:t xml:space="preserv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color w:val="0000FF"/>
                <w:sz w:val="13"/>
              </w:rPr>
            </w:pPr>
            <w:r>
              <w:rPr>
                <w:color w:val="0000FF"/>
                <w:sz w:val="13"/>
                <w:u w:val="single"/>
                <w:bdr w:val="double" w:sz="2" w:space="1" w:color="000000"/>
              </w:rPr>
              <w:t>4</w:t>
            </w:r>
            <w:r>
              <w:rPr>
                <w:color w:val="0000FF"/>
                <w:sz w:val="13"/>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existing entities that currently intend to rely upon the requested Order have been named as Applicants. Any </w:t>
            </w:r>
            <w:r>
              <w:rPr>
                <w:rFonts w:ascii="Times New Roman" w:hAnsi="Times New Roman"/>
                <w:color w:val="0000FF"/>
                <w:sz w:val="20"/>
                <w:u w:val="single"/>
                <w:bdr w:val="double" w:sz="2" w:space="1" w:color="000000"/>
              </w:rPr>
              <w:t>other existing or future entity that subsequently relies on the Order will comply with the terms and conditions of the Application.</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strike/>
                <w:color w:val="FF0000"/>
                <w:sz w:val="13"/>
              </w:rPr>
              <w:t>4</w:t>
            </w:r>
            <w:r>
              <w:rPr>
                <w:color w:val="0000FF"/>
                <w:sz w:val="13"/>
                <w:u w:val="single"/>
                <w:bdr w:val="double" w:sz="2" w:space="1" w:color="000000"/>
              </w:rPr>
              <w:t xml:space="preserve">5 </w:t>
            </w:r>
            <w:r>
              <w:rPr>
                <w:color w:val="0000FF"/>
                <w:sz w:val="13"/>
              </w:rPr>
              <w:t> </w:t>
            </w:r>
          </w:p>
        </w:tc>
        <w:tc>
          <w:tcPr>
            <w:tcW w:w="9799" w:type="dxa"/>
            <w:tcBorders/>
          </w:tcPr>
          <w:p>
            <w:pPr>
              <w:pStyle w:val="TableContents"/>
              <w:bidi w:val="0"/>
              <w:spacing w:before="0" w:after="0"/>
              <w:jc w:val="left"/>
              <w:rPr/>
            </w:pPr>
            <w:r>
              <w:rPr/>
              <w:t>“</w:t>
            </w:r>
            <w:r>
              <w:rPr>
                <w:rFonts w:ascii="Times New Roman" w:hAnsi="Times New Roman"/>
                <w:sz w:val="20"/>
              </w:rPr>
              <w:t>Regulated Fund” means the Existing Regulated</w:t>
            </w:r>
            <w:r>
              <w:rPr>
                <w:rFonts w:ascii="Times New Roman" w:hAnsi="Times New Roman"/>
                <w:strike/>
                <w:color w:val="FF0000"/>
                <w:sz w:val="20"/>
              </w:rPr>
              <w:t xml:space="preserve"> Funds</w:t>
            </w:r>
            <w:r>
              <w:rPr>
                <w:rFonts w:ascii="Times New Roman" w:hAnsi="Times New Roman"/>
                <w:color w:val="0000FF"/>
                <w:sz w:val="20"/>
                <w:u w:val="single"/>
                <w:bdr w:val="double" w:sz="2" w:space="1" w:color="000000"/>
              </w:rPr>
              <w:t>Fund</w:t>
            </w:r>
            <w:r>
              <w:rPr>
                <w:rFonts w:ascii="Times New Roman" w:hAnsi="Times New Roman"/>
                <w:sz w:val="20"/>
              </w:rPr>
              <w:t xml:space="preserve"> and any Future Regulated Funds. “</w:t>
            </w:r>
            <w:r>
              <w:rPr>
                <w:rFonts w:ascii="Times New Roman" w:hAnsi="Times New Roman"/>
                <w:b/>
                <w:i/>
                <w:sz w:val="20"/>
              </w:rPr>
              <w:t>Future Regulated Fund</w:t>
            </w:r>
            <w:r>
              <w:rPr>
                <w:rFonts w:ascii="Times New Roman" w:hAnsi="Times New Roman"/>
                <w:sz w:val="20"/>
              </w:rPr>
              <w:t xml:space="preserve">” means an entity (or series thereof, as applicable) (a) that is an open-end or closed-end management investment company registered under the 1940 Act, or a closed-end management investment company that has elected to 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 </w:t>
            </w:r>
          </w:p>
        </w:tc>
      </w:tr>
    </w:tbl>
    <w:p>
      <w:pPr>
        <w:pStyle w:val="TextBody"/>
        <w:bidi w:val="0"/>
        <w:spacing w:before="120" w:after="0"/>
        <w:jc w:val="left"/>
        <w:rPr>
          <w:rFonts w:ascii="Times New Roman" w:hAnsi="Times New Roman"/>
          <w:sz w:val="20"/>
        </w:rPr>
      </w:pPr>
      <w:r>
        <w:rPr>
          <w:rFonts w:ascii="Times New Roman" w:hAnsi="Times New Roman"/>
          <w:sz w:val="20"/>
        </w:rPr>
        <w:t>The term Regulated Fund also includes (a) any Wholly-Owned Investment Sub (as defined below) of a Regulated Fund, (b) any Joint Venture (as defined below) of a Regulated Fund, and (c) any BDC Downstream Fund (as defined below) of a Regulated Fund that is a business development company. “</w:t>
      </w:r>
      <w:r>
        <w:rPr>
          <w:rFonts w:ascii="Times New Roman" w:hAnsi="Times New Roman"/>
          <w:b/>
          <w:i/>
          <w:sz w:val="20"/>
        </w:rPr>
        <w:t>Wholly-Owned Investment Sub</w:t>
      </w:r>
      <w:r>
        <w:rPr>
          <w:rFonts w:ascii="Times New Roman" w:hAnsi="Times New Roman"/>
          <w:sz w:val="20"/>
        </w:rPr>
        <w:t>”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w:t>
      </w:r>
      <w:r>
        <w:rPr>
          <w:rFonts w:ascii="Times New Roman" w:hAnsi="Times New Roman"/>
          <w:b/>
          <w:i/>
          <w:sz w:val="20"/>
        </w:rPr>
        <w:t>Joint Venture</w:t>
      </w:r>
      <w:r>
        <w:rPr>
          <w:rFonts w:ascii="Times New Roman" w:hAnsi="Times New Roman"/>
          <w:sz w:val="20"/>
        </w:rPr>
        <w:t>”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 w:hAnsi="Times New Roman"/>
          <w:b/>
          <w:i/>
          <w:sz w:val="20"/>
        </w:rPr>
        <w:t>BDC Downstream Fund</w:t>
      </w:r>
      <w:r>
        <w:rPr>
          <w:rFonts w:ascii="Times New Roman" w:hAnsi="Times New Roman"/>
          <w:sz w:val="20"/>
        </w:rPr>
        <w:t xml:space="preserve">”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 </w:t>
      </w:r>
    </w:p>
    <w:p>
      <w:pPr>
        <w:pStyle w:val="TextBody"/>
        <w:bidi w:val="0"/>
        <w:spacing w:before="120" w:after="0"/>
        <w:jc w:val="left"/>
        <w:rPr>
          <w:rFonts w:ascii="Times New Roman" w:hAnsi="Times New Roman"/>
          <w:sz w:val="20"/>
        </w:rPr>
      </w:pPr>
      <w:r>
        <w:rPr>
          <w:rFonts w:ascii="Times New Roman" w:hAnsi="Times New Roman"/>
          <w:sz w:val="20"/>
        </w:rPr>
        <w:t xml:space="preserve">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rPr>
              <w:t>5</w:t>
            </w:r>
            <w:r>
              <w:rPr>
                <w:color w:val="0000FF"/>
                <w:u w:val="single"/>
                <w:bdr w:val="double" w:sz="2" w:space="1" w:color="000000"/>
              </w:rPr>
              <w:t>6</w:t>
            </w:r>
          </w:p>
        </w:tc>
        <w:tc>
          <w:tcPr>
            <w:tcW w:w="9798" w:type="dxa"/>
            <w:tcBorders/>
          </w:tcPr>
          <w:p>
            <w:pPr>
              <w:pStyle w:val="TableContents"/>
              <w:bidi w:val="0"/>
              <w:spacing w:before="0" w:after="0"/>
              <w:jc w:val="left"/>
              <w:rPr/>
            </w:pPr>
            <w:r>
              <w:rPr/>
              <w:t>“</w:t>
            </w:r>
            <w:r>
              <w:rPr>
                <w:rFonts w:ascii="Times New Roman" w:hAnsi="Times New Roman"/>
                <w:b/>
                <w:i/>
              </w:rPr>
              <w:t>Affiliated Entity</w:t>
            </w:r>
            <w:r>
              <w:rPr>
                <w:rFonts w:ascii="Times New Roman" w:hAnsi="Times New Roman"/>
              </w:rPr>
              <w:t xml:space="preserve">” means an entity not controlled by a Regulated Fund that intends to engage in Co-Investment Transactions and that is (a) with respect to a Regulated Fund, another Regulated Fund; (b) an Adviser or its affiliates, and any direct or indirect, wholly- or majority-owned subsidiary of an Adviser or its affiliates, that is participating in a Co-Investment Transaction in a principal capacity; or (c) any entity that would be an investment company but for Section 3(c) of the 1940 Act or Rule 3a-7 thereunder and whose investment adviser is an Adviser. To the extent that an entity described in clause (b) is not advised by an Adviser, such entity shall be deemed to be an Adviser for purposes of the conditions.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rPr>
              <w:t>6</w:t>
            </w:r>
            <w:r>
              <w:rPr>
                <w:color w:val="0000FF"/>
                <w:u w:val="single"/>
                <w:bdr w:val="double" w:sz="2" w:space="1" w:color="000000"/>
              </w:rPr>
              <w:t>7</w:t>
            </w:r>
          </w:p>
        </w:tc>
        <w:tc>
          <w:tcPr>
            <w:tcW w:w="9798" w:type="dxa"/>
            <w:tcBorders/>
          </w:tcPr>
          <w:p>
            <w:pPr>
              <w:pStyle w:val="TableContents"/>
              <w:bidi w:val="0"/>
              <w:spacing w:before="0" w:after="0"/>
              <w:jc w:val="left"/>
              <w:rPr/>
            </w:pPr>
            <w:r>
              <w:rPr/>
              <w:t>“</w:t>
            </w:r>
            <w:r>
              <w:rPr>
                <w:rFonts w:ascii="Times New Roman" w:hAnsi="Times New Roman"/>
                <w:b/>
                <w:i/>
              </w:rPr>
              <w:t>Co-Investment Transaction</w:t>
            </w:r>
            <w:r>
              <w:rPr>
                <w:rFonts w:ascii="Times New Roman" w:hAnsi="Times New Roman"/>
              </w:rPr>
              <w:t xml:space="preserve">” means the acquisition or Disposition of securities of an issuer in a transaction effected in reliance on the Order or previously granted relief.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color w:val="0000FF"/>
                <w:u w:val="single"/>
                <w:bdr w:val="double" w:sz="2" w:space="1" w:color="000000"/>
              </w:rPr>
            </w:pPr>
            <w:r>
              <w:rPr>
                <w:b/>
                <w:color w:val="0000FF"/>
                <w:u w:val="single"/>
                <w:bdr w:val="double" w:sz="2" w:space="1" w:color="000000"/>
              </w:rPr>
              <w:t>II.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trike/>
                <w:color w:val="FF0000"/>
                <w:sz w:val="20"/>
              </w:rPr>
              <w:t>II.</w:t>
            </w:r>
            <w:r>
              <w:rPr>
                <w:rFonts w:ascii="Times New Roman" w:hAnsi="Times New Roman"/>
                <w:b/>
                <w:sz w:val="20"/>
              </w:rPr>
              <w:t xml:space="preserve"> </w:t>
            </w:r>
            <w:r>
              <w:rPr>
                <w:rFonts w:ascii="Times New Roman" w:hAnsi="Times New Roman"/>
                <w:b/>
                <w:sz w:val="20"/>
                <w:u w:val="single"/>
              </w:rPr>
              <w:t>GENERAL DESCRIPTION OF THE APPLICANTS</w:t>
            </w:r>
            <w:r>
              <w:rPr>
                <w:rFonts w:ascii="Times New Roman" w:hAnsi="Times New Roman"/>
                <w:b/>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color w:val="0000FF"/>
                <w:u w:val="single"/>
                <w:bdr w:val="double" w:sz="2" w:space="1" w:color="000000"/>
              </w:rPr>
            </w:pPr>
            <w:r>
              <w:rPr>
                <w:b/>
                <w:color w:val="0000FF"/>
                <w:u w:val="single"/>
                <w:bdr w:val="double" w:sz="2" w:space="1" w:color="000000"/>
              </w:rPr>
              <w:t>A.</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color w:val="0000FF"/>
                <w:sz w:val="20"/>
                <w:u w:val="single"/>
                <w:bdr w:val="double" w:sz="2" w:space="1" w:color="000000"/>
              </w:rPr>
              <w:t>The Existing Regulated Fund</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The Existing Regulated Fund was organized under the General Corporate Laws of the state of Maryland on February 14, 2011, for the purpose of operating as an externally-managed, non-diversified, closed-end management investment company that has elected to be regulated as a business development company under the 1940 Act. The Existing Regulated Fund completed its initial public offering on June 24, 2011, and its common stock is traded on the NASDAQ Global Market under the symbol “FDUS.” The Existing Regulated Fund has elected and intends to qualify annually to be treated as a regulated investment company under Sub-Chapter M of the Internal Revenue Code of 1986, as amended. The Existing Regulated Fund’s principal place of business is 1603 Orrington Avenue, Suite 1005, Evanston, Illinois 60201.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Bluerock Asset Management, LLC (“BAM”), a Delaware limited liability company formed in 2022, and/or one or more of its affiliates (collectively with BAM, “Bluerock Control Entities”) have controlling interests in each of the Advisers, and thus may be deemed to indirectly control the Regulated Funds. However, the Bluerock Control Entities are holding companies; they do not currently offer investment advisory services to any person, are not expected to do so in the future, and will not be the source of any Co-Investment Transactions under the requested Order. Accordingly, none of the Bluerock Control Entities have been included as Applicants.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strike/>
                <w:color w:val="FF0000"/>
              </w:rPr>
            </w:pPr>
            <w:r>
              <w:rPr>
                <w:b/>
                <w:strike/>
                <w:color w:val="FF0000"/>
              </w:rPr>
              <w:t>A.</w:t>
            </w:r>
          </w:p>
        </w:tc>
        <w:tc>
          <w:tcPr>
            <w:tcW w:w="9798" w:type="dxa"/>
            <w:tcBorders/>
          </w:tcPr>
          <w:p>
            <w:pPr>
              <w:pStyle w:val="TableContents"/>
              <w:bidi w:val="0"/>
              <w:spacing w:before="0" w:after="0"/>
              <w:jc w:val="left"/>
              <w:rPr>
                <w:rFonts w:ascii="Times New Roman" w:hAnsi="Times New Roman"/>
                <w:color w:val="FF0000"/>
                <w:sz w:val="20"/>
              </w:rPr>
            </w:pPr>
            <w:r>
              <w:rPr>
                <w:rFonts w:ascii="Times New Roman" w:hAnsi="Times New Roman"/>
                <w:strike/>
                <w:color w:val="FF0000"/>
                <w:sz w:val="20"/>
              </w:rPr>
              <w:t>BPRE</w:t>
            </w:r>
            <w:r>
              <w:rPr>
                <w:rFonts w:ascii="Times New Roman" w:hAnsi="Times New Roman"/>
                <w:color w:val="FF0000"/>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trike/>
          <w:color w:val="FF0000"/>
          <w:sz w:val="20"/>
        </w:rPr>
        <w:t>BPRE (formerly, Bluerock Total Income+ Real Estate Fund) is a Delaware statutory trust formed on May 25, 2012. BPRE is registered under the 1940 Act as a closed-end management investment company. BPRE commenced operations on October 22, 2012. BPRE’s common shares commenced trading on the New York Stock Exchange on December 16, 2025. BPRE is currently treated as a regulated investment company under Sub-Chapter M of the Internal Revenue Code of 1986, as amended (the “</w:t>
      </w:r>
      <w:r>
        <w:rPr>
          <w:rFonts w:ascii="Times New Roman" w:hAnsi="Times New Roman"/>
          <w:b/>
          <w:i/>
          <w:strike/>
          <w:color w:val="FF0000"/>
          <w:sz w:val="20"/>
        </w:rPr>
        <w:t>Code</w:t>
      </w:r>
      <w:r>
        <w:rPr>
          <w:rFonts w:ascii="Times New Roman" w:hAnsi="Times New Roman"/>
          <w:strike/>
          <w:color w:val="FF0000"/>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BPRE’s primary</w:t>
      </w:r>
      <w:r>
        <w:rPr>
          <w:rFonts w:ascii="Times New Roman" w:hAnsi="Times New Roman"/>
          <w:color w:val="0000FF"/>
          <w:sz w:val="20"/>
          <w:u w:val="single"/>
          <w:bdr w:val="double" w:sz="2" w:space="1" w:color="000000"/>
        </w:rPr>
        <w:t>The Existing Regulated Fund’s</w:t>
      </w:r>
      <w:r>
        <w:rPr>
          <w:rFonts w:ascii="Times New Roman" w:hAnsi="Times New Roman"/>
          <w:sz w:val="20"/>
        </w:rPr>
        <w:t xml:space="preserve"> investment objective is to </w:t>
      </w:r>
      <w:r>
        <w:rPr>
          <w:rFonts w:ascii="Times New Roman" w:hAnsi="Times New Roman"/>
          <w:strike/>
          <w:color w:val="FF0000"/>
          <w:sz w:val="20"/>
        </w:rPr>
        <w:t>generate</w:t>
      </w:r>
      <w:r>
        <w:rPr>
          <w:rFonts w:ascii="Times New Roman" w:hAnsi="Times New Roman"/>
          <w:color w:val="0000FF"/>
          <w:sz w:val="20"/>
          <w:u w:val="single"/>
          <w:bdr w:val="double" w:sz="2" w:space="1" w:color="000000"/>
        </w:rPr>
        <w:t>provide attractive risk-adjusted returns by generating both</w:t>
      </w:r>
      <w:r>
        <w:rPr>
          <w:rFonts w:ascii="Times New Roman" w:hAnsi="Times New Roman"/>
          <w:sz w:val="20"/>
        </w:rPr>
        <w:t xml:space="preserve"> current income </w:t>
      </w:r>
      <w:r>
        <w:rPr>
          <w:rFonts w:ascii="Times New Roman" w:hAnsi="Times New Roman"/>
          <w:strike/>
          <w:color w:val="FF0000"/>
          <w:sz w:val="20"/>
        </w:rPr>
        <w:t>while secondarily seeking long-term</w:t>
      </w:r>
      <w:r>
        <w:rPr>
          <w:rFonts w:ascii="Times New Roman" w:hAnsi="Times New Roman"/>
          <w:color w:val="0000FF"/>
          <w:sz w:val="20"/>
          <w:u w:val="single"/>
          <w:bdr w:val="double" w:sz="2" w:space="1" w:color="000000"/>
        </w:rPr>
        <w:t>from its debt investments and</w:t>
      </w:r>
      <w:r>
        <w:rPr>
          <w:rFonts w:ascii="Times New Roman" w:hAnsi="Times New Roman"/>
          <w:sz w:val="20"/>
        </w:rPr>
        <w:t xml:space="preserve"> capital appreciation </w:t>
      </w:r>
      <w:r>
        <w:rPr>
          <w:rFonts w:ascii="Times New Roman" w:hAnsi="Times New Roman"/>
          <w:strike/>
          <w:color w:val="FF0000"/>
          <w:sz w:val="20"/>
        </w:rPr>
        <w:t>with low to moderate volatility and low correlation to the broader markets.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from its equity related investments. The Existing Regulated Fund may invest in the equity securities of our</w:t>
      </w:r>
      <w:r>
        <w:rPr>
          <w:rFonts w:ascii="Times New Roman" w:hAnsi="Times New Roman"/>
          <w:sz w:val="20"/>
        </w:rPr>
        <w:t xml:space="preserve"> portfolio companies, such as preferred stock, common stock, warrants and other equity interests, either directly or in </w:t>
      </w:r>
      <w:r>
        <w:rPr>
          <w:rFonts w:ascii="Times New Roman" w:hAnsi="Times New Roman"/>
          <w:color w:val="0000FF"/>
          <w:sz w:val="20"/>
          <w:u w:val="single"/>
          <w:bdr w:val="double" w:sz="2" w:space="1" w:color="000000"/>
        </w:rPr>
        <w:t xml:space="preserve">conjunction with its debt investments. The Existing Regulated Fund </w:t>
      </w:r>
      <w:r>
        <w:rPr>
          <w:rFonts w:ascii="Times New Roman" w:hAnsi="Times New Roman"/>
          <w:strike/>
          <w:color w:val="FF0000"/>
          <w:sz w:val="20"/>
        </w:rPr>
        <w:t>BPRE has a six-member board of</w:t>
      </w:r>
      <w:r>
        <w:rPr>
          <w:rFonts w:ascii="Times New Roman" w:hAnsi="Times New Roman"/>
          <w:sz w:val="20"/>
        </w:rPr>
        <w:t xml:space="preserve"> </w:t>
      </w:r>
      <w:r>
        <w:rPr>
          <w:rFonts w:ascii="Times New Roman" w:hAnsi="Times New Roman"/>
          <w:strike/>
          <w:color w:val="FF0000"/>
          <w:sz w:val="20"/>
        </w:rPr>
        <w:t>trustees (the “</w:t>
      </w:r>
      <w:r>
        <w:rPr>
          <w:rFonts w:ascii="Times New Roman" w:hAnsi="Times New Roman"/>
          <w:b/>
          <w:i/>
          <w:strike/>
          <w:color w:val="FF0000"/>
          <w:sz w:val="20"/>
        </w:rPr>
        <w:t>BPRE Board</w:t>
      </w:r>
      <w:r>
        <w:rPr>
          <w:rFonts w:ascii="Times New Roman" w:hAnsi="Times New Roman"/>
          <w:strike/>
          <w:color w:val="FF0000"/>
          <w:sz w:val="20"/>
        </w:rPr>
        <w:t>”), of which four members are not “interested” persons of BPRE within the meaning of Section 2(a)(19) of the 1940 Act.9</w:t>
      </w:r>
      <w:r>
        <w:rPr>
          <w:rFonts w:ascii="Times New Roman" w:hAnsi="Times New Roman"/>
          <w:sz w:val="20"/>
        </w:rPr>
        <w:t xml:space="preserv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sz w:val="13"/>
              </w:rPr>
              <w:t>7</w:t>
            </w:r>
            <w:r>
              <w:rPr>
                <w:color w:val="0000FF"/>
                <w:u w:val="single"/>
                <w:bdr w:val="double" w:sz="2" w:space="1" w:color="000000"/>
              </w:rPr>
              <w:t>8</w:t>
            </w:r>
          </w:p>
        </w:tc>
        <w:tc>
          <w:tcPr>
            <w:tcW w:w="9798" w:type="dxa"/>
            <w:tcBorders/>
          </w:tcPr>
          <w:p>
            <w:pPr>
              <w:pStyle w:val="TableContents"/>
              <w:bidi w:val="0"/>
              <w:spacing w:before="0" w:after="0"/>
              <w:jc w:val="left"/>
              <w:rPr/>
            </w:pPr>
            <w:r>
              <w:rPr/>
              <w:t>“</w:t>
            </w:r>
            <w:r>
              <w:rPr>
                <w:rFonts w:ascii="Times New Roman" w:hAnsi="Times New Roman"/>
                <w:b/>
                <w:i/>
                <w:sz w:val="20"/>
              </w:rPr>
              <w:t>Adviser</w:t>
            </w:r>
            <w:r>
              <w:rPr>
                <w:rFonts w:ascii="Times New Roman" w:hAnsi="Times New Roman"/>
                <w:sz w:val="20"/>
              </w:rPr>
              <w:t>” means</w:t>
            </w:r>
            <w:r>
              <w:rPr>
                <w:rFonts w:ascii="Times New Roman" w:hAnsi="Times New Roman"/>
                <w:strike/>
                <w:color w:val="FF0000"/>
                <w:sz w:val="20"/>
              </w:rPr>
              <w:t xml:space="preserve"> BFA, CFA</w:t>
            </w:r>
            <w:r>
              <w:rPr>
                <w:rFonts w:ascii="Times New Roman" w:hAnsi="Times New Roman"/>
                <w:color w:val="0000FF"/>
                <w:sz w:val="20"/>
                <w:u w:val="single"/>
                <w:bdr w:val="double" w:sz="2" w:space="1" w:color="000000"/>
              </w:rPr>
              <w:t>the Existing Adviser</w:t>
            </w:r>
            <w:r>
              <w:rPr>
                <w:rFonts w:ascii="Times New Roman" w:hAnsi="Times New Roman"/>
                <w:sz w:val="20"/>
              </w:rPr>
              <w:t>, and any other investment adviser</w:t>
            </w:r>
            <w:r>
              <w:rPr>
                <w:rFonts w:ascii="Times New Roman" w:hAnsi="Times New Roman"/>
                <w:strike/>
                <w:color w:val="FF0000"/>
                <w:sz w:val="20"/>
              </w:rPr>
              <w:t>,</w:t>
            </w:r>
            <w:r>
              <w:rPr>
                <w:rFonts w:ascii="Times New Roman" w:hAnsi="Times New Roman"/>
                <w:sz w:val="20"/>
              </w:rPr>
              <w:t xml:space="preserve"> controlling, controlled by, or under common control with </w:t>
            </w:r>
            <w:r>
              <w:rPr>
                <w:rFonts w:ascii="Times New Roman" w:hAnsi="Times New Roman"/>
                <w:strike/>
                <w:color w:val="FF0000"/>
                <w:sz w:val="20"/>
              </w:rPr>
              <w:t>BFA and/or CFA</w:t>
            </w:r>
            <w:r>
              <w:rPr>
                <w:rFonts w:ascii="Times New Roman" w:hAnsi="Times New Roman"/>
                <w:color w:val="0000FF"/>
                <w:sz w:val="20"/>
                <w:u w:val="single"/>
                <w:bdr w:val="double" w:sz="2" w:space="1" w:color="000000"/>
              </w:rPr>
              <w:t>the Existing Adviser</w:t>
            </w:r>
            <w:r>
              <w:rPr>
                <w:rFonts w:ascii="Times New Roman" w:hAnsi="Times New Roman"/>
                <w:sz w:val="20"/>
              </w:rPr>
              <w:t xml:space="preserve">. The term “Adviser” also includes any internally-managed Regulated Fund.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rPr>
              <w:t>8</w:t>
            </w:r>
            <w:r>
              <w:rPr>
                <w:color w:val="0000FF"/>
                <w:u w:val="single"/>
                <w:bdr w:val="double" w:sz="2" w:space="1" w:color="000000"/>
              </w:rPr>
              <w:t>9</w:t>
            </w:r>
          </w:p>
        </w:tc>
        <w:tc>
          <w:tcPr>
            <w:tcW w:w="9798" w:type="dxa"/>
            <w:tcBorders/>
          </w:tcPr>
          <w:p>
            <w:pPr>
              <w:pStyle w:val="TableContents"/>
              <w:bidi w:val="0"/>
              <w:spacing w:before="0" w:after="0"/>
              <w:jc w:val="left"/>
              <w:rPr>
                <w:rFonts w:ascii="Times New Roman" w:hAnsi="Times New Roman"/>
              </w:rPr>
            </w:pPr>
            <w:r>
              <w:rPr>
                <w:rFonts w:ascii="Times New Roman" w:hAnsi="Times New Roman"/>
              </w:rPr>
              <w:t xml:space="preserve">See, e.g., Massachusetts Mutual Life Insurance Co. (pub. avail. June 7, 2000), Massachusetts Mutual Life Insurance Co. (pub. avail. July 28, 2000) and SMC Capital, Inc. (pub. avail. Sept. 5, 1995).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strike/>
                <w:color w:val="FF0000"/>
              </w:rPr>
            </w:pPr>
            <w:r>
              <w:rPr>
                <w:strike/>
                <w:color w:val="FF0000"/>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HI</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trike/>
          <w:color w:val="FF0000"/>
          <w:sz w:val="20"/>
        </w:rPr>
        <w:t>HI is a Delaware statutory trust formed on August 19, 2021. HI is registered under the 1940 Act as a closed-end management investment company that operates as an interval fund pursuant to Rule 23c-3 under the 1940 Act. HI commenced operations on June 21, 2022. HI is currently treated as a regulated investment company under Sub-Chapter M of the Code.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HI’s primary investment objective is to generate high current income, while secondarily seeking attractive, long-term risk-adjusted returns, with low correlation to the broader markets.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trike/>
          <w:color w:val="FF0000"/>
          <w:sz w:val="20"/>
        </w:rPr>
        <w:t>HI</w:t>
      </w:r>
      <w:r>
        <w:rPr>
          <w:rFonts w:ascii="Times New Roman" w:hAnsi="Times New Roman"/>
          <w:sz w:val="20"/>
        </w:rPr>
        <w:t xml:space="preserve"> has a</w:t>
      </w:r>
      <w:r>
        <w:rPr>
          <w:rFonts w:ascii="Times New Roman" w:hAnsi="Times New Roman"/>
          <w:strike/>
          <w:color w:val="FF0000"/>
          <w:sz w:val="20"/>
        </w:rPr>
        <w:t xml:space="preserve"> six-member</w:t>
      </w:r>
      <w:r>
        <w:rPr>
          <w:rFonts w:ascii="Times New Roman" w:hAnsi="Times New Roman"/>
          <w:color w:val="0000FF"/>
          <w:sz w:val="20"/>
          <w:u w:val="single"/>
          <w:bdr w:val="double" w:sz="2" w:space="1" w:color="000000"/>
        </w:rPr>
        <w:t>five-member</w:t>
      </w:r>
      <w:r>
        <w:rPr>
          <w:rFonts w:ascii="Times New Roman" w:hAnsi="Times New Roman"/>
          <w:sz w:val="20"/>
        </w:rPr>
        <w:t xml:space="preserve"> board</w:t>
      </w:r>
      <w:r>
        <w:rPr>
          <w:rFonts w:ascii="Times New Roman" w:hAnsi="Times New Roman"/>
          <w:strike/>
          <w:color w:val="FF0000"/>
          <w:sz w:val="20"/>
        </w:rPr>
        <w:t xml:space="preserve"> of trustees</w:t>
      </w:r>
      <w:r>
        <w:rPr>
          <w:rFonts w:ascii="Times New Roman" w:hAnsi="Times New Roman"/>
          <w:sz w:val="20"/>
        </w:rPr>
        <w:t xml:space="preserve"> (the “</w:t>
      </w:r>
      <w:r>
        <w:rPr>
          <w:rFonts w:ascii="Times New Roman" w:hAnsi="Times New Roman"/>
          <w:b/>
          <w:i/>
          <w:strike/>
          <w:color w:val="FF0000"/>
          <w:sz w:val="20"/>
        </w:rPr>
        <w:t>HI</w:t>
      </w:r>
      <w:r>
        <w:rPr>
          <w:rFonts w:ascii="Times New Roman" w:hAnsi="Times New Roman"/>
          <w:b/>
          <w:i/>
          <w:color w:val="0000FF"/>
          <w:sz w:val="20"/>
          <w:u w:val="single"/>
          <w:bdr w:val="double" w:sz="2" w:space="1" w:color="000000"/>
        </w:rPr>
        <w:t>Existing Regulated Fund</w:t>
      </w:r>
      <w:r>
        <w:rPr>
          <w:rFonts w:ascii="Times New Roman" w:hAnsi="Times New Roman"/>
          <w:b/>
          <w:i/>
          <w:sz w:val="20"/>
        </w:rPr>
        <w:t xml:space="preserve"> Board</w:t>
      </w:r>
      <w:r>
        <w:rPr>
          <w:rFonts w:ascii="Times New Roman" w:hAnsi="Times New Roman"/>
          <w:b/>
          <w:i/>
          <w:strike/>
          <w:color w:val="FF0000"/>
          <w:sz w:val="20"/>
        </w:rPr>
        <w:t>’’</w:t>
      </w:r>
      <w:r>
        <w:rPr>
          <w:rFonts w:ascii="Times New Roman" w:hAnsi="Times New Roman"/>
          <w:color w:val="0000FF"/>
          <w:sz w:val="20"/>
          <w:u w:val="single"/>
          <w:bdr w:val="double" w:sz="2" w:space="1" w:color="000000"/>
        </w:rPr>
        <w:t xml:space="preserve">,” </w:t>
      </w:r>
      <w:r>
        <w:rPr>
          <w:rFonts w:ascii="Times New Roman" w:hAnsi="Times New Roman"/>
          <w:sz w:val="20"/>
        </w:rPr>
        <w:t xml:space="preserve">and, together with </w:t>
      </w:r>
      <w:r>
        <w:rPr>
          <w:rFonts w:ascii="Times New Roman" w:hAnsi="Times New Roman"/>
          <w:strike/>
          <w:color w:val="FF0000"/>
          <w:sz w:val="20"/>
        </w:rPr>
        <w:t>the BPRE Board, and</w:t>
      </w:r>
      <w:r>
        <w:rPr>
          <w:rFonts w:ascii="Times New Roman" w:hAnsi="Times New Roman"/>
          <w:sz w:val="20"/>
        </w:rPr>
        <w:t xml:space="preserve"> any Future Regulated Fund’s board of directors, the “</w:t>
      </w:r>
      <w:r>
        <w:rPr>
          <w:rFonts w:ascii="Times New Roman" w:hAnsi="Times New Roman"/>
          <w:b/>
          <w:i/>
          <w:sz w:val="20"/>
        </w:rPr>
        <w:t>Board</w:t>
      </w:r>
      <w:r>
        <w:rPr>
          <w:rFonts w:ascii="Times New Roman" w:hAnsi="Times New Roman"/>
          <w:sz w:val="20"/>
        </w:rPr>
        <w:t xml:space="preserve">”), of which </w:t>
      </w:r>
      <w:r>
        <w:rPr>
          <w:rFonts w:ascii="Times New Roman" w:hAnsi="Times New Roman"/>
          <w:strike/>
          <w:color w:val="FF0000"/>
          <w:sz w:val="20"/>
        </w:rPr>
        <w:t>four</w:t>
      </w:r>
      <w:r>
        <w:rPr>
          <w:rFonts w:ascii="Times New Roman" w:hAnsi="Times New Roman"/>
          <w:color w:val="0000FF"/>
          <w:sz w:val="20"/>
          <w:u w:val="single"/>
          <w:bdr w:val="double" w:sz="2" w:space="1" w:color="000000"/>
        </w:rPr>
        <w:t>three</w:t>
      </w:r>
      <w:r>
        <w:rPr>
          <w:rFonts w:ascii="Times New Roman" w:hAnsi="Times New Roman"/>
          <w:sz w:val="20"/>
        </w:rPr>
        <w:t xml:space="preserve"> members are not “interested” persons of </w:t>
      </w:r>
      <w:r>
        <w:rPr>
          <w:rFonts w:ascii="Times New Roman" w:hAnsi="Times New Roman"/>
          <w:strike/>
          <w:color w:val="FF0000"/>
          <w:sz w:val="20"/>
        </w:rPr>
        <w:t>HI</w:t>
      </w:r>
      <w:r>
        <w:rPr>
          <w:rFonts w:ascii="Times New Roman" w:hAnsi="Times New Roman"/>
          <w:color w:val="0000FF"/>
          <w:sz w:val="20"/>
          <w:u w:val="single"/>
          <w:bdr w:val="double" w:sz="2" w:space="1" w:color="000000"/>
        </w:rPr>
        <w:t>the Existing Fund</w:t>
      </w:r>
      <w:r>
        <w:rPr>
          <w:rFonts w:ascii="Times New Roman" w:hAnsi="Times New Roman"/>
          <w:sz w:val="20"/>
        </w:rPr>
        <w:t xml:space="preserve"> within the meaning of Section 2(a)(19) of the 1940 Act.</w:t>
      </w:r>
      <w:r>
        <w:rPr>
          <w:rFonts w:ascii="Times New Roman" w:hAnsi="Times New Roman"/>
          <w:color w:val="0000FF"/>
          <w:sz w:val="20"/>
          <w:u w:val="single"/>
          <w:bdr w:val="double" w:sz="2" w:space="1" w:color="000000"/>
        </w:rPr>
        <w:t>10</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strike/>
                <w:color w:val="FF0000"/>
              </w:rPr>
            </w:pPr>
            <w:r>
              <w:rPr>
                <w:b/>
                <w:strike/>
                <w:color w:val="FF0000"/>
              </w:rPr>
              <w:t>C.</w:t>
            </w:r>
          </w:p>
        </w:tc>
        <w:tc>
          <w:tcPr>
            <w:tcW w:w="9797" w:type="dxa"/>
            <w:tcBorders/>
          </w:tcPr>
          <w:p>
            <w:pPr>
              <w:pStyle w:val="TableContents"/>
              <w:bidi w:val="0"/>
              <w:spacing w:before="0" w:after="0"/>
              <w:jc w:val="left"/>
              <w:rPr>
                <w:rFonts w:ascii="Times New Roman" w:hAnsi="Times New Roman"/>
                <w:color w:val="FF0000"/>
                <w:sz w:val="20"/>
              </w:rPr>
            </w:pPr>
            <w:r>
              <w:rPr>
                <w:rFonts w:ascii="Times New Roman" w:hAnsi="Times New Roman"/>
                <w:strike/>
                <w:color w:val="FF0000"/>
                <w:sz w:val="20"/>
              </w:rPr>
              <w:t>BFA and CFA</w:t>
            </w:r>
            <w:r>
              <w:rPr>
                <w:rFonts w:ascii="Times New Roman" w:hAnsi="Times New Roman"/>
                <w:color w:val="FF0000"/>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trike/>
          <w:color w:val="FF0000"/>
          <w:sz w:val="20"/>
        </w:rPr>
        <w:t>BFA is a Delaware limited liability company formed on May 11, 2012. BFA is registered with the SEC as an investment adviser under the Advisers Act. BFA is an indirect, majority-owned subsidiary of BAM and serves as investment adviser to BPRE.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Existing Wholly-Owned Subsidiaries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Each of the Existing Wholly-Owned Subsidiaries is a direct or indirect wholly-owned subsidiary of the Existing Regulated Fund whose sole business purpose is to hold one or more investments on behalf of the Existing Regulated Fund. Each of the Existing Wholly-Owned Subsidiaries is a separate and distinct legal entity. The Existing Wholly-Owned Subsidiaries have investment objectives and strategies that are substantially the same as, or a subset of, those of the Existing Regulated Fund. The Existing Wholly-Owned Subsidiaries are not registered investment companies or business development companies.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Existing Affiliated Funds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The Existing Affiliated Funds are investment funds, each of whose investment adviser is an Adviser and each of which would be an investment company but for Section 3(c)(7) of the 1940 Act.11 A list of the Existing Affiliated Funds and their respective investment advisers is included on Schedule B hereto.</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color w:val="0000FF"/>
          <w:sz w:val="20"/>
          <w:u w:val="single"/>
          <w:bdr w:val="double" w:sz="2" w:space="1" w:color="000000"/>
        </w:rPr>
        <w:t>D. Existing Adviser</w:t>
      </w:r>
      <w:r>
        <w:rPr>
          <w:rFonts w:ascii="Times New Roman" w:hAnsi="Times New Roman"/>
          <w:sz w:val="20"/>
        </w:rPr>
        <w:t xml:space="preserve"> </w:t>
      </w:r>
    </w:p>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The Existing Adviser was organized as a limited liability company under the laws of the state of Delaware, and is privately held.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strike/>
                <w:color w:val="FF0000"/>
                <w:sz w:val="13"/>
              </w:rPr>
            </w:pPr>
            <w:r>
              <w:rPr>
                <w:strike/>
                <w:color w:val="FF0000"/>
                <w:sz w:val="13"/>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The Board of each Future Regulated Fund will consist of a majority of members who are not “interested persons” of such Future Regulated Fund within the meaning of Section 2(a)(19) of the 1940 Act.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color w:val="0000FF"/>
                <w:sz w:val="13"/>
                <w:u w:val="single"/>
                <w:bdr w:val="double" w:sz="2" w:space="1" w:color="000000"/>
              </w:rPr>
              <w:t>10</w:t>
            </w:r>
            <w:r>
              <w:rPr>
                <w:color w:val="0000FF"/>
                <w:u w:val="single"/>
                <w:bdr w:val="double" w:sz="2" w:space="1" w:color="000000"/>
              </w:rPr>
              <w:t xml:space="preserve">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Board of each Future Regulated Fund will consist of a majority of members who are not “interested persons” of such Future Regulated Fund within the meaning of Section 2(a)(19) of the 1940 Act.</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color w:val="0000FF"/>
                <w:sz w:val="13"/>
                <w:u w:val="single"/>
                <w:bdr w:val="double" w:sz="2" w:space="1" w:color="000000"/>
              </w:rPr>
              <w:t>11</w:t>
            </w: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In the future, an Existing Affiliated Fund may register as an investment company under the 1940 Act and, if so</w:t>
            </w:r>
            <w:r>
              <w:rPr>
                <w:rFonts w:ascii="Times New Roman" w:hAnsi="Times New Roman"/>
                <w:sz w:val="20"/>
              </w:rPr>
              <w:t xml:space="preserve"> </w:t>
            </w:r>
            <w:r>
              <w:rPr>
                <w:rFonts w:ascii="Times New Roman" w:hAnsi="Times New Roman"/>
                <w:color w:val="0000FF"/>
                <w:sz w:val="20"/>
                <w:u w:val="single"/>
                <w:bdr w:val="double" w:sz="2" w:space="1" w:color="000000"/>
              </w:rPr>
              <w:t>registered, will be considered a Regulated Fund for purposes of this application.</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FF0000"/>
          <w:sz w:val="20"/>
        </w:rPr>
        <w:t>CFA is a Delaware limited liability company formed on November 29, 2017. CFA</w:t>
      </w:r>
      <w:r>
        <w:rPr>
          <w:rFonts w:ascii="Times New Roman" w:hAnsi="Times New Roman"/>
          <w:color w:val="0000FF"/>
          <w:sz w:val="20"/>
          <w:u w:val="single"/>
          <w:bdr w:val="double" w:sz="2" w:space="1" w:color="000000"/>
        </w:rPr>
        <w:t>The Existing Adviser</w:t>
      </w:r>
      <w:r>
        <w:rPr>
          <w:rFonts w:ascii="Times New Roman" w:hAnsi="Times New Roman"/>
          <w:sz w:val="20"/>
        </w:rPr>
        <w:t xml:space="preserve"> is registered with the </w:t>
      </w:r>
      <w:r>
        <w:rPr>
          <w:rFonts w:ascii="Times New Roman" w:hAnsi="Times New Roman"/>
          <w:strike/>
          <w:color w:val="FF0000"/>
          <w:sz w:val="20"/>
        </w:rPr>
        <w:t>SEC</w:t>
      </w:r>
      <w:r>
        <w:rPr>
          <w:rFonts w:ascii="Times New Roman" w:hAnsi="Times New Roman"/>
          <w:color w:val="0000FF"/>
          <w:sz w:val="20"/>
          <w:u w:val="single"/>
          <w:bdr w:val="double" w:sz="2" w:space="1" w:color="000000"/>
        </w:rPr>
        <w:t>Commission</w:t>
      </w:r>
      <w:r>
        <w:rPr>
          <w:rFonts w:ascii="Times New Roman" w:hAnsi="Times New Roman"/>
          <w:color w:val="0000FF"/>
          <w:sz w:val="20"/>
        </w:rPr>
        <w:t xml:space="preserve"> </w:t>
      </w:r>
      <w:r>
        <w:rPr>
          <w:rFonts w:ascii="Times New Roman" w:hAnsi="Times New Roman"/>
          <w:sz w:val="20"/>
        </w:rPr>
        <w:t>as an investment adviser under the Advisers Act.</w:t>
      </w:r>
      <w:r>
        <w:rPr>
          <w:rFonts w:ascii="Times New Roman" w:hAnsi="Times New Roman"/>
          <w:strike/>
          <w:color w:val="FF0000"/>
          <w:sz w:val="20"/>
        </w:rPr>
        <w:t xml:space="preserve"> CFA is an indirect, majority-owned subsidiary of BAM</w:t>
      </w:r>
      <w:r>
        <w:rPr>
          <w:rFonts w:ascii="Times New Roman" w:hAnsi="Times New Roman"/>
          <w:color w:val="0000FF"/>
          <w:sz w:val="20"/>
          <w:u w:val="single"/>
          <w:bdr w:val="double" w:sz="2" w:space="1" w:color="000000"/>
        </w:rPr>
        <w:t>The Existing Adviser manages the consolidated assets of the Existing Regulated Fund</w:t>
      </w:r>
      <w:r>
        <w:rPr>
          <w:rFonts w:ascii="Times New Roman" w:hAnsi="Times New Roman"/>
          <w:sz w:val="20"/>
        </w:rPr>
        <w:t xml:space="preserve"> and serves as </w:t>
      </w:r>
      <w:r>
        <w:rPr>
          <w:rFonts w:ascii="Times New Roman" w:hAnsi="Times New Roman"/>
          <w:color w:val="0000FF"/>
          <w:sz w:val="20"/>
          <w:u w:val="single"/>
          <w:bdr w:val="double" w:sz="2" w:space="1" w:color="000000"/>
        </w:rPr>
        <w:t>the</w:t>
      </w:r>
      <w:r>
        <w:rPr>
          <w:rFonts w:ascii="Times New Roman" w:hAnsi="Times New Roman"/>
          <w:sz w:val="20"/>
        </w:rPr>
        <w:t xml:space="preserve"> investment adviser to </w:t>
      </w:r>
      <w:r>
        <w:rPr>
          <w:rFonts w:ascii="Times New Roman" w:hAnsi="Times New Roman"/>
          <w:strike/>
          <w:color w:val="FF0000"/>
          <w:sz w:val="20"/>
        </w:rPr>
        <w:t>HI.</w:t>
      </w:r>
      <w:r>
        <w:rPr>
          <w:rFonts w:ascii="Times New Roman" w:hAnsi="Times New Roman"/>
          <w:sz w:val="20"/>
        </w:rPr>
        <w:t xml:space="preserve"> </w:t>
      </w:r>
      <w:r>
        <w:rPr>
          <w:rFonts w:ascii="Times New Roman" w:hAnsi="Times New Roman"/>
          <w:color w:val="0000FF"/>
          <w:sz w:val="20"/>
          <w:u w:val="single"/>
          <w:bdr w:val="double" w:sz="2" w:space="1" w:color="000000"/>
        </w:rPr>
        <w:t>the Existing Regulated Fund pursuant to</w:t>
      </w:r>
      <w:r>
        <w:rPr>
          <w:rFonts w:ascii="Times New Roman" w:hAnsi="Times New Roman"/>
          <w:strike/>
          <w:color w:val="FF0000"/>
          <w:sz w:val="20"/>
        </w:rPr>
        <w:t xml:space="preserve"> Under</w:t>
      </w:r>
      <w:r>
        <w:rPr>
          <w:rFonts w:ascii="Times New Roman" w:hAnsi="Times New Roman"/>
          <w:sz w:val="20"/>
        </w:rPr>
        <w:t xml:space="preserve"> the terms of an investment advisory agreement </w:t>
      </w:r>
      <w:r>
        <w:rPr>
          <w:rFonts w:ascii="Times New Roman" w:hAnsi="Times New Roman"/>
          <w:strike/>
          <w:color w:val="FF0000"/>
          <w:sz w:val="20"/>
        </w:rPr>
        <w:t>with BPRE and HI, BFA and CFA, respectively, will, among other things, manage the investment portfolio, direct purchases and sales of portfolio securities and report thereon to each Existing Regulated Fund’s officers and directors regularly.</w:t>
      </w:r>
      <w:r>
        <w:rPr>
          <w:rFonts w:ascii="Times New Roman" w:hAnsi="Times New Roman"/>
          <w:color w:val="0000FF"/>
          <w:sz w:val="20"/>
          <w:u w:val="single"/>
          <w:bdr w:val="double" w:sz="2" w:space="1" w:color="000000"/>
        </w:rPr>
        <w:t>that has been approved by the Board. The Existing Adviser also advises the Existing Affiliated Funds.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color w:val="0000FF"/>
                <w:u w:val="single"/>
                <w:bdr w:val="double" w:sz="2" w:space="1" w:color="000000"/>
              </w:rPr>
            </w:pPr>
            <w:r>
              <w:rPr>
                <w:b/>
                <w:color w:val="0000FF"/>
                <w:u w:val="single"/>
                <w:bdr w:val="double" w:sz="2" w:space="1" w:color="000000"/>
              </w:rPr>
              <w:t>III.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trike/>
                <w:color w:val="FF0000"/>
                <w:sz w:val="20"/>
              </w:rPr>
              <w:t>III.</w:t>
            </w:r>
            <w:r>
              <w:rPr>
                <w:rFonts w:ascii="Times New Roman" w:hAnsi="Times New Roman"/>
                <w:b/>
                <w:sz w:val="20"/>
              </w:rPr>
              <w:t xml:space="preserve"> </w:t>
            </w:r>
            <w:r>
              <w:rPr>
                <w:rFonts w:ascii="Times New Roman" w:hAnsi="Times New Roman"/>
                <w:b/>
                <w:sz w:val="20"/>
                <w:u w:val="single"/>
              </w:rPr>
              <w:t>ORDER REQUESTED</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The Applicants request an Order of the Commission under Sections 17(d) and 57(i) of the 1940 Act and Rule 17d-1 thereunder to permit, subject to the terms and conditions set forth below in this Application (the “</w:t>
      </w:r>
      <w:r>
        <w:rPr>
          <w:rFonts w:ascii="Times New Roman" w:hAnsi="Times New Roman"/>
          <w:b/>
          <w:i/>
          <w:sz w:val="20"/>
        </w:rPr>
        <w:t>Conditions</w:t>
      </w:r>
      <w:r>
        <w:rPr>
          <w:rFonts w:ascii="Times New Roman" w:hAnsi="Times New Roman"/>
          <w:sz w:val="20"/>
        </w:rPr>
        <w:t xml:space="preserve">”), each Regulated Fund to be able to participate with one or more Affiliated Entities in Co-Investment Transactions otherwise prohibited by Sections 17(d) and 57(a)(4) of the 1940 Act and Rule 17d-1 thereunder.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A.</w:t>
            </w:r>
            <w:r>
              <w:rPr>
                <w:rFonts w:ascii="Times New Roman" w:hAnsi="Times New Roman"/>
                <w:sz w:val="20"/>
              </w:rPr>
              <w:t xml:space="preserve"> </w:t>
            </w:r>
            <w:r>
              <w:rPr>
                <w:rFonts w:ascii="Times New Roman" w:hAnsi="Times New Roman"/>
                <w:sz w:val="20"/>
                <w:u w:val="single"/>
              </w:rPr>
              <w:t>Applicable Law</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 </w:t>
      </w:r>
    </w:p>
    <w:p>
      <w:pPr>
        <w:pStyle w:val="TextBody"/>
        <w:bidi w:val="0"/>
        <w:spacing w:before="240" w:after="0"/>
        <w:jc w:val="left"/>
        <w:rPr>
          <w:rFonts w:ascii="Times New Roman" w:hAnsi="Times New Roman"/>
          <w:sz w:val="20"/>
        </w:rPr>
      </w:pPr>
      <w:r>
        <w:rPr>
          <w:rFonts w:ascii="Times New Roman" w:hAnsi="Times New Roman"/>
          <w:sz w:val="20"/>
        </w:rPr>
        <w:t>Rule 17d-1 prohibits an affiliated person, or an affiliated person of such affiliated person, of a registered investment company, acting as principal, from participating in, or effecting any transaction in connection with, any “joint enterprise or other joint arrangement or profit-sharing plan”</w:t>
      </w:r>
      <w:r>
        <w:rPr>
          <w:rFonts w:ascii="Times New Roman" w:hAnsi="Times New Roman"/>
          <w:strike/>
          <w:color w:val="FF0000"/>
          <w:sz w:val="20"/>
        </w:rPr>
        <w:t>10</w:t>
      </w:r>
      <w:r>
        <w:rPr>
          <w:rFonts w:ascii="Times New Roman" w:hAnsi="Times New Roman"/>
          <w:sz w:val="20"/>
        </w:rPr>
        <w:t xml:space="preserve">12 in which the fund is a participant without first obtaining an order from the SEC. </w:t>
      </w:r>
    </w:p>
    <w:p>
      <w:pPr>
        <w:pStyle w:val="TextBody"/>
        <w:bidi w:val="0"/>
        <w:spacing w:before="240" w:after="0"/>
        <w:jc w:val="left"/>
        <w:rPr>
          <w:rFonts w:ascii="Times New Roman" w:hAnsi="Times New Roman"/>
          <w:sz w:val="20"/>
        </w:rPr>
      </w:pPr>
      <w:r>
        <w:rPr>
          <w:rFonts w:ascii="Times New Roman" w:hAnsi="Times New Roman"/>
          <w:sz w:val="20"/>
        </w:rPr>
        <w:t xml:space="preserve">Section 57(a)(4), in relevant part, prohibits any person related to a business development company in the manner described in Section 57(b), acting as principal, from knowingly effecting any transaction in which the business development company is a joint or a joint and several participant with such persons in contravention of such rules as the Commission may prescribe for the purpose of limiting or preventing participation by the business development company on a basis less advantageous than that of such person. Section 57(i) provides that, until the SEC prescribes rules under Section 57(a), the SEC’s rules under Section 17(d) applicable to registered closed-end investment companies will be deemed to apply to persons subject to the prohibitions of Section 57(a). Because the SEC has not adopted any rules under Section 57(a), Rule 17d-1 applies to persons subject to the prohibitions of Section 57(a). </w:t>
      </w:r>
    </w:p>
    <w:p>
      <w:pPr>
        <w:pStyle w:val="TextBody"/>
        <w:bidi w:val="0"/>
        <w:spacing w:before="240" w:after="0"/>
        <w:jc w:val="left"/>
        <w:rPr>
          <w:rFonts w:ascii="Times New Roman" w:hAnsi="Times New Roman"/>
          <w:sz w:val="20"/>
        </w:rPr>
      </w:pPr>
      <w:r>
        <w:rPr>
          <w:rFonts w:ascii="Times New Roman" w:hAnsi="Times New Roman"/>
          <w:sz w:val="20"/>
        </w:rPr>
        <w:t xml:space="preserve">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24"/>
        <w:gridCol w:w="9781"/>
      </w:tblGrid>
      <w:tr>
        <w:trPr/>
        <w:tc>
          <w:tcPr>
            <w:tcW w:w="424" w:type="dxa"/>
            <w:tcBorders/>
          </w:tcPr>
          <w:p>
            <w:pPr>
              <w:pStyle w:val="TableContents"/>
              <w:bidi w:val="0"/>
              <w:spacing w:before="0" w:after="283"/>
              <w:jc w:val="left"/>
              <w:rPr/>
            </w:pPr>
            <w:r>
              <w:rPr>
                <w:strike/>
                <w:color w:val="FF0000"/>
                <w:sz w:val="13"/>
              </w:rPr>
              <w:t>10</w:t>
            </w:r>
            <w:r>
              <w:rPr>
                <w:color w:val="0000FF"/>
                <w:u w:val="single"/>
                <w:bdr w:val="double" w:sz="2" w:space="1" w:color="000000"/>
              </w:rPr>
              <w:t xml:space="preserve">12 </w:t>
            </w:r>
            <w:r>
              <w:rPr/>
              <w:t> </w:t>
            </w:r>
          </w:p>
        </w:tc>
        <w:tc>
          <w:tcPr>
            <w:tcW w:w="97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and any affiliated person of or principal underwriter for such registered company, or any affiliated person of such a person or principal underwriter, have a joint or a joint and several participation, or share in the profits of such enterprise or undertaking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B.</w:t>
            </w:r>
            <w:r>
              <w:rPr>
                <w:rFonts w:ascii="Times New Roman" w:hAnsi="Times New Roman"/>
                <w:sz w:val="20"/>
              </w:rPr>
              <w:t xml:space="preserve"> </w:t>
            </w:r>
            <w:r>
              <w:rPr>
                <w:rFonts w:ascii="Times New Roman" w:hAnsi="Times New Roman"/>
                <w:sz w:val="20"/>
                <w:u w:val="single"/>
              </w:rPr>
              <w:t>Need for Relief</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an open-end</w:t>
      </w:r>
      <w:r>
        <w:rPr>
          <w:rFonts w:ascii="Times New Roman" w:hAnsi="Times New Roman"/>
          <w:color w:val="0000FF"/>
          <w:sz w:val="20"/>
          <w:u w:val="single"/>
          <w:bdr w:val="double" w:sz="2" w:space="1" w:color="000000"/>
        </w:rPr>
        <w:t xml:space="preserve"> fund </w:t>
      </w:r>
      <w:r>
        <w:rPr>
          <w:rFonts w:ascii="Times New Roman" w:hAnsi="Times New Roman"/>
          <w:sz w:val="20"/>
        </w:rPr>
        <w:t xml:space="preserve">or closed-end fund or a business development company, respectively, including a sub-adviser. Thus, an Adviser and any Affiliated Entities that it advises could be deemed to be persons related to Regulated Funds in a manner described by Sections 17(d) and 57(b). </w:t>
      </w:r>
      <w:r>
        <w:rPr>
          <w:rFonts w:ascii="Times New Roman" w:hAnsi="Times New Roman"/>
          <w:strike/>
          <w:color w:val="FF0000"/>
          <w:sz w:val="20"/>
        </w:rPr>
        <w:t>BFA and CFA are each majority-owned by BAM, are under common control, and are thus affiliated persons of each other.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With</w:t>
      </w:r>
      <w:r>
        <w:rPr>
          <w:rFonts w:ascii="Times New Roman" w:hAnsi="Times New Roman"/>
          <w:strike/>
          <w:color w:val="FF0000"/>
          <w:sz w:val="20"/>
        </w:rPr>
        <w:t xml:space="preserve"> Accordingly, with</w:t>
      </w:r>
      <w:r>
        <w:rPr>
          <w:rFonts w:ascii="Times New Roman" w:hAnsi="Times New Roman"/>
          <w:sz w:val="20"/>
        </w:rPr>
        <w:t xml:space="preserve"> respect to </w:t>
      </w:r>
      <w:r>
        <w:rPr>
          <w:rFonts w:ascii="Times New Roman" w:hAnsi="Times New Roman"/>
          <w:strike/>
          <w:color w:val="FF0000"/>
          <w:sz w:val="20"/>
        </w:rPr>
        <w:t>BFA and CFA</w:t>
      </w:r>
      <w:r>
        <w:rPr>
          <w:rFonts w:ascii="Times New Roman" w:hAnsi="Times New Roman"/>
          <w:color w:val="0000FF"/>
          <w:sz w:val="20"/>
          <w:u w:val="single"/>
          <w:bdr w:val="double" w:sz="2" w:space="1" w:color="000000"/>
        </w:rPr>
        <w:t>the Existing Adviser</w:t>
      </w:r>
      <w:r>
        <w:rPr>
          <w:rFonts w:ascii="Times New Roman" w:hAnsi="Times New Roman"/>
          <w:sz w:val="20"/>
        </w:rPr>
        <w:t xml:space="preserve"> and any other Advisers that are deemed to be affiliated persons of each other, Affiliated Entities advised by any of them could be deemed to be persons related to Regulated Funds (or a company controlled by a Regulated Fund) in a manner described by Sections 17(d) and 57(b). In addition, any entities or accounts controlled by or under common control with </w:t>
      </w:r>
      <w:r>
        <w:rPr>
          <w:rFonts w:ascii="Times New Roman" w:hAnsi="Times New Roman"/>
          <w:strike/>
          <w:color w:val="FF0000"/>
          <w:sz w:val="20"/>
        </w:rPr>
        <w:t>BFA, CFA</w:t>
      </w:r>
      <w:r>
        <w:rPr>
          <w:rFonts w:ascii="Times New Roman" w:hAnsi="Times New Roman"/>
          <w:color w:val="0000FF"/>
          <w:sz w:val="20"/>
          <w:u w:val="single"/>
          <w:bdr w:val="double" w:sz="2" w:space="1" w:color="000000"/>
        </w:rPr>
        <w:t>the Existing Adviser</w:t>
      </w:r>
      <w:r>
        <w:rPr>
          <w:rFonts w:ascii="Times New Roman" w:hAnsi="Times New Roman"/>
          <w:sz w:val="20"/>
        </w:rPr>
        <w:t xml:space="preserve">,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17d-1 under the 1940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C.</w:t>
            </w:r>
            <w:r>
              <w:rPr>
                <w:rFonts w:ascii="Times New Roman" w:hAnsi="Times New Roman"/>
                <w:sz w:val="20"/>
              </w:rPr>
              <w:t xml:space="preserve"> </w:t>
            </w:r>
            <w:r>
              <w:rPr>
                <w:rFonts w:ascii="Times New Roman" w:hAnsi="Times New Roman"/>
                <w:sz w:val="20"/>
                <w:u w:val="single"/>
              </w:rPr>
              <w:t>Conditions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Applicants agree that any Order granting the requested relief will be subject to the following Conditions.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1.</w:t>
      </w:r>
      <w:r>
        <w:rPr>
          <w:rFonts w:ascii="Times New Roman" w:hAnsi="Times New Roman"/>
          <w:strike/>
          <w:color w:val="FF0000"/>
          <w:sz w:val="20"/>
        </w:rPr>
        <w:t xml:space="preserve"> 1.</w:t>
      </w:r>
      <w:r>
        <w:rPr>
          <w:rFonts w:ascii="Times New Roman" w:hAnsi="Times New Roman"/>
          <w:sz w:val="20"/>
        </w:rPr>
        <w:t xml:space="preserve"> </w:t>
      </w:r>
      <w:r>
        <w:rPr>
          <w:rFonts w:ascii="Times New Roman" w:hAnsi="Times New Roman"/>
          <w:sz w:val="20"/>
          <w:u w:val="single"/>
        </w:rPr>
        <w:t>Same Terms</w:t>
      </w:r>
      <w:r>
        <w:rPr>
          <w:rFonts w:ascii="Times New Roman" w:hAnsi="Times New Roman"/>
          <w:sz w:val="20"/>
        </w:rPr>
        <w:t>. With respect to any Co-Investment Transaction, each Regulated Fund, and Affiliated Entity participating in such transaction will 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 company, the Board of each Regulated Fund that does not hold this right must be given the opportunity to veto the selection of such person.</w:t>
      </w:r>
      <w:r>
        <w:rPr>
          <w:rFonts w:ascii="Times New Roman" w:hAnsi="Times New Roman"/>
          <w:strike/>
          <w:color w:val="FF0000"/>
          <w:sz w:val="20"/>
        </w:rPr>
        <w:t>11</w:t>
      </w:r>
      <w:r>
        <w:rPr>
          <w:rFonts w:ascii="Times New Roman" w:hAnsi="Times New Roman"/>
          <w:color w:val="0000FF"/>
          <w:sz w:val="13"/>
          <w:u w:val="single"/>
          <w:bdr w:val="double" w:sz="2" w:space="1" w:color="000000"/>
        </w:rPr>
        <w:t>13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2.</w:t>
      </w:r>
      <w:r>
        <w:rPr>
          <w:rFonts w:ascii="Times New Roman" w:hAnsi="Times New Roman"/>
          <w:strike/>
          <w:color w:val="FF0000"/>
          <w:sz w:val="20"/>
        </w:rPr>
        <w:t xml:space="preserve"> 2.</w:t>
      </w:r>
      <w:r>
        <w:rPr>
          <w:rFonts w:ascii="Times New Roman" w:hAnsi="Times New Roman"/>
          <w:sz w:val="20"/>
        </w:rPr>
        <w:t xml:space="preserve"> Existing Investments in the Issuer. Prior to a Regulated Fund acquiring in a Co-Investment Transaction a security of an issuer in which an Affiliated Entity has an existing interest in such issuer, the “required majority,” as defined in Section 57(o) of the 1940 Act,</w:t>
      </w:r>
      <w:r>
        <w:rPr>
          <w:rFonts w:ascii="Times New Roman" w:hAnsi="Times New Roman"/>
          <w:strike/>
          <w:color w:val="FF0000"/>
          <w:sz w:val="20"/>
        </w:rPr>
        <w:t>12</w:t>
      </w:r>
      <w:r>
        <w:rPr>
          <w:rFonts w:ascii="Times New Roman" w:hAnsi="Times New Roman"/>
          <w:color w:val="0000FF"/>
          <w:sz w:val="13"/>
          <w:u w:val="single"/>
          <w:bdr w:val="double" w:sz="2" w:space="1" w:color="000000"/>
        </w:rPr>
        <w:t>14</w:t>
      </w:r>
      <w:r>
        <w:rPr>
          <w:rFonts w:ascii="Times New Roman" w:hAnsi="Times New Roman"/>
          <w:sz w:val="20"/>
        </w:rPr>
        <w:t xml:space="preserve"> of the Regulated Fund (“</w:t>
      </w:r>
      <w:r>
        <w:rPr>
          <w:rFonts w:ascii="Times New Roman" w:hAnsi="Times New Roman"/>
          <w:b/>
          <w:i/>
          <w:sz w:val="20"/>
        </w:rPr>
        <w:t>Required</w:t>
      </w:r>
      <w:r>
        <w:rPr>
          <w:rFonts w:ascii="Times New Roman" w:hAnsi="Times New Roman"/>
          <w:sz w:val="20"/>
        </w:rPr>
        <w:t xml:space="preserve"> </w:t>
      </w:r>
      <w:r>
        <w:rPr>
          <w:rFonts w:ascii="Times New Roman" w:hAnsi="Times New Roman"/>
          <w:b/>
          <w:i/>
          <w:sz w:val="20"/>
        </w:rPr>
        <w:t>Majority”</w:t>
      </w:r>
      <w:r>
        <w:rPr>
          <w:rFonts w:ascii="Times New Roman" w:hAnsi="Times New Roman"/>
          <w:sz w:val="20"/>
        </w:rPr>
        <w:t>) will take the steps set forth in Section 57(f) of the 1940 Act,</w:t>
      </w:r>
      <w:r>
        <w:rPr>
          <w:rFonts w:ascii="Times New Roman" w:hAnsi="Times New Roman"/>
          <w:strike/>
          <w:color w:val="FF0000"/>
          <w:sz w:val="20"/>
        </w:rPr>
        <w:t>13</w:t>
      </w:r>
      <w:r>
        <w:rPr>
          <w:rFonts w:ascii="Times New Roman" w:hAnsi="Times New Roman"/>
          <w:color w:val="0000FF"/>
          <w:sz w:val="13"/>
          <w:u w:val="single"/>
          <w:bdr w:val="double" w:sz="2" w:space="1" w:color="000000"/>
        </w:rPr>
        <w:t>15</w:t>
      </w:r>
      <w:r>
        <w:rPr>
          <w:rFonts w:ascii="Times New Roman" w:hAnsi="Times New Roman"/>
          <w:sz w:val="20"/>
        </w:rPr>
        <w:t xml:space="preserve"> unless: (i) the Regulated Fund already holds the same security as each such Affiliated Entity; and (ii) the Regulated Fund and each other Affiliated Entity holding the security is participating in the acquisition in approximate proportion to its then-current holdings.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32"/>
        <w:gridCol w:w="9773"/>
      </w:tblGrid>
      <w:tr>
        <w:trPr/>
        <w:tc>
          <w:tcPr>
            <w:tcW w:w="432" w:type="dxa"/>
            <w:tcBorders/>
          </w:tcPr>
          <w:p>
            <w:pPr>
              <w:pStyle w:val="TableContents"/>
              <w:bidi w:val="0"/>
              <w:spacing w:before="0" w:after="283"/>
              <w:jc w:val="left"/>
              <w:rPr/>
            </w:pPr>
            <w:r>
              <w:rPr>
                <w:strike/>
                <w:color w:val="FF0000"/>
              </w:rPr>
              <w:t>11</w:t>
            </w:r>
            <w:r>
              <w:rPr>
                <w:color w:val="0000FF"/>
                <w:sz w:val="13"/>
                <w:u w:val="single"/>
                <w:bdr w:val="double" w:sz="2" w:space="1" w:color="000000"/>
              </w:rPr>
              <w:t xml:space="preserve">13 </w:t>
            </w:r>
            <w:r>
              <w:rPr/>
              <w:t> </w:t>
            </w:r>
          </w:p>
        </w:tc>
        <w:tc>
          <w:tcPr>
            <w:tcW w:w="9773" w:type="dxa"/>
            <w:tcBorders/>
          </w:tcPr>
          <w:p>
            <w:pPr>
              <w:pStyle w:val="TableContents"/>
              <w:bidi w:val="0"/>
              <w:spacing w:before="0" w:after="0"/>
              <w:jc w:val="left"/>
              <w:rPr>
                <w:rFonts w:ascii="Times New Roman" w:hAnsi="Times New Roman"/>
              </w:rPr>
            </w:pPr>
            <w:r>
              <w:rPr>
                <w:rFonts w:ascii="Times New Roman" w:hAnsi="Times New Roman"/>
              </w:rPr>
              <w:t xml:space="preserve">Such a Board can also, consistent with applicable fund documents, facilitate this opportunity by delegating the authority to veto the selection of such person to a committee of the Board. </w:t>
            </w:r>
          </w:p>
        </w:tc>
      </w:tr>
    </w:tbl>
    <w:tbl>
      <w:tblPr>
        <w:tblW w:w="5000" w:type="pct"/>
        <w:jc w:val="left"/>
        <w:tblInd w:w="0" w:type="dxa"/>
        <w:tblLayout w:type="fixed"/>
        <w:tblCellMar>
          <w:top w:w="0" w:type="dxa"/>
          <w:left w:w="0" w:type="dxa"/>
          <w:bottom w:w="0" w:type="dxa"/>
          <w:right w:w="0" w:type="dxa"/>
        </w:tblCellMar>
      </w:tblPr>
      <w:tblGrid>
        <w:gridCol w:w="426"/>
        <w:gridCol w:w="9779"/>
      </w:tblGrid>
      <w:tr>
        <w:trPr/>
        <w:tc>
          <w:tcPr>
            <w:tcW w:w="426" w:type="dxa"/>
            <w:tcBorders/>
          </w:tcPr>
          <w:p>
            <w:pPr>
              <w:pStyle w:val="TableContents"/>
              <w:bidi w:val="0"/>
              <w:spacing w:before="0" w:after="283"/>
              <w:jc w:val="left"/>
              <w:rPr/>
            </w:pPr>
            <w:r>
              <w:rPr>
                <w:strike/>
                <w:color w:val="FF0000"/>
              </w:rPr>
              <w:t>12</w:t>
            </w:r>
            <w:r>
              <w:rPr>
                <w:color w:val="0000FF"/>
                <w:sz w:val="13"/>
                <w:u w:val="single"/>
                <w:bdr w:val="double" w:sz="2" w:space="1" w:color="000000"/>
              </w:rPr>
              <w:t xml:space="preserve">14 </w:t>
            </w:r>
            <w:r>
              <w:rPr/>
              <w:t> </w:t>
            </w:r>
          </w:p>
        </w:tc>
        <w:tc>
          <w:tcPr>
            <w:tcW w:w="9779" w:type="dxa"/>
            <w:tcBorders/>
          </w:tcPr>
          <w:p>
            <w:pPr>
              <w:pStyle w:val="TableContents"/>
              <w:bidi w:val="0"/>
              <w:spacing w:before="0" w:after="0"/>
              <w:jc w:val="left"/>
              <w:rPr>
                <w:rFonts w:ascii="Times New Roman" w:hAnsi="Times New Roman"/>
              </w:rPr>
            </w:pPr>
            <w:r>
              <w:rPr>
                <w:rFonts w:ascii="Times New Roman" w:hAnsi="Times New Roman"/>
              </w:rPr>
              <w:t xml:space="preserve">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 Solely for purposes of conditions 2 and 6(b) of this application, a designated committee of the board of a Regulated Fund may take the steps required of the Required Majority, so long as: (a) such committee consists of at least three directors who both have no financial interest in the relevant transaction and are not interested persons of the Regulated Fund, a majority of whom approve the transaction; and (b) a report on all Co-Investment Transactions considered by the designated committee, including the committee’s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3.</w:t>
      </w:r>
      <w:r>
        <w:rPr>
          <w:rFonts w:ascii="Times New Roman" w:hAnsi="Times New Roman"/>
          <w:strike/>
          <w:color w:val="FF0000"/>
          <w:sz w:val="20"/>
        </w:rPr>
        <w:t xml:space="preserve"> 3.</w:t>
      </w:r>
      <w:r>
        <w:rPr>
          <w:rFonts w:ascii="Times New Roman" w:hAnsi="Times New Roman"/>
          <w:sz w:val="20"/>
        </w:rPr>
        <w:t xml:space="preserve"> Related Expenses. Any expenses associated with acquiring, holding or disposing of any securities acquired in a Co-Investment Transaction, to the extent not borne by the Adviser(s), will be shared among the Participants in proportion to the relative amounts of the securities being acquired, held or disposed of, as the case may be.</w:t>
      </w:r>
      <w:r>
        <w:rPr>
          <w:rFonts w:ascii="Times New Roman" w:hAnsi="Times New Roman"/>
          <w:strike/>
          <w:color w:val="FF0000"/>
          <w:sz w:val="20"/>
        </w:rPr>
        <w:t>14</w:t>
      </w:r>
      <w:r>
        <w:rPr>
          <w:rFonts w:ascii="Times New Roman" w:hAnsi="Times New Roman"/>
          <w:color w:val="0000FF"/>
          <w:sz w:val="13"/>
          <w:u w:val="single"/>
          <w:bdr w:val="double" w:sz="2" w:space="1" w:color="000000"/>
        </w:rPr>
        <w:t>16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4.</w:t>
      </w:r>
      <w:r>
        <w:rPr>
          <w:rFonts w:ascii="Times New Roman" w:hAnsi="Times New Roman"/>
          <w:strike/>
          <w:color w:val="FF0000"/>
          <w:sz w:val="20"/>
        </w:rPr>
        <w:t xml:space="preserve"> 4.</w:t>
      </w:r>
      <w:r>
        <w:rPr>
          <w:rFonts w:ascii="Times New Roman" w:hAnsi="Times New Roman"/>
          <w:sz w:val="20"/>
        </w:rPr>
        <w:t xml:space="preserve"> No Remuneration. Any transaction fee</w:t>
      </w:r>
      <w:r>
        <w:rPr>
          <w:rFonts w:ascii="Times New Roman" w:hAnsi="Times New Roman"/>
          <w:strike/>
          <w:color w:val="FF0000"/>
          <w:sz w:val="20"/>
        </w:rPr>
        <w:t>15</w:t>
      </w:r>
      <w:r>
        <w:rPr>
          <w:rFonts w:ascii="Times New Roman" w:hAnsi="Times New Roman"/>
          <w:color w:val="0000FF"/>
          <w:sz w:val="20"/>
          <w:u w:val="single"/>
          <w:bdr w:val="double" w:sz="2" w:space="1" w:color="000000"/>
        </w:rPr>
        <w:t xml:space="preserve"> 17</w:t>
      </w:r>
      <w:r>
        <w:rPr>
          <w:rFonts w:ascii="Times New Roman" w:hAnsi="Times New Roman"/>
          <w:sz w:val="20"/>
        </w:rPr>
        <w:t xml:space="preserve"> (including break-up, structuring, monitoring or commitment fees but excluding broker’s fees contemplated 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 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5.</w:t>
      </w:r>
      <w:r>
        <w:rPr>
          <w:rFonts w:ascii="Times New Roman" w:hAnsi="Times New Roman"/>
          <w:strike/>
          <w:color w:val="FF0000"/>
          <w:sz w:val="20"/>
        </w:rPr>
        <w:t xml:space="preserve"> 5.</w:t>
      </w:r>
      <w:r>
        <w:rPr>
          <w:rFonts w:ascii="Times New Roman" w:hAnsi="Times New Roman"/>
          <w:sz w:val="20"/>
        </w:rPr>
        <w:t xml:space="preserve"> Co-Investment Policies. Each Adviser (and each Affiliated Entity that is not advised by an Adviser) will adopt and implement policies and 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 w:hAnsi="Times New Roman"/>
          <w:b/>
          <w:i/>
          <w:sz w:val="20"/>
        </w:rPr>
        <w:t>Co-Investment Policies</w:t>
      </w:r>
      <w:r>
        <w:rPr>
          <w:rFonts w:ascii="Times New Roman" w:hAnsi="Times New Roman"/>
          <w:sz w:val="20"/>
        </w:rPr>
        <w:t>”). Each Adviser (and each Affiliated Entity that is not advised by an Adviser) will provide its Co-Investment Policies to the Regulated Funds and will notify the Regulated Funds of any material changes thereto.</w:t>
      </w:r>
      <w:r>
        <w:rPr>
          <w:rFonts w:ascii="Times New Roman" w:hAnsi="Times New Roman"/>
          <w:strike/>
          <w:color w:val="FF0000"/>
          <w:sz w:val="20"/>
        </w:rPr>
        <w:t>16</w:t>
      </w:r>
      <w:r>
        <w:rPr>
          <w:rFonts w:ascii="Times New Roman" w:hAnsi="Times New Roman"/>
          <w:color w:val="0000FF"/>
          <w:sz w:val="13"/>
          <w:u w:val="single"/>
          <w:bdr w:val="double" w:sz="2" w:space="1" w:color="000000"/>
        </w:rPr>
        <w:t xml:space="preserve">18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decision on each such transaction and the information described in Section 57(f)(3) that the committee has recorded with respect to each such transaction, is provided to the entire board of the Regulated Fund at the board’s next regularly-scheduled meeting. </w:t>
            </w:r>
          </w:p>
        </w:tc>
      </w:tr>
    </w:tbl>
    <w:tbl>
      <w:tblPr>
        <w:tblW w:w="5000" w:type="pct"/>
        <w:jc w:val="left"/>
        <w:tblInd w:w="0" w:type="dxa"/>
        <w:tblLayout w:type="fixed"/>
        <w:tblCellMar>
          <w:top w:w="0" w:type="dxa"/>
          <w:left w:w="0" w:type="dxa"/>
          <w:bottom w:w="0" w:type="dxa"/>
          <w:right w:w="0" w:type="dxa"/>
        </w:tblCellMar>
      </w:tblPr>
      <w:tblGrid>
        <w:gridCol w:w="409"/>
        <w:gridCol w:w="9796"/>
      </w:tblGrid>
      <w:tr>
        <w:trPr/>
        <w:tc>
          <w:tcPr>
            <w:tcW w:w="409" w:type="dxa"/>
            <w:tcBorders/>
          </w:tcPr>
          <w:p>
            <w:pPr>
              <w:pStyle w:val="TableContents"/>
              <w:bidi w:val="0"/>
              <w:spacing w:before="0" w:after="283"/>
              <w:jc w:val="left"/>
              <w:rPr/>
            </w:pPr>
            <w:r>
              <w:rPr>
                <w:strike/>
                <w:color w:val="FF0000"/>
                <w:sz w:val="13"/>
              </w:rPr>
              <w:t>13</w:t>
            </w:r>
            <w:r>
              <w:rPr>
                <w:color w:val="0000FF"/>
                <w:u w:val="single"/>
                <w:bdr w:val="double" w:sz="2" w:space="1" w:color="000000"/>
              </w:rPr>
              <w:t>15</w:t>
            </w:r>
          </w:p>
        </w:tc>
        <w:tc>
          <w:tcPr>
            <w:tcW w:w="97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 (iii) the BDC’s directors record in their minutes and preserve in their records a description of the transaction, their findings, the information or materials upon which their findings were based, and the basis for their findings. </w:t>
            </w:r>
          </w:p>
        </w:tc>
      </w:tr>
    </w:tbl>
    <w:tbl>
      <w:tblPr>
        <w:tblW w:w="5000" w:type="pct"/>
        <w:jc w:val="left"/>
        <w:tblInd w:w="0" w:type="dxa"/>
        <w:tblLayout w:type="fixed"/>
        <w:tblCellMar>
          <w:top w:w="0" w:type="dxa"/>
          <w:left w:w="0" w:type="dxa"/>
          <w:bottom w:w="0" w:type="dxa"/>
          <w:right w:w="0" w:type="dxa"/>
        </w:tblCellMar>
      </w:tblPr>
      <w:tblGrid>
        <w:gridCol w:w="416"/>
        <w:gridCol w:w="9789"/>
      </w:tblGrid>
      <w:tr>
        <w:trPr/>
        <w:tc>
          <w:tcPr>
            <w:tcW w:w="416" w:type="dxa"/>
            <w:tcBorders/>
          </w:tcPr>
          <w:p>
            <w:pPr>
              <w:pStyle w:val="TableContents"/>
              <w:bidi w:val="0"/>
              <w:spacing w:before="0" w:after="283"/>
              <w:jc w:val="left"/>
              <w:rPr/>
            </w:pPr>
            <w:r>
              <w:rPr>
                <w:strike/>
                <w:color w:val="FF0000"/>
                <w:sz w:val="13"/>
              </w:rPr>
              <w:t>14</w:t>
            </w:r>
            <w:r>
              <w:rPr>
                <w:color w:val="0000FF"/>
                <w:u w:val="single"/>
                <w:bdr w:val="double" w:sz="2" w:space="1" w:color="000000"/>
              </w:rPr>
              <w:t xml:space="preserve">16 </w:t>
            </w:r>
            <w:r>
              <w:rPr/>
              <w:t> </w:t>
            </w:r>
          </w:p>
        </w:tc>
        <w:tc>
          <w:tcPr>
            <w:tcW w:w="97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of an individual Participant that are incurred solely by the Participant due to its unique circumstances (such as legal and compliance expenses) will be borne by such Participant. </w:t>
            </w:r>
          </w:p>
        </w:tc>
      </w:tr>
    </w:tbl>
    <w:tbl>
      <w:tblPr>
        <w:tblW w:w="5000" w:type="pct"/>
        <w:jc w:val="left"/>
        <w:tblInd w:w="0" w:type="dxa"/>
        <w:tblLayout w:type="fixed"/>
        <w:tblCellMar>
          <w:top w:w="0" w:type="dxa"/>
          <w:left w:w="0" w:type="dxa"/>
          <w:bottom w:w="0" w:type="dxa"/>
          <w:right w:w="0" w:type="dxa"/>
        </w:tblCellMar>
      </w:tblPr>
      <w:tblGrid>
        <w:gridCol w:w="431"/>
        <w:gridCol w:w="9774"/>
      </w:tblGrid>
      <w:tr>
        <w:trPr/>
        <w:tc>
          <w:tcPr>
            <w:tcW w:w="431" w:type="dxa"/>
            <w:tcBorders/>
          </w:tcPr>
          <w:p>
            <w:pPr>
              <w:pStyle w:val="TableContents"/>
              <w:bidi w:val="0"/>
              <w:spacing w:before="0" w:after="283"/>
              <w:jc w:val="left"/>
              <w:rPr/>
            </w:pPr>
            <w:r>
              <w:rPr>
                <w:strike/>
                <w:color w:val="FF0000"/>
                <w:sz w:val="13"/>
              </w:rPr>
              <w:t>15</w:t>
            </w:r>
            <w:r>
              <w:rPr>
                <w:color w:val="0000FF"/>
                <w:u w:val="single"/>
                <w:bdr w:val="double" w:sz="2" w:space="1" w:color="000000"/>
              </w:rPr>
              <w:t xml:space="preserve">17 </w:t>
            </w:r>
            <w:r>
              <w:rPr/>
              <w:t> </w:t>
            </w:r>
          </w:p>
        </w:tc>
        <w:tc>
          <w:tcPr>
            <w:tcW w:w="97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Applicants are not requesting and the Commission is not providing any relief for transaction fees received in connection with any Co-Investment Transaction.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sz w:val="13"/>
              </w:rPr>
              <w:t>16</w:t>
            </w:r>
            <w:r>
              <w:rPr>
                <w:color w:val="0000FF"/>
                <w:sz w:val="13"/>
                <w:u w:val="single"/>
                <w:bdr w:val="double" w:sz="2" w:space="1" w:color="000000"/>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Affiliated Entities may adopt shared Co-Investment Policies. </w:t>
            </w:r>
          </w:p>
        </w:tc>
      </w:tr>
    </w:tbl>
    <w:tbl>
      <w:tblPr>
        <w:tblW w:w="5000" w:type="pct"/>
        <w:jc w:val="left"/>
        <w:tblInd w:w="0" w:type="dxa"/>
        <w:tblLayout w:type="fixed"/>
        <w:tblCellMar>
          <w:top w:w="0" w:type="dxa"/>
          <w:left w:w="0" w:type="dxa"/>
          <w:bottom w:w="0" w:type="dxa"/>
          <w:right w:w="0" w:type="dxa"/>
        </w:tblCellMar>
      </w:tblPr>
      <w:tblGrid>
        <w:gridCol w:w="416"/>
        <w:gridCol w:w="9789"/>
      </w:tblGrid>
      <w:tr>
        <w:trPr/>
        <w:tc>
          <w:tcPr>
            <w:tcW w:w="416" w:type="dxa"/>
            <w:tcBorders/>
          </w:tcPr>
          <w:p>
            <w:pPr>
              <w:pStyle w:val="TableContents"/>
              <w:bidi w:val="0"/>
              <w:spacing w:before="0" w:after="283"/>
              <w:jc w:val="left"/>
              <w:rPr/>
            </w:pPr>
            <w:r>
              <w:rPr>
                <w:strike/>
                <w:color w:val="FF0000"/>
                <w:sz w:val="13"/>
              </w:rPr>
              <w:t>17</w:t>
            </w:r>
            <w:r>
              <w:rPr>
                <w:color w:val="0000FF"/>
                <w:u w:val="single"/>
                <w:bdr w:val="double" w:sz="2" w:space="1" w:color="000000"/>
              </w:rPr>
              <w:t>19</w:t>
            </w:r>
          </w:p>
        </w:tc>
        <w:tc>
          <w:tcPr>
            <w:tcW w:w="9789" w:type="dxa"/>
            <w:tcBorders/>
          </w:tcPr>
          <w:p>
            <w:pPr>
              <w:pStyle w:val="TableContents"/>
              <w:bidi w:val="0"/>
              <w:spacing w:before="0" w:after="0"/>
              <w:jc w:val="left"/>
              <w:rPr/>
            </w:pPr>
            <w:r>
              <w:rPr/>
              <w:t>“</w:t>
            </w:r>
            <w:r>
              <w:rPr>
                <w:rFonts w:ascii="Times New Roman" w:hAnsi="Times New Roman"/>
                <w:sz w:val="20"/>
              </w:rPr>
              <w:t xml:space="preserve">Disposition” means the sale, exchange, transfer or other disposition of an interest in a security of an issuer.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6.</w:t>
            </w:r>
            <w:r>
              <w:rPr>
                <w:rFonts w:ascii="Times New Roman" w:hAnsi="Times New Roman"/>
                <w:sz w:val="20"/>
              </w:rPr>
              <w:t xml:space="preserve"> </w:t>
            </w:r>
            <w:r>
              <w:rPr>
                <w:rFonts w:ascii="Times New Roman" w:hAnsi="Times New Roman"/>
                <w:sz w:val="20"/>
                <w:u w:val="single"/>
              </w:rPr>
              <w:t>Dispositions: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(a)</w:t>
      </w:r>
      <w:r>
        <w:rPr>
          <w:rFonts w:ascii="Times New Roman" w:hAnsi="Times New Roman"/>
          <w:sz w:val="20"/>
        </w:rPr>
        <w:t xml:space="preserve"> </w:t>
      </w:r>
      <w:r>
        <w:rPr>
          <w:rFonts w:ascii="Times New Roman" w:hAnsi="Times New Roman"/>
          <w:strike/>
          <w:color w:val="FF0000"/>
          <w:sz w:val="20"/>
        </w:rPr>
        <w:t>(a)</w:t>
      </w:r>
      <w:r>
        <w:rPr>
          <w:rFonts w:ascii="Times New Roman" w:hAnsi="Times New Roman"/>
          <w:sz w:val="20"/>
        </w:rPr>
        <w:t xml:space="preserve"> Prior to any Disposition</w:t>
      </w:r>
      <w:r>
        <w:rPr>
          <w:rFonts w:ascii="Times New Roman" w:hAnsi="Times New Roman"/>
          <w:strike/>
          <w:color w:val="FF0000"/>
          <w:sz w:val="20"/>
        </w:rPr>
        <w:t>17</w:t>
      </w:r>
      <w:r>
        <w:rPr>
          <w:rFonts w:ascii="Times New Roman" w:hAnsi="Times New Roman"/>
          <w:color w:val="0000FF"/>
          <w:sz w:val="13"/>
          <w:u w:val="single"/>
          <w:bdr w:val="double" w:sz="2" w:space="1" w:color="000000"/>
        </w:rPr>
        <w:t>19</w:t>
      </w:r>
      <w:r>
        <w:rPr>
          <w:rFonts w:ascii="Times New Roman" w:hAnsi="Times New Roman"/>
          <w:sz w:val="20"/>
        </w:rPr>
        <w:t xml:space="preserve">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(b)</w:t>
      </w:r>
      <w:r>
        <w:rPr>
          <w:rFonts w:ascii="Times New Roman" w:hAnsi="Times New Roman"/>
          <w:sz w:val="20"/>
        </w:rPr>
        <w:t xml:space="preserve"> </w:t>
      </w:r>
      <w:r>
        <w:rPr>
          <w:rFonts w:ascii="Times New Roman" w:hAnsi="Times New Roman"/>
          <w:strike/>
          <w:color w:val="FF0000"/>
          <w:sz w:val="20"/>
        </w:rPr>
        <w:t>(b)</w:t>
      </w:r>
      <w:r>
        <w:rPr>
          <w:rFonts w:ascii="Times New Roman" w:hAnsi="Times New Roman"/>
          <w:sz w:val="20"/>
        </w:rPr>
        <w:t xml:space="preserve"> 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w:t>
      </w:r>
      <w:r>
        <w:rPr>
          <w:rFonts w:ascii="Times New Roman" w:hAnsi="Times New Roman"/>
          <w:strike/>
          <w:color w:val="FF0000"/>
          <w:sz w:val="20"/>
        </w:rPr>
        <w:t>18</w:t>
      </w:r>
      <w:r>
        <w:rPr>
          <w:rFonts w:ascii="Times New Roman" w:hAnsi="Times New Roman"/>
          <w:color w:val="0000FF"/>
          <w:sz w:val="13"/>
          <w:u w:val="single"/>
          <w:bdr w:val="double" w:sz="2" w:space="1" w:color="000000"/>
        </w:rPr>
        <w:t>20</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7.</w:t>
            </w:r>
            <w:r>
              <w:rPr>
                <w:rFonts w:ascii="Times New Roman" w:hAnsi="Times New Roman"/>
                <w:sz w:val="20"/>
              </w:rPr>
              <w:t xml:space="preserve"> </w:t>
            </w:r>
            <w:r>
              <w:rPr>
                <w:rFonts w:ascii="Times New Roman" w:hAnsi="Times New Roman"/>
                <w:sz w:val="20"/>
                <w:u w:val="single"/>
              </w:rPr>
              <w:t>Board Oversight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(a)</w:t>
      </w:r>
      <w:r>
        <w:rPr>
          <w:rFonts w:ascii="Times New Roman" w:hAnsi="Times New Roman"/>
          <w:sz w:val="20"/>
        </w:rPr>
        <w:t xml:space="preserve"> </w:t>
      </w:r>
      <w:r>
        <w:rPr>
          <w:rFonts w:ascii="Times New Roman" w:hAnsi="Times New Roman"/>
          <w:strike/>
          <w:color w:val="FF0000"/>
          <w:sz w:val="20"/>
        </w:rPr>
        <w:t>(a)</w:t>
      </w:r>
      <w:r>
        <w:rPr>
          <w:rFonts w:ascii="Times New Roman" w:hAnsi="Times New Roman"/>
          <w:sz w:val="20"/>
        </w:rPr>
        <w:t xml:space="preserve"> Each Regulated Fund’s directors will oversee the Regulated Fund’s participation in the co-investment program in the exercise of their reasonable business judgment.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(b)</w:t>
      </w:r>
      <w:r>
        <w:rPr>
          <w:rFonts w:ascii="Times New Roman" w:hAnsi="Times New Roman"/>
          <w:sz w:val="20"/>
        </w:rPr>
        <w:t xml:space="preserve"> </w:t>
      </w:r>
      <w:r>
        <w:rPr>
          <w:rFonts w:ascii="Times New Roman" w:hAnsi="Times New Roman"/>
          <w:strike/>
          <w:color w:val="FF0000"/>
          <w:sz w:val="20"/>
        </w:rPr>
        <w:t>(b)</w:t>
      </w:r>
      <w:r>
        <w:rPr>
          <w:rFonts w:ascii="Times New Roman" w:hAnsi="Times New Roman"/>
          <w:sz w:val="20"/>
        </w:rPr>
        <w:t xml:space="preserve"> Prior to a Regulated Fund’s participation in Co-Investment Transactions, the Regulated Fund’s Board, including a Required Majority, will: (i)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(c)</w:t>
      </w:r>
      <w:r>
        <w:rPr>
          <w:rFonts w:ascii="Times New Roman" w:hAnsi="Times New Roman"/>
          <w:sz w:val="20"/>
        </w:rPr>
        <w:t xml:space="preserve"> </w:t>
      </w:r>
      <w:r>
        <w:rPr>
          <w:rFonts w:ascii="Times New Roman" w:hAnsi="Times New Roman"/>
          <w:strike/>
          <w:color w:val="FF0000"/>
          <w:sz w:val="20"/>
        </w:rPr>
        <w:t>(c)</w:t>
      </w:r>
      <w:r>
        <w:rPr>
          <w:rFonts w:ascii="Times New Roman" w:hAnsi="Times New Roman"/>
          <w:sz w:val="20"/>
        </w:rPr>
        <w:t xml:space="preserve"> 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(d)</w:t>
      </w:r>
      <w:r>
        <w:rPr>
          <w:rFonts w:ascii="Times New Roman" w:hAnsi="Times New Roman"/>
          <w:sz w:val="20"/>
        </w:rPr>
        <w:t xml:space="preserve"> </w:t>
      </w:r>
      <w:r>
        <w:rPr>
          <w:rFonts w:ascii="Times New Roman" w:hAnsi="Times New Roman"/>
          <w:strike/>
          <w:color w:val="FF0000"/>
          <w:sz w:val="20"/>
        </w:rPr>
        <w:t>(d)</w:t>
      </w:r>
      <w:r>
        <w:rPr>
          <w:rFonts w:ascii="Times New Roman" w:hAnsi="Times New Roman"/>
          <w:sz w:val="20"/>
        </w:rPr>
        <w:t xml:space="preserve"> Every year, each Regulated Fund’s Adviser and chief compliance officer will provide the Regulated Fund’s Board with reports or other information requested by the Board related to the Regulated Fund’s participation in the co-investment program and any material changes in the Affiliated Entities’ participation in the co-investment program, including changes to the Affiliated Entities’ Co-Investment Policies.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(e)</w:t>
      </w:r>
      <w:r>
        <w:rPr>
          <w:rFonts w:ascii="Times New Roman" w:hAnsi="Times New Roman"/>
          <w:sz w:val="20"/>
        </w:rPr>
        <w:t xml:space="preserve"> </w:t>
      </w:r>
      <w:r>
        <w:rPr>
          <w:rFonts w:ascii="Times New Roman" w:hAnsi="Times New Roman"/>
          <w:strike/>
          <w:color w:val="FF0000"/>
          <w:sz w:val="20"/>
        </w:rPr>
        <w:t>(e)</w:t>
      </w:r>
      <w:r>
        <w:rPr>
          <w:rFonts w:ascii="Times New Roman" w:hAnsi="Times New Roman"/>
          <w:sz w:val="20"/>
        </w:rPr>
        <w:t xml:space="preserve"> 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8.</w:t>
      </w:r>
      <w:r>
        <w:rPr>
          <w:rFonts w:ascii="Times New Roman" w:hAnsi="Times New Roman"/>
          <w:strike/>
          <w:color w:val="FF0000"/>
          <w:sz w:val="20"/>
        </w:rPr>
        <w:t xml:space="preserve"> 8.</w:t>
      </w:r>
      <w:r>
        <w:rPr>
          <w:rFonts w:ascii="Times New Roman" w:hAnsi="Times New Roman"/>
          <w:sz w:val="20"/>
        </w:rPr>
        <w:t xml:space="preserve"> Recordkeeping. All information presented to the Board pursuant to the order will be kept for the life of the Regulated Fund and at least two years 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w:t>
      </w:r>
      <w:r>
        <w:rPr>
          <w:rFonts w:ascii="Times New Roman" w:hAnsi="Times New Roman"/>
          <w:strike/>
          <w:color w:val="FF0000"/>
          <w:sz w:val="20"/>
        </w:rPr>
        <w:t>19</w:t>
      </w:r>
      <w:r>
        <w:rPr>
          <w:rFonts w:ascii="Times New Roman" w:hAnsi="Times New Roman"/>
          <w:color w:val="0000FF"/>
          <w:sz w:val="20"/>
          <w:u w:val="single"/>
          <w:bdr w:val="double" w:sz="2" w:space="1" w:color="000000"/>
        </w:rPr>
        <w:t>21</w:t>
      </w:r>
      <w:r>
        <w:rPr>
          <w:rFonts w:ascii="Times New Roman" w:hAnsi="Times New Roman"/>
          <w:sz w:val="20"/>
        </w:rPr>
        <w:t xml:space="preserv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27"/>
        <w:gridCol w:w="9778"/>
      </w:tblGrid>
      <w:tr>
        <w:trPr/>
        <w:tc>
          <w:tcPr>
            <w:tcW w:w="427" w:type="dxa"/>
            <w:tcBorders/>
          </w:tcPr>
          <w:p>
            <w:pPr>
              <w:pStyle w:val="TableContents"/>
              <w:bidi w:val="0"/>
              <w:spacing w:before="0" w:after="283"/>
              <w:jc w:val="left"/>
              <w:rPr/>
            </w:pPr>
            <w:r>
              <w:rPr>
                <w:strike/>
                <w:color w:val="FF0000"/>
                <w:sz w:val="13"/>
              </w:rPr>
              <w:t>18</w:t>
            </w:r>
            <w:r>
              <w:rPr>
                <w:color w:val="0000FF"/>
                <w:u w:val="single"/>
                <w:bdr w:val="double" w:sz="2" w:space="1" w:color="000000"/>
              </w:rPr>
              <w:t xml:space="preserve">20 </w:t>
            </w:r>
            <w:r>
              <w:rPr/>
              <w:t> </w:t>
            </w:r>
          </w:p>
        </w:tc>
        <w:tc>
          <w:tcPr>
            <w:tcW w:w="9778" w:type="dxa"/>
            <w:tcBorders/>
          </w:tcPr>
          <w:p>
            <w:pPr>
              <w:pStyle w:val="TableContents"/>
              <w:bidi w:val="0"/>
              <w:spacing w:before="0" w:after="0"/>
              <w:jc w:val="left"/>
              <w:rPr/>
            </w:pPr>
            <w:r>
              <w:rPr/>
              <w:t>“</w:t>
            </w:r>
            <w:r>
              <w:rPr>
                <w:rFonts w:ascii="Times New Roman" w:hAnsi="Times New Roman"/>
                <w:b/>
                <w:i/>
                <w:sz w:val="20"/>
              </w:rPr>
              <w:t>Tradable Security</w:t>
            </w:r>
            <w:r>
              <w:rPr>
                <w:rFonts w:ascii="Times New Roman" w:hAnsi="Times New Roman"/>
                <w:sz w:val="20"/>
              </w:rPr>
              <w:t xml:space="preserve">”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 </w:t>
            </w:r>
          </w:p>
        </w:tc>
      </w:tr>
    </w:tbl>
    <w:tbl>
      <w:tblPr>
        <w:tblW w:w="5000" w:type="pct"/>
        <w:jc w:val="left"/>
        <w:tblInd w:w="0" w:type="dxa"/>
        <w:tblLayout w:type="fixed"/>
        <w:tblCellMar>
          <w:top w:w="0" w:type="dxa"/>
          <w:left w:w="0" w:type="dxa"/>
          <w:bottom w:w="0" w:type="dxa"/>
          <w:right w:w="0" w:type="dxa"/>
        </w:tblCellMar>
      </w:tblPr>
      <w:tblGrid>
        <w:gridCol w:w="431"/>
        <w:gridCol w:w="9774"/>
      </w:tblGrid>
      <w:tr>
        <w:trPr/>
        <w:tc>
          <w:tcPr>
            <w:tcW w:w="431" w:type="dxa"/>
            <w:tcBorders/>
          </w:tcPr>
          <w:p>
            <w:pPr>
              <w:pStyle w:val="TableContents"/>
              <w:bidi w:val="0"/>
              <w:spacing w:before="0" w:after="283"/>
              <w:jc w:val="left"/>
              <w:rPr/>
            </w:pPr>
            <w:r>
              <w:rPr>
                <w:strike/>
                <w:color w:val="FF0000"/>
                <w:sz w:val="13"/>
              </w:rPr>
              <w:t>19</w:t>
            </w:r>
            <w:r>
              <w:rPr>
                <w:color w:val="0000FF"/>
                <w:u w:val="single"/>
                <w:bdr w:val="double" w:sz="2" w:space="1" w:color="000000"/>
              </w:rPr>
              <w:t>21</w:t>
            </w:r>
          </w:p>
        </w:tc>
        <w:tc>
          <w:tcPr>
            <w:tcW w:w="97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9.</w:t>
      </w:r>
      <w:r>
        <w:rPr>
          <w:rFonts w:ascii="Times New Roman" w:hAnsi="Times New Roman"/>
          <w:strike/>
          <w:color w:val="FF0000"/>
          <w:sz w:val="20"/>
        </w:rPr>
        <w:t xml:space="preserve"> 9.</w:t>
      </w:r>
      <w:r>
        <w:rPr>
          <w:rFonts w:ascii="Times New Roman" w:hAnsi="Times New Roman"/>
          <w:sz w:val="20"/>
        </w:rPr>
        <w:t xml:space="preserve"> In the event that the Commission adopts a rule under the 1940 Act allowing co-investments of the type described in this Application, any relief granted by the Order will expire on the effective date of that rule.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color w:val="0000FF"/>
                <w:u w:val="single"/>
                <w:bdr w:val="double" w:sz="2" w:space="1" w:color="000000"/>
              </w:rPr>
            </w:pPr>
            <w:r>
              <w:rPr>
                <w:b/>
                <w:color w:val="0000FF"/>
                <w:u w:val="single"/>
                <w:bdr w:val="double" w:sz="2" w:space="1" w:color="000000"/>
              </w:rPr>
              <w:t>IV.</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trike/>
                <w:color w:val="FF0000"/>
                <w:sz w:val="20"/>
              </w:rPr>
              <w:t>IV.</w:t>
            </w:r>
            <w:r>
              <w:rPr>
                <w:rFonts w:ascii="Times New Roman" w:hAnsi="Times New Roman"/>
                <w:b/>
                <w:sz w:val="20"/>
              </w:rPr>
              <w:t xml:space="preserve"> </w:t>
            </w:r>
            <w:r>
              <w:rPr>
                <w:rFonts w:ascii="Times New Roman" w:hAnsi="Times New Roman"/>
                <w:b/>
                <w:sz w:val="20"/>
                <w:u w:val="single"/>
              </w:rPr>
              <w:t>STATEMENT IN SUPPORT OF RELIEF REQUESTED</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A.</w:t>
            </w:r>
            <w:r>
              <w:rPr>
                <w:rFonts w:ascii="Times New Roman" w:hAnsi="Times New Roman"/>
                <w:sz w:val="20"/>
              </w:rPr>
              <w:t xml:space="preserve"> </w:t>
            </w:r>
            <w:r>
              <w:rPr>
                <w:rFonts w:ascii="Times New Roman" w:hAnsi="Times New Roman"/>
                <w:sz w:val="20"/>
                <w:u w:val="single"/>
              </w:rPr>
              <w:t>Potential Benefits to the Regulated Funds and their Shareholders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B.</w:t>
            </w:r>
            <w:r>
              <w:rPr>
                <w:rFonts w:ascii="Times New Roman" w:hAnsi="Times New Roman"/>
                <w:sz w:val="20"/>
              </w:rPr>
              <w:t xml:space="preserve"> </w:t>
            </w:r>
            <w:r>
              <w:rPr>
                <w:rFonts w:ascii="Times New Roman" w:hAnsi="Times New Roman"/>
                <w:sz w:val="20"/>
                <w:u w:val="single"/>
              </w:rPr>
              <w:t>Shareholder Protections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Co-Investment Transaction would be subject to the terms and conditions of this Application. The Conditions are designed to address the concerns underlying Sections 17(d) and 57(a)(4) and Rule </w:t>
      </w:r>
      <w:r>
        <w:rPr>
          <w:rFonts w:ascii="Times New Roman" w:hAnsi="Times New Roman"/>
          <w:strike/>
          <w:color w:val="FF0000"/>
          <w:sz w:val="20"/>
        </w:rPr>
        <w:t>17d-1</w:t>
      </w:r>
      <w:r>
        <w:rPr>
          <w:rFonts w:ascii="Times New Roman" w:hAnsi="Times New Roman"/>
          <w:color w:val="0000FF"/>
          <w:sz w:val="20"/>
          <w:u w:val="single"/>
          <w:bdr w:val="double" w:sz="2" w:space="1" w:color="000000"/>
        </w:rPr>
        <w:t>17d-l</w:t>
      </w:r>
      <w:r>
        <w:rPr>
          <w:rFonts w:ascii="Times New Roman" w:hAnsi="Times New Roman"/>
          <w:sz w:val="20"/>
        </w:rPr>
        <w:t xml:space="preserve">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Co Investment Transaction considers the interest in the Transaction of any participating Regulated Fund. The Co-Investment Policies will require an Adviser to make an independent determination of the appropriateness of a Co-Investment Transaction and the proposed allocation size based on each Participant’s specific investment profile and other relevant characteristics.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color w:val="0000FF"/>
                <w:u w:val="single"/>
                <w:bdr w:val="double" w:sz="2" w:space="1" w:color="000000"/>
              </w:rPr>
            </w:pPr>
            <w:r>
              <w:rPr>
                <w:b/>
                <w:color w:val="0000FF"/>
                <w:u w:val="single"/>
                <w:bdr w:val="double" w:sz="2" w:space="1" w:color="000000"/>
              </w:rPr>
              <w:t>V.</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trike/>
                <w:color w:val="FF0000"/>
                <w:sz w:val="20"/>
              </w:rPr>
              <w:t>V.</w:t>
            </w:r>
            <w:r>
              <w:rPr>
                <w:rFonts w:ascii="Times New Roman" w:hAnsi="Times New Roman"/>
                <w:b/>
                <w:sz w:val="20"/>
              </w:rPr>
              <w:t xml:space="preserve"> </w:t>
            </w:r>
            <w:r>
              <w:rPr>
                <w:rFonts w:ascii="Times New Roman" w:hAnsi="Times New Roman"/>
                <w:b/>
                <w:sz w:val="20"/>
                <w:u w:val="single"/>
              </w:rPr>
              <w:t>PRECEDENTS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The Commission has previously issued orders permitting certain investment companies subject to regulation under the 1940 Act and their affiliated persons to be able to participate in Co-Investment Transactions (the “</w:t>
      </w:r>
      <w:r>
        <w:rPr>
          <w:rFonts w:ascii="Times New Roman" w:hAnsi="Times New Roman"/>
          <w:b/>
          <w:i/>
          <w:sz w:val="20"/>
        </w:rPr>
        <w:t>Existing Orders</w:t>
      </w:r>
      <w:r>
        <w:rPr>
          <w:rFonts w:ascii="Times New Roman" w:hAnsi="Times New Roman"/>
          <w:sz w:val="20"/>
        </w:rPr>
        <w:t>”).</w:t>
      </w:r>
      <w:r>
        <w:rPr>
          <w:rFonts w:ascii="Times New Roman" w:hAnsi="Times New Roman"/>
          <w:strike/>
          <w:color w:val="FF0000"/>
          <w:sz w:val="20"/>
        </w:rPr>
        <w:t>20</w:t>
      </w:r>
      <w:r>
        <w:rPr>
          <w:rFonts w:ascii="Times New Roman" w:hAnsi="Times New Roman"/>
          <w:color w:val="0000FF"/>
          <w:sz w:val="13"/>
          <w:u w:val="single"/>
          <w:bdr w:val="double" w:sz="2" w:space="1" w:color="000000"/>
        </w:rPr>
        <w:t xml:space="preserve">22 </w:t>
      </w:r>
      <w:r>
        <w:rPr>
          <w:rFonts w:ascii="Times New Roman" w:hAnsi="Times New Roman"/>
          <w:sz w:val="20"/>
        </w:rPr>
        <w:t xml:space="preserve">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12"/>
        <w:gridCol w:w="9793"/>
      </w:tblGrid>
      <w:tr>
        <w:trPr/>
        <w:tc>
          <w:tcPr>
            <w:tcW w:w="412" w:type="dxa"/>
            <w:tcBorders/>
          </w:tcPr>
          <w:p>
            <w:pPr>
              <w:pStyle w:val="TableContents"/>
              <w:bidi w:val="0"/>
              <w:spacing w:before="0" w:after="283"/>
              <w:jc w:val="left"/>
              <w:rPr/>
            </w:pPr>
            <w:r>
              <w:rPr>
                <w:strike/>
                <w:color w:val="FF0000"/>
                <w:sz w:val="13"/>
              </w:rPr>
              <w:t>20</w:t>
            </w:r>
            <w:r>
              <w:rPr>
                <w:color w:val="0000FF"/>
                <w:u w:val="single"/>
                <w:bdr w:val="double" w:sz="2" w:space="1" w:color="000000"/>
              </w:rPr>
              <w:t>22</w:t>
            </w:r>
          </w:p>
        </w:tc>
        <w:tc>
          <w:tcPr>
            <w:tcW w:w="9793" w:type="dxa"/>
            <w:tcBorders/>
          </w:tcPr>
          <w:p>
            <w:pPr>
              <w:pStyle w:val="TableContents"/>
              <w:bidi w:val="0"/>
              <w:spacing w:before="0" w:after="0"/>
              <w:jc w:val="left"/>
              <w:rPr>
                <w:rFonts w:ascii="Times New Roman" w:hAnsi="Times New Roman"/>
                <w:sz w:val="20"/>
              </w:rPr>
            </w:pPr>
            <w:r>
              <w:rPr>
                <w:rFonts w:ascii="Times New Roman" w:hAnsi="Times New Roman"/>
                <w:i/>
                <w:sz w:val="20"/>
              </w:rPr>
              <w:t>See, e.g.,</w:t>
            </w:r>
            <w:r>
              <w:rPr>
                <w:rFonts w:ascii="Times New Roman" w:hAnsi="Times New Roman"/>
                <w:sz w:val="20"/>
              </w:rPr>
              <w:t xml:space="preserve"> FS Credit Opportunities Corp., et al. (File No. 812-15706), Release No. IC-35520 (April 3, 2025) (notice), Release No. IC-35561 (April 29, 2025) (order); Sixth Street Specialty Lending, Inc. et al. (File No. 812-15729), Release No. IC-35531 (April 10, 2025) (notice), Release No. IC-35570 (May 6, 2025) (order); Blue Owl Capital Corporation, et al. (File No. 812-15715), Release No. IC-35530 (April 9, 2025) (notice), Release No. IC-35573 (May 6, 2025) (order); BlackRock Growth Equity Fund LP, et al. (File No. 812-15712), Release No. IC-35525 (April 8, 2025) (notice), Release No. IC-35572 (May 6, 2025) (order).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color w:val="0000FF"/>
                <w:u w:val="single"/>
                <w:bdr w:val="double" w:sz="2" w:space="1" w:color="000000"/>
              </w:rPr>
            </w:pPr>
            <w:r>
              <w:rPr>
                <w:b/>
                <w:color w:val="0000FF"/>
                <w:u w:val="single"/>
                <w:bdr w:val="double" w:sz="2" w:space="1" w:color="000000"/>
              </w:rPr>
              <w:t>VI.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trike/>
                <w:color w:val="FF0000"/>
                <w:sz w:val="20"/>
              </w:rPr>
              <w:t>VI.</w:t>
            </w:r>
            <w:r>
              <w:rPr>
                <w:rFonts w:ascii="Times New Roman" w:hAnsi="Times New Roman"/>
                <w:b/>
                <w:sz w:val="20"/>
              </w:rPr>
              <w:t xml:space="preserve"> PROCEDURAL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A.</w:t>
            </w:r>
            <w:r>
              <w:rPr>
                <w:rFonts w:ascii="Times New Roman" w:hAnsi="Times New Roman"/>
                <w:sz w:val="20"/>
              </w:rPr>
              <w:t xml:space="preserve"> Communications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Please address all communications concerning this Application, the Notice and the Order to: </w:t>
      </w:r>
    </w:p>
    <w:p>
      <w:pPr>
        <w:pStyle w:val="TextBody"/>
        <w:bidi w:val="0"/>
        <w:spacing w:before="240" w:after="0"/>
        <w:jc w:val="center"/>
        <w:rPr>
          <w:rFonts w:ascii="Times New Roman" w:hAnsi="Times New Roman"/>
          <w:sz w:val="20"/>
        </w:rPr>
      </w:pPr>
      <w:r>
        <w:rPr>
          <w:rFonts w:ascii="Times New Roman" w:hAnsi="Times New Roman"/>
          <w:color w:val="0000FF"/>
          <w:sz w:val="20"/>
          <w:u w:val="single"/>
          <w:bdr w:val="double" w:sz="2" w:space="1" w:color="000000"/>
        </w:rPr>
        <w:t>Edward H. Ross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Chief Executive Officer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Fidus Investment Corporation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1603 Orrington Avenue, Suite 1005</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Evanston, Illinois 60201</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(847) 859-3940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eross@fidusinv.com</w:t>
      </w:r>
      <w:r>
        <w:rPr>
          <w:rFonts w:ascii="Times New Roman" w:hAnsi="Times New Roman"/>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Jason Emala, Esq.</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Bluerock Asset Management, LLC</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919 Third Avenue, 40th Floor</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New York, NY 10022</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Telephone: (212) 843-1601</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Please address any questions, and a copy of any communications, concerning this Application, the Notice, and the Order to: </w:t>
      </w:r>
    </w:p>
    <w:p>
      <w:pPr>
        <w:pStyle w:val="TextBody"/>
        <w:bidi w:val="0"/>
        <w:spacing w:before="240" w:after="0"/>
        <w:jc w:val="center"/>
        <w:rPr>
          <w:rFonts w:ascii="Times New Roman" w:hAnsi="Times New Roman"/>
          <w:sz w:val="20"/>
        </w:rPr>
      </w:pPr>
      <w:r>
        <w:rPr>
          <w:rFonts w:ascii="Times New Roman" w:hAnsi="Times New Roman"/>
          <w:color w:val="0000FF"/>
          <w:sz w:val="20"/>
          <w:u w:val="single"/>
          <w:bdr w:val="double" w:sz="2" w:space="1" w:color="000000"/>
        </w:rPr>
        <w:t>Steven B. Boehm</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Anne G. Oberndorf</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Payam Siadatpour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Sara Sabour</w:t>
      </w:r>
      <w:r>
        <w:rPr>
          <w:rFonts w:ascii="Times New Roman" w:hAnsi="Times New Roman"/>
          <w:sz w:val="20"/>
        </w:rPr>
        <w:t xml:space="preserve"> </w:t>
      </w:r>
      <w:r>
        <w:rPr>
          <w:rFonts w:ascii="Times New Roman" w:hAnsi="Times New Roman"/>
          <w:color w:val="0000FF"/>
          <w:sz w:val="20"/>
          <w:u w:val="single"/>
          <w:bdr w:val="double" w:sz="2" w:space="1" w:color="000000"/>
        </w:rPr>
        <w:t>Nasseri, Esq.</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Eversheds Sutherland (US) LLP</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700 6</w:t>
      </w:r>
      <w:r>
        <w:rPr>
          <w:rFonts w:ascii="Times New Roman" w:hAnsi="Times New Roman"/>
          <w:sz w:val="20"/>
        </w:rPr>
        <w:t>th</w:t>
      </w:r>
      <w:r>
        <w:rPr>
          <w:rFonts w:ascii="Times New Roman" w:hAnsi="Times New Roman"/>
          <w:color w:val="0000FF"/>
          <w:sz w:val="20"/>
          <w:u w:val="single"/>
          <w:bdr w:val="double" w:sz="2" w:space="1" w:color="000000"/>
        </w:rPr>
        <w:t xml:space="preserve"> Street, N.W.</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Washington, D.C. 20001</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(202) 383-0100</w:t>
      </w:r>
      <w:r>
        <w:rPr>
          <w:rFonts w:ascii="Times New Roman" w:hAnsi="Times New Roman"/>
          <w:sz w:val="20"/>
        </w:rPr>
        <w:t xml:space="preserve"> </w:t>
      </w:r>
    </w:p>
    <w:p>
      <w:pPr>
        <w:pStyle w:val="TextBody"/>
        <w:bidi w:val="0"/>
        <w:spacing w:before="0" w:after="0"/>
        <w:jc w:val="center"/>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anneoberndorf@eversheds-sutherland.us </w:t>
      </w:r>
    </w:p>
    <w:p>
      <w:pPr>
        <w:pStyle w:val="TextBody"/>
        <w:bidi w:val="0"/>
        <w:spacing w:before="240" w:after="0"/>
        <w:jc w:val="left"/>
        <w:rPr>
          <w:rFonts w:ascii="Times New Roman" w:hAnsi="Times New Roman"/>
          <w:b/>
          <w:sz w:val="20"/>
        </w:rPr>
      </w:pPr>
      <w:r>
        <w:rPr>
          <w:rFonts w:ascii="Times New Roman" w:hAnsi="Times New Roman"/>
          <w:b/>
          <w:strike/>
          <w:color w:val="FF0000"/>
          <w:sz w:val="20"/>
        </w:rPr>
        <w:t>Nicole Simon</w:t>
      </w:r>
      <w:r>
        <w:rPr>
          <w:rFonts w:ascii="Times New Roman" w:hAnsi="Times New Roman"/>
          <w:b/>
          <w:sz w:val="20"/>
        </w:rPr>
        <w:t xml:space="preserve"> </w:t>
      </w:r>
    </w:p>
    <w:p>
      <w:pPr>
        <w:pStyle w:val="TextBody"/>
        <w:bidi w:val="0"/>
        <w:spacing w:before="0" w:after="0"/>
        <w:jc w:val="left"/>
        <w:rPr>
          <w:rFonts w:ascii="Times New Roman" w:hAnsi="Times New Roman"/>
          <w:b/>
          <w:sz w:val="20"/>
        </w:rPr>
      </w:pPr>
      <w:r>
        <w:rPr>
          <w:rFonts w:ascii="Times New Roman" w:hAnsi="Times New Roman"/>
          <w:b/>
          <w:strike/>
          <w:color w:val="FF0000"/>
          <w:sz w:val="20"/>
        </w:rPr>
        <w:t>Stradley Ronon Stevens &amp; Young, LLP</w:t>
      </w:r>
      <w:r>
        <w:rPr>
          <w:rFonts w:ascii="Times New Roman" w:hAnsi="Times New Roman"/>
          <w:b/>
          <w:sz w:val="20"/>
        </w:rPr>
        <w:t xml:space="preserve"> </w:t>
      </w:r>
    </w:p>
    <w:p>
      <w:pPr>
        <w:pStyle w:val="TextBody"/>
        <w:bidi w:val="0"/>
        <w:spacing w:before="0" w:after="0"/>
        <w:jc w:val="left"/>
        <w:rPr>
          <w:rFonts w:ascii="Times New Roman" w:hAnsi="Times New Roman"/>
          <w:b/>
          <w:sz w:val="20"/>
        </w:rPr>
      </w:pPr>
      <w:r>
        <w:rPr>
          <w:rFonts w:ascii="Times New Roman" w:hAnsi="Times New Roman"/>
          <w:b/>
          <w:strike/>
          <w:color w:val="FF0000"/>
          <w:sz w:val="20"/>
        </w:rPr>
        <w:t>100 Park Avenue, Suite 2000</w:t>
      </w:r>
      <w:r>
        <w:rPr>
          <w:rFonts w:ascii="Times New Roman" w:hAnsi="Times New Roman"/>
          <w:b/>
          <w:sz w:val="20"/>
        </w:rPr>
        <w:t xml:space="preserve"> </w:t>
      </w:r>
    </w:p>
    <w:p>
      <w:pPr>
        <w:pStyle w:val="TextBody"/>
        <w:bidi w:val="0"/>
        <w:spacing w:before="0" w:after="0"/>
        <w:jc w:val="left"/>
        <w:rPr>
          <w:rFonts w:ascii="Times New Roman" w:hAnsi="Times New Roman"/>
          <w:b/>
          <w:sz w:val="20"/>
        </w:rPr>
      </w:pPr>
      <w:r>
        <w:rPr>
          <w:rFonts w:ascii="Times New Roman" w:hAnsi="Times New Roman"/>
          <w:b/>
          <w:strike/>
          <w:color w:val="FF0000"/>
          <w:sz w:val="20"/>
        </w:rPr>
        <w:t>New York, NY 10017</w:t>
      </w:r>
      <w:r>
        <w:rPr>
          <w:rFonts w:ascii="Times New Roman" w:hAnsi="Times New Roman"/>
          <w:b/>
          <w:sz w:val="20"/>
        </w:rPr>
        <w:t xml:space="preserve"> </w:t>
      </w:r>
    </w:p>
    <w:p>
      <w:pPr>
        <w:pStyle w:val="TextBody"/>
        <w:bidi w:val="0"/>
        <w:spacing w:before="0" w:after="0"/>
        <w:jc w:val="left"/>
        <w:rPr>
          <w:rFonts w:ascii="Times New Roman" w:hAnsi="Times New Roman"/>
          <w:b/>
          <w:sz w:val="20"/>
        </w:rPr>
      </w:pPr>
      <w:r>
        <w:rPr>
          <w:rFonts w:ascii="Times New Roman" w:hAnsi="Times New Roman"/>
          <w:b/>
          <w:strike/>
          <w:color w:val="FF0000"/>
          <w:sz w:val="20"/>
        </w:rPr>
        <w:t>Telephone: (212) 812-4137</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B.</w:t>
            </w:r>
            <w:r>
              <w:rPr>
                <w:rFonts w:ascii="Times New Roman" w:hAnsi="Times New Roman"/>
                <w:sz w:val="20"/>
              </w:rPr>
              <w:t xml:space="preserve"> </w:t>
            </w:r>
            <w:r>
              <w:rPr>
                <w:rFonts w:ascii="Times New Roman" w:hAnsi="Times New Roman"/>
                <w:sz w:val="20"/>
                <w:u w:val="single"/>
              </w:rPr>
              <w:t>Authorizations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filing of this Application for the Order sought hereby and the taking of all acts reasonably necessary to obtain the relief requested herein was authorized by the Board of each Existing Regulated Fund pursuant to resolutions duly adopted by the Board. Copies of the resolutions are provided below.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0-2(c), Applicants hereby state that each Applicant has authorized to cause to be prepared and to execute and file with the Commission this Application and any amendment thereto for an order pursuant to Sections 17(d) and 57(i) and Rule 17d-1 permitting certain joint transactions otherwise prohibited by Sections 17(d) and 57(a)(4) and Rule 17d-1. The person executing the Application on behalf of the Applicants being duly sworn deposes and says that he has duly executed the Application for and on behalf of the applicable entity listed; that he is authorized to execute the Application pursuant to the terms of an operating agreement, management agreement or otherwise; and that all actions by members, directors or other bodies necessary to authorize each such deponent to execute and file the Application have been taken.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In accordance with the requirements for a request for expedited review of this Application, marked copies of two recent applications seeking the same relief as Applicants that are substantially identical as required by Rule 0-5(e) of the 1940 Act are attached as Exhibit 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Applicants have caused this</w:t>
      </w:r>
      <w:r>
        <w:rPr>
          <w:rFonts w:ascii="Times New Roman" w:hAnsi="Times New Roman"/>
          <w:strike/>
          <w:color w:val="FF0000"/>
          <w:sz w:val="20"/>
        </w:rPr>
        <w:t xml:space="preserve"> Amendment No. 4 to the</w:t>
      </w:r>
      <w:r>
        <w:rPr>
          <w:rFonts w:ascii="Times New Roman" w:hAnsi="Times New Roman"/>
          <w:sz w:val="20"/>
        </w:rPr>
        <w:t xml:space="preserve"> Application to be duly signed on their behalf on the </w:t>
      </w:r>
      <w:r>
        <w:rPr>
          <w:rFonts w:ascii="Times New Roman" w:hAnsi="Times New Roman"/>
          <w:strike/>
          <w:color w:val="FF0000"/>
          <w:sz w:val="20"/>
        </w:rPr>
        <w:t>8th</w:t>
      </w:r>
      <w:r>
        <w:rPr>
          <w:rFonts w:ascii="Times New Roman" w:hAnsi="Times New Roman"/>
          <w:color w:val="0000FF"/>
          <w:sz w:val="20"/>
          <w:u w:val="single"/>
          <w:bdr w:val="double" w:sz="2" w:space="1" w:color="000000"/>
        </w:rPr>
        <w:t>28th</w:t>
      </w:r>
      <w:r>
        <w:rPr>
          <w:rFonts w:ascii="Times New Roman" w:hAnsi="Times New Roman"/>
          <w:sz w:val="20"/>
        </w:rPr>
        <w:t xml:space="preserve"> day of</w:t>
      </w:r>
      <w:r>
        <w:rPr>
          <w:rFonts w:ascii="Times New Roman" w:hAnsi="Times New Roman"/>
          <w:strike/>
          <w:color w:val="FF0000"/>
          <w:sz w:val="20"/>
        </w:rPr>
        <w:t xml:space="preserve"> June</w:t>
      </w:r>
      <w:r>
        <w:rPr>
          <w:rFonts w:ascii="Times New Roman" w:hAnsi="Times New Roman"/>
          <w:color w:val="0000FF"/>
          <w:sz w:val="20"/>
          <w:u w:val="single"/>
          <w:bdr w:val="double" w:sz="2" w:space="1" w:color="000000"/>
        </w:rPr>
        <w:t>August</w:t>
      </w:r>
      <w:r>
        <w:rPr>
          <w:rFonts w:ascii="Times New Roman" w:hAnsi="Times New Roman"/>
          <w:sz w:val="20"/>
        </w:rPr>
        <w:t xml:space="preserve">, 2026. </w:t>
      </w:r>
    </w:p>
    <w:p>
      <w:pPr>
        <w:pStyle w:val="TextBody"/>
        <w:bidi w:val="0"/>
        <w:spacing w:before="0" w:after="0"/>
        <w:jc w:val="left"/>
        <w:rPr/>
      </w:pPr>
      <w:r>
        <w:rPr/>
        <w:t> </w:t>
      </w:r>
    </w:p>
    <w:tbl>
      <w:tblPr>
        <w:tblW w:w="3250" w:type="pct"/>
        <w:jc w:val="left"/>
        <w:tblInd w:w="0" w:type="dxa"/>
        <w:tblLayout w:type="fixed"/>
        <w:tblCellMar>
          <w:top w:w="0" w:type="dxa"/>
          <w:left w:w="0" w:type="dxa"/>
          <w:bottom w:w="0" w:type="dxa"/>
          <w:right w:w="0" w:type="dxa"/>
        </w:tblCellMar>
      </w:tblPr>
      <w:tblGrid>
        <w:gridCol w:w="861"/>
        <w:gridCol w:w="66"/>
        <w:gridCol w:w="5706"/>
      </w:tblGrid>
      <w:tr>
        <w:trPr/>
        <w:tc>
          <w:tcPr>
            <w:tcW w:w="861"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5706" w:type="dxa"/>
            <w:tcBorders/>
            <w:vAlign w:val="center"/>
          </w:tcPr>
          <w:p>
            <w:pPr>
              <w:pStyle w:val="TableContents"/>
              <w:bidi w:val="0"/>
              <w:spacing w:before="0" w:after="283"/>
              <w:jc w:val="left"/>
              <w:rPr>
                <w:sz w:val="4"/>
                <w:szCs w:val="4"/>
              </w:rPr>
            </w:pPr>
            <w:r>
              <w:rPr>
                <w:sz w:val="4"/>
                <w:szCs w:val="4"/>
              </w:rPr>
            </w:r>
          </w:p>
        </w:tc>
      </w:tr>
      <w:tr>
        <w:trPr/>
        <w:tc>
          <w:tcPr>
            <w:tcW w:w="6633" w:type="dxa"/>
            <w:gridSpan w:val="3"/>
            <w:tcBorders/>
          </w:tcPr>
          <w:p>
            <w:pPr>
              <w:pStyle w:val="TableContents"/>
              <w:bidi w:val="0"/>
              <w:spacing w:before="0" w:after="283"/>
              <w:jc w:val="left"/>
              <w:rPr>
                <w:b/>
                <w:strike/>
                <w:color w:val="FF0000"/>
              </w:rPr>
            </w:pPr>
            <w:r>
              <w:rPr>
                <w:b/>
                <w:strike/>
                <w:color w:val="FF0000"/>
              </w:rPr>
              <w:t>Bluerock Private Real Estate Fund (formerly, Bluerock Total Income+ Real Estate Fund)</w:t>
            </w:r>
          </w:p>
        </w:tc>
      </w:tr>
      <w:tr>
        <w:trPr>
          <w:trHeight w:val="240" w:hRule="atLeast"/>
        </w:trPr>
        <w:tc>
          <w:tcPr>
            <w:tcW w:w="861" w:type="dxa"/>
            <w:tcBorders/>
            <w:vAlign w:val="center"/>
          </w:tcPr>
          <w:p>
            <w:pPr>
              <w:pStyle w:val="TableContents"/>
              <w:bidi w:val="0"/>
              <w:spacing w:before="0" w:after="283"/>
              <w:jc w:val="left"/>
              <w:rPr>
                <w:sz w:val="4"/>
                <w:szCs w:val="4"/>
              </w:rPr>
            </w:pPr>
            <w:r>
              <w:rPr>
                <w:sz w:val="4"/>
                <w:szCs w:val="4"/>
              </w:rPr>
            </w:r>
          </w:p>
        </w:tc>
        <w:tc>
          <w:tcPr>
            <w:tcW w:w="5772"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tcPr>
          <w:p>
            <w:pPr>
              <w:pStyle w:val="TableContents"/>
              <w:bidi w:val="0"/>
              <w:spacing w:before="0" w:after="283"/>
              <w:jc w:val="left"/>
              <w:rPr>
                <w:strike/>
                <w:color w:val="FF0000"/>
              </w:rPr>
            </w:pPr>
            <w:r>
              <w:rPr>
                <w:strike/>
                <w:color w:val="FF0000"/>
              </w:rPr>
              <w:t>By:</w:t>
            </w:r>
          </w:p>
        </w:tc>
        <w:tc>
          <w:tcPr>
            <w:tcW w:w="66" w:type="dxa"/>
            <w:tcBorders/>
            <w:vAlign w:val="bottom"/>
          </w:tcPr>
          <w:p>
            <w:pPr>
              <w:pStyle w:val="TableContents"/>
              <w:bidi w:val="0"/>
              <w:spacing w:before="0" w:after="283"/>
              <w:jc w:val="left"/>
              <w:rPr/>
            </w:pPr>
            <w:r>
              <w:rPr/>
              <w:t> </w:t>
            </w:r>
          </w:p>
        </w:tc>
        <w:tc>
          <w:tcPr>
            <w:tcW w:w="5706"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Jordan Ruddy</w:t>
            </w:r>
          </w:p>
        </w:tc>
      </w:tr>
      <w:tr>
        <w:trPr/>
        <w:tc>
          <w:tcPr>
            <w:tcW w:w="861" w:type="dxa"/>
            <w:tcBorders/>
          </w:tcPr>
          <w:p>
            <w:pPr>
              <w:pStyle w:val="TableContents"/>
              <w:bidi w:val="0"/>
              <w:spacing w:before="0" w:after="283"/>
              <w:jc w:val="left"/>
              <w:rPr>
                <w:strike/>
                <w:color w:val="FF0000"/>
              </w:rPr>
            </w:pPr>
            <w:r>
              <w:rPr>
                <w:strike/>
                <w:color w:val="FF0000"/>
              </w:rPr>
              <w:t>Name:</w:t>
            </w:r>
          </w:p>
        </w:tc>
        <w:tc>
          <w:tcPr>
            <w:tcW w:w="66" w:type="dxa"/>
            <w:tcBorders/>
            <w:vAlign w:val="bottom"/>
          </w:tcPr>
          <w:p>
            <w:pPr>
              <w:pStyle w:val="TableContents"/>
              <w:bidi w:val="0"/>
              <w:spacing w:before="0" w:after="283"/>
              <w:jc w:val="left"/>
              <w:rPr/>
            </w:pPr>
            <w:r>
              <w:rPr/>
              <w:t> </w:t>
            </w:r>
          </w:p>
        </w:tc>
        <w:tc>
          <w:tcPr>
            <w:tcW w:w="5706" w:type="dxa"/>
            <w:tcBorders/>
          </w:tcPr>
          <w:p>
            <w:pPr>
              <w:pStyle w:val="TableContents"/>
              <w:bidi w:val="0"/>
              <w:spacing w:before="0" w:after="283"/>
              <w:jc w:val="left"/>
              <w:rPr>
                <w:strike/>
                <w:color w:val="FF0000"/>
              </w:rPr>
            </w:pPr>
            <w:r>
              <w:rPr>
                <w:strike/>
                <w:color w:val="FF0000"/>
              </w:rPr>
              <w:t>Jordan Ruddy</w:t>
            </w:r>
          </w:p>
        </w:tc>
      </w:tr>
      <w:tr>
        <w:trPr/>
        <w:tc>
          <w:tcPr>
            <w:tcW w:w="861" w:type="dxa"/>
            <w:tcBorders/>
          </w:tcPr>
          <w:p>
            <w:pPr>
              <w:pStyle w:val="TableContents"/>
              <w:bidi w:val="0"/>
              <w:spacing w:before="0" w:after="283"/>
              <w:jc w:val="left"/>
              <w:rPr>
                <w:strike/>
                <w:color w:val="FF0000"/>
              </w:rPr>
            </w:pPr>
            <w:r>
              <w:rPr>
                <w:strike/>
                <w:color w:val="FF0000"/>
              </w:rPr>
              <w:t>Title:</w:t>
            </w:r>
          </w:p>
        </w:tc>
        <w:tc>
          <w:tcPr>
            <w:tcW w:w="66" w:type="dxa"/>
            <w:tcBorders/>
            <w:vAlign w:val="bottom"/>
          </w:tcPr>
          <w:p>
            <w:pPr>
              <w:pStyle w:val="TableContents"/>
              <w:bidi w:val="0"/>
              <w:spacing w:before="0" w:after="283"/>
              <w:jc w:val="left"/>
              <w:rPr/>
            </w:pPr>
            <w:r>
              <w:rPr/>
              <w:t> </w:t>
            </w:r>
          </w:p>
        </w:tc>
        <w:tc>
          <w:tcPr>
            <w:tcW w:w="5706" w:type="dxa"/>
            <w:tcBorders/>
          </w:tcPr>
          <w:p>
            <w:pPr>
              <w:pStyle w:val="TableContents"/>
              <w:bidi w:val="0"/>
              <w:spacing w:before="0" w:after="283"/>
              <w:jc w:val="left"/>
              <w:rPr>
                <w:strike/>
                <w:color w:val="FF0000"/>
              </w:rPr>
            </w:pPr>
            <w:r>
              <w:rPr>
                <w:strike/>
                <w:color w:val="FF0000"/>
              </w:rPr>
              <w:t>President</w:t>
            </w:r>
          </w:p>
        </w:tc>
      </w:tr>
      <w:tr>
        <w:trPr>
          <w:trHeight w:val="240" w:hRule="atLeast"/>
        </w:trPr>
        <w:tc>
          <w:tcPr>
            <w:tcW w:w="6633" w:type="dxa"/>
            <w:gridSpan w:val="3"/>
            <w:tcBorders/>
            <w:vAlign w:val="center"/>
          </w:tcPr>
          <w:p>
            <w:pPr>
              <w:pStyle w:val="TableContents"/>
              <w:bidi w:val="0"/>
              <w:spacing w:before="0" w:after="283"/>
              <w:jc w:val="left"/>
              <w:rPr>
                <w:sz w:val="4"/>
                <w:szCs w:val="4"/>
              </w:rPr>
            </w:pPr>
            <w:r>
              <w:rPr>
                <w:sz w:val="4"/>
                <w:szCs w:val="4"/>
              </w:rPr>
            </w:r>
          </w:p>
        </w:tc>
      </w:tr>
      <w:tr>
        <w:trPr/>
        <w:tc>
          <w:tcPr>
            <w:tcW w:w="6633" w:type="dxa"/>
            <w:gridSpan w:val="3"/>
            <w:tcBorders/>
          </w:tcPr>
          <w:p>
            <w:pPr>
              <w:pStyle w:val="TableContents"/>
              <w:bidi w:val="0"/>
              <w:spacing w:before="0" w:after="283"/>
              <w:jc w:val="left"/>
              <w:rPr>
                <w:b/>
                <w:strike/>
                <w:color w:val="FF0000"/>
              </w:rPr>
            </w:pPr>
            <w:r>
              <w:rPr>
                <w:b/>
                <w:strike/>
                <w:color w:val="FF0000"/>
              </w:rPr>
              <w:t>Bluerock High Income Institutional Credit Fund</w:t>
            </w:r>
          </w:p>
        </w:tc>
      </w:tr>
      <w:tr>
        <w:trPr>
          <w:trHeight w:val="240" w:hRule="atLeast"/>
        </w:trPr>
        <w:tc>
          <w:tcPr>
            <w:tcW w:w="861" w:type="dxa"/>
            <w:tcBorders/>
            <w:vAlign w:val="center"/>
          </w:tcPr>
          <w:p>
            <w:pPr>
              <w:pStyle w:val="TableContents"/>
              <w:bidi w:val="0"/>
              <w:spacing w:before="0" w:after="283"/>
              <w:jc w:val="left"/>
              <w:rPr>
                <w:sz w:val="4"/>
                <w:szCs w:val="4"/>
              </w:rPr>
            </w:pPr>
            <w:r>
              <w:rPr>
                <w:sz w:val="4"/>
                <w:szCs w:val="4"/>
              </w:rPr>
            </w:r>
          </w:p>
        </w:tc>
        <w:tc>
          <w:tcPr>
            <w:tcW w:w="5772"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tcPr>
          <w:p>
            <w:pPr>
              <w:pStyle w:val="TableContents"/>
              <w:bidi w:val="0"/>
              <w:spacing w:before="0" w:after="283"/>
              <w:jc w:val="left"/>
              <w:rPr>
                <w:strike/>
                <w:color w:val="FF0000"/>
              </w:rPr>
            </w:pPr>
            <w:r>
              <w:rPr>
                <w:strike/>
                <w:color w:val="FF0000"/>
              </w:rPr>
              <w:t>By:</w:t>
            </w:r>
          </w:p>
        </w:tc>
        <w:tc>
          <w:tcPr>
            <w:tcW w:w="66" w:type="dxa"/>
            <w:tcBorders/>
            <w:vAlign w:val="bottom"/>
          </w:tcPr>
          <w:p>
            <w:pPr>
              <w:pStyle w:val="TableContents"/>
              <w:bidi w:val="0"/>
              <w:spacing w:before="0" w:after="283"/>
              <w:jc w:val="left"/>
              <w:rPr/>
            </w:pPr>
            <w:r>
              <w:rPr/>
              <w:t> </w:t>
            </w:r>
          </w:p>
        </w:tc>
        <w:tc>
          <w:tcPr>
            <w:tcW w:w="5706"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Jordan Ruddy</w:t>
            </w:r>
          </w:p>
        </w:tc>
      </w:tr>
      <w:tr>
        <w:trPr/>
        <w:tc>
          <w:tcPr>
            <w:tcW w:w="861" w:type="dxa"/>
            <w:tcBorders/>
          </w:tcPr>
          <w:p>
            <w:pPr>
              <w:pStyle w:val="TableContents"/>
              <w:bidi w:val="0"/>
              <w:spacing w:before="0" w:after="283"/>
              <w:jc w:val="left"/>
              <w:rPr>
                <w:strike/>
                <w:color w:val="FF0000"/>
              </w:rPr>
            </w:pPr>
            <w:r>
              <w:rPr>
                <w:strike/>
                <w:color w:val="FF0000"/>
              </w:rPr>
              <w:t>Name:</w:t>
            </w:r>
          </w:p>
        </w:tc>
        <w:tc>
          <w:tcPr>
            <w:tcW w:w="66" w:type="dxa"/>
            <w:tcBorders/>
            <w:vAlign w:val="bottom"/>
          </w:tcPr>
          <w:p>
            <w:pPr>
              <w:pStyle w:val="TableContents"/>
              <w:bidi w:val="0"/>
              <w:spacing w:before="0" w:after="283"/>
              <w:jc w:val="left"/>
              <w:rPr/>
            </w:pPr>
            <w:r>
              <w:rPr/>
              <w:t> </w:t>
            </w:r>
          </w:p>
        </w:tc>
        <w:tc>
          <w:tcPr>
            <w:tcW w:w="5706" w:type="dxa"/>
            <w:tcBorders/>
          </w:tcPr>
          <w:p>
            <w:pPr>
              <w:pStyle w:val="TableContents"/>
              <w:bidi w:val="0"/>
              <w:spacing w:before="0" w:after="283"/>
              <w:jc w:val="left"/>
              <w:rPr>
                <w:strike/>
                <w:color w:val="FF0000"/>
              </w:rPr>
            </w:pPr>
            <w:r>
              <w:rPr>
                <w:strike/>
                <w:color w:val="FF0000"/>
              </w:rPr>
              <w:t>Jordan Ruddy</w:t>
            </w:r>
          </w:p>
        </w:tc>
      </w:tr>
      <w:tr>
        <w:trPr/>
        <w:tc>
          <w:tcPr>
            <w:tcW w:w="861" w:type="dxa"/>
            <w:tcBorders/>
          </w:tcPr>
          <w:p>
            <w:pPr>
              <w:pStyle w:val="TableContents"/>
              <w:bidi w:val="0"/>
              <w:spacing w:before="0" w:after="283"/>
              <w:jc w:val="left"/>
              <w:rPr>
                <w:strike/>
                <w:color w:val="FF0000"/>
              </w:rPr>
            </w:pPr>
            <w:r>
              <w:rPr>
                <w:strike/>
                <w:color w:val="FF0000"/>
              </w:rPr>
              <w:t>Title:</w:t>
            </w:r>
          </w:p>
        </w:tc>
        <w:tc>
          <w:tcPr>
            <w:tcW w:w="66" w:type="dxa"/>
            <w:tcBorders/>
            <w:vAlign w:val="bottom"/>
          </w:tcPr>
          <w:p>
            <w:pPr>
              <w:pStyle w:val="TableContents"/>
              <w:bidi w:val="0"/>
              <w:spacing w:before="0" w:after="283"/>
              <w:jc w:val="left"/>
              <w:rPr/>
            </w:pPr>
            <w:r>
              <w:rPr/>
              <w:t> </w:t>
            </w:r>
          </w:p>
        </w:tc>
        <w:tc>
          <w:tcPr>
            <w:tcW w:w="5706" w:type="dxa"/>
            <w:tcBorders/>
          </w:tcPr>
          <w:p>
            <w:pPr>
              <w:pStyle w:val="TableContents"/>
              <w:bidi w:val="0"/>
              <w:spacing w:before="0" w:after="283"/>
              <w:jc w:val="left"/>
              <w:rPr>
                <w:strike/>
                <w:color w:val="FF0000"/>
              </w:rPr>
            </w:pPr>
            <w:r>
              <w:rPr>
                <w:strike/>
                <w:color w:val="FF0000"/>
              </w:rPr>
              <w:t>President</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81"/>
        <w:gridCol w:w="91"/>
        <w:gridCol w:w="3410"/>
      </w:tblGrid>
      <w:tr>
        <w:trPr/>
        <w:tc>
          <w:tcPr>
            <w:tcW w:w="581"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INVESTMENT CORPORATION</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581"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 Edward H. Ross</w:t>
            </w:r>
          </w:p>
        </w:tc>
      </w:tr>
      <w:tr>
        <w:trPr/>
        <w:tc>
          <w:tcPr>
            <w:tcW w:w="581"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283"/>
              <w:jc w:val="left"/>
              <w:rPr/>
            </w:pPr>
            <w:r>
              <w:rPr>
                <w:color w:val="0000FF"/>
                <w:u w:val="single"/>
                <w:bdr w:val="double" w:sz="2" w:space="1" w:color="000000"/>
              </w:rPr>
              <w:t>Title:</w:t>
            </w:r>
            <w:r>
              <w:rPr/>
              <w:t xml:space="preserve"> </w:t>
            </w:r>
            <w:r>
              <w:rPr>
                <w:color w:val="0000FF"/>
                <w:u w:val="single"/>
                <w:bdr w:val="double" w:sz="2" w:space="1" w:color="000000"/>
              </w:rPr>
              <w:t>Authorized Person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INVESTMENT ADVISORS, LLC</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581"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Name: Edward H. Ross</w:t>
            </w:r>
          </w:p>
        </w:tc>
      </w:tr>
      <w:tr>
        <w:trPr/>
        <w:tc>
          <w:tcPr>
            <w:tcW w:w="581"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283"/>
              <w:jc w:val="left"/>
              <w:rPr/>
            </w:pPr>
            <w:r>
              <w:rPr>
                <w:color w:val="0000FF"/>
                <w:u w:val="single"/>
                <w:bdr w:val="double" w:sz="2" w:space="1" w:color="000000"/>
              </w:rPr>
              <w:t>Title:</w:t>
            </w:r>
            <w:r>
              <w:rPr/>
              <w:t xml:space="preserve"> </w:t>
            </w:r>
            <w:r>
              <w:rPr>
                <w:color w:val="0000FF"/>
                <w:u w:val="single"/>
                <w:bdr w:val="double" w:sz="2" w:space="1" w:color="000000"/>
              </w:rPr>
              <w:t>Authorized Person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color w:val="0000FF"/>
                <w:u w:val="single"/>
                <w:bdr w:val="double" w:sz="2" w:space="1" w:color="000000"/>
              </w:rPr>
            </w:pPr>
            <w:r>
              <w:rPr>
                <w:b/>
                <w:color w:val="0000FF"/>
                <w:u w:val="single"/>
                <w:bdr w:val="double" w:sz="2" w:space="1" w:color="000000"/>
              </w:rPr>
              <w:t>EXISTING WHOLLY-OWNED SUBSIDIARIES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MEZZANINE CAPITAL, L.P.</w:t>
            </w:r>
          </w:p>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MEZZANINE CAPITAL II, L.P.</w:t>
            </w:r>
          </w:p>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MEZZANINE CAPITAL III, L.P.</w:t>
            </w:r>
          </w:p>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MEZZANINE CAPITAL IV, L.P.</w:t>
            </w:r>
          </w:p>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FIC FUNDING, LLC</w:t>
            </w:r>
          </w:p>
          <w:p>
            <w:pPr>
              <w:pStyle w:val="TableContents"/>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INVESTMENT HOLDINGS, INC.</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trike/>
                <w:color w:val="FF0000"/>
              </w:rPr>
            </w:pPr>
            <w:r>
              <w:rPr>
                <w:b/>
                <w:strike/>
                <w:color w:val="FF0000"/>
              </w:rPr>
              <w:t>Bluerock Fund Advisor, LLC</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Jordan Ruddy</w:t>
            </w:r>
          </w:p>
        </w:tc>
      </w:tr>
      <w:tr>
        <w:trPr/>
        <w:tc>
          <w:tcPr>
            <w:tcW w:w="704"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Jordan Ruddy</w:t>
            </w:r>
          </w:p>
        </w:tc>
      </w:tr>
      <w:tr>
        <w:trPr/>
        <w:tc>
          <w:tcPr>
            <w:tcW w:w="704"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President</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 Edward H. Ross</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color w:val="0000FF"/>
                <w:u w:val="single"/>
                <w:bdr w:val="double" w:sz="2" w:space="1" w:color="000000"/>
              </w:rPr>
              <w:t>Title:</w:t>
            </w:r>
            <w:r>
              <w:rPr/>
              <w:t xml:space="preserve"> </w:t>
            </w:r>
            <w:r>
              <w:rPr>
                <w:color w:val="0000FF"/>
                <w:u w:val="single"/>
                <w:bdr w:val="double" w:sz="2" w:space="1" w:color="000000"/>
              </w:rPr>
              <w:t>Authorized Person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97"/>
        <w:gridCol w:w="60"/>
        <w:gridCol w:w="3577"/>
        <w:gridCol w:w="23"/>
        <w:gridCol w:w="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77" w:type="dxa"/>
            <w:tcBorders/>
            <w:vAlign w:val="center"/>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c>
          <w:tcPr>
            <w:tcW w:w="4034" w:type="dxa"/>
            <w:gridSpan w:val="3"/>
            <w:vMerge w:val="restart"/>
            <w:tcBorders/>
          </w:tcPr>
          <w:p>
            <w:pPr>
              <w:pStyle w:val="TableContents"/>
              <w:bidi w:val="0"/>
              <w:spacing w:before="0" w:after="0"/>
              <w:jc w:val="left"/>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EXISTING AFFILIATED FUNDS</w:t>
            </w:r>
          </w:p>
          <w:p>
            <w:pPr>
              <w:pStyle w:val="TableContents"/>
              <w:bidi w:val="0"/>
              <w:spacing w:before="0" w:after="0"/>
              <w:jc w:val="left"/>
              <w:rPr/>
            </w:pPr>
            <w:r>
              <w:rPr/>
              <w:t> </w:t>
            </w:r>
          </w:p>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CREDIT OPPORTUNITIES, L.P.</w:t>
            </w:r>
          </w:p>
          <w:p>
            <w:pPr>
              <w:pStyle w:val="TableContents"/>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EQUITY OPPORTUNITIES FUND, L.P.</w:t>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rHeight w:val="240" w:hRule="atLeast"/>
        </w:trPr>
        <w:tc>
          <w:tcPr>
            <w:tcW w:w="4034" w:type="dxa"/>
            <w:gridSpan w:val="3"/>
            <w:vMerge w:val="continue"/>
            <w:tcBorders/>
          </w:tcPr>
          <w:p>
            <w:pPr>
              <w:pStyle w:val="Normal"/>
              <w:bidi w:val="0"/>
              <w:jc w:val="left"/>
              <w:rPr/>
            </w:pPr>
            <w:r>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60" w:type="dxa"/>
            <w:tcBorders/>
            <w:vAlign w:val="bottom"/>
          </w:tcPr>
          <w:p>
            <w:pPr>
              <w:pStyle w:val="TableContents"/>
              <w:bidi w:val="0"/>
              <w:spacing w:before="0" w:after="283"/>
              <w:jc w:val="left"/>
              <w:rPr/>
            </w:pPr>
            <w:r>
              <w:rPr/>
              <w:t> </w:t>
            </w:r>
          </w:p>
        </w:tc>
        <w:tc>
          <w:tcPr>
            <w:tcW w:w="3577" w:type="dxa"/>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c>
          <w:tcPr>
            <w:tcW w:w="48" w:type="dxa"/>
            <w:gridSpan w:val="2"/>
            <w:tcBorders/>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77"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 Edward H. Ross</w:t>
            </w:r>
          </w:p>
        </w:tc>
        <w:tc>
          <w:tcPr>
            <w:tcW w:w="48" w:type="dxa"/>
            <w:gridSpan w:val="2"/>
            <w:tcBorders/>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77"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 Authorized Person</w:t>
            </w:r>
          </w:p>
        </w:tc>
        <w:tc>
          <w:tcPr>
            <w:tcW w:w="48"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trike/>
                <w:color w:val="FF0000"/>
              </w:rPr>
            </w:pPr>
            <w:r>
              <w:rPr>
                <w:b/>
                <w:strike/>
                <w:color w:val="FF0000"/>
              </w:rPr>
              <w:t>Bluerock Credit Fund Advisor, LLC</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Jordan Ruddy</w:t>
            </w:r>
          </w:p>
        </w:tc>
      </w:tr>
      <w:tr>
        <w:trPr/>
        <w:tc>
          <w:tcPr>
            <w:tcW w:w="704"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Jordan Ruddy</w:t>
            </w:r>
          </w:p>
        </w:tc>
      </w:tr>
      <w:tr>
        <w:trPr/>
        <w:tc>
          <w:tcPr>
            <w:tcW w:w="704"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President</w:t>
            </w:r>
          </w:p>
        </w:tc>
      </w:tr>
    </w:tbl>
    <w:p>
      <w:pPr>
        <w:pStyle w:val="TextBody"/>
        <w:bidi w:val="0"/>
        <w:spacing w:before="360" w:after="0"/>
        <w:jc w:val="left"/>
        <w:rPr>
          <w:rFonts w:ascii="Times New Roman" w:hAnsi="Times New Roman"/>
          <w:sz w:val="20"/>
        </w:rPr>
      </w:pPr>
      <w:r>
        <w:rPr>
          <w:rFonts w:ascii="Times New Roman" w:hAnsi="Times New Roman"/>
          <w:strike/>
          <w:color w:val="FF0000"/>
          <w:sz w:val="20"/>
        </w:rPr>
        <w:t>VERIFICATION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color w:val="0000FF"/>
          <w:sz w:val="20"/>
          <w:u w:val="single"/>
          <w:bdr w:val="double" w:sz="2" w:space="1" w:color="000000"/>
        </w:rPr>
        <w:t>Exhibit A</w:t>
      </w:r>
      <w:r>
        <w:rPr>
          <w:rFonts w:ascii="Times New Roman" w:hAnsi="Times New Roman"/>
          <w:sz w:val="20"/>
        </w:rPr>
        <w:t xml:space="preserve"> </w:t>
      </w:r>
    </w:p>
    <w:p>
      <w:pPr>
        <w:pStyle w:val="TextBody"/>
        <w:bidi w:val="0"/>
        <w:spacing w:before="240" w:after="0"/>
        <w:jc w:val="center"/>
        <w:rPr>
          <w:rFonts w:ascii="Times New Roman" w:hAnsi="Times New Roman"/>
          <w:color w:val="0000FF"/>
          <w:sz w:val="20"/>
        </w:rPr>
      </w:pPr>
      <w:r>
        <w:rPr>
          <w:rFonts w:ascii="Times New Roman" w:hAnsi="Times New Roman"/>
          <w:color w:val="0000FF"/>
          <w:sz w:val="20"/>
          <w:u w:val="single"/>
          <w:bdr w:val="double" w:sz="2" w:space="1" w:color="000000"/>
        </w:rPr>
        <w:t>Verification</w:t>
      </w:r>
      <w:r>
        <w:rPr>
          <w:rFonts w:ascii="Times New Roman" w:hAnsi="Times New Roman"/>
          <w:color w:val="0000FF"/>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states that he has duly executed the </w:t>
      </w:r>
      <w:r>
        <w:rPr>
          <w:rFonts w:ascii="Times New Roman" w:hAnsi="Times New Roman"/>
          <w:strike/>
          <w:color w:val="FF0000"/>
          <w:sz w:val="20"/>
        </w:rPr>
        <w:t>foregoing</w:t>
      </w:r>
      <w:r>
        <w:rPr>
          <w:rFonts w:ascii="Times New Roman" w:hAnsi="Times New Roman"/>
          <w:color w:val="0000FF"/>
          <w:sz w:val="20"/>
          <w:u w:val="single"/>
          <w:bdr w:val="double" w:sz="2" w:space="1" w:color="000000"/>
        </w:rPr>
        <w:t>attached</w:t>
      </w:r>
      <w:r>
        <w:rPr>
          <w:rFonts w:ascii="Times New Roman" w:hAnsi="Times New Roman"/>
          <w:sz w:val="20"/>
        </w:rPr>
        <w:t xml:space="preserve"> Application</w:t>
      </w:r>
      <w:r>
        <w:rPr>
          <w:rFonts w:ascii="Times New Roman" w:hAnsi="Times New Roman"/>
          <w:color w:val="0000FF"/>
          <w:sz w:val="20"/>
          <w:u w:val="single"/>
          <w:bdr w:val="double" w:sz="2" w:space="1" w:color="000000"/>
        </w:rPr>
        <w:t>, dated August 28, 2026,</w:t>
      </w:r>
      <w:r>
        <w:rPr>
          <w:rFonts w:ascii="Times New Roman" w:hAnsi="Times New Roman"/>
          <w:sz w:val="20"/>
        </w:rPr>
        <w:t xml:space="preserve"> for and on behalf of</w:t>
      </w:r>
      <w:r>
        <w:rPr>
          <w:rFonts w:ascii="Times New Roman" w:hAnsi="Times New Roman"/>
          <w:strike/>
          <w:color w:val="FF0000"/>
          <w:sz w:val="20"/>
        </w:rPr>
        <w:t xml:space="preserve"> Bluerock Private Real Estate Fund (formerly, Bluerock Total Income+ Real Estate Fund) that he is the President of</w:t>
      </w:r>
      <w:r>
        <w:rPr>
          <w:rFonts w:ascii="Times New Roman" w:hAnsi="Times New Roman"/>
          <w:color w:val="0000FF"/>
          <w:sz w:val="20"/>
          <w:u w:val="single"/>
          <w:bdr w:val="double" w:sz="2" w:space="1" w:color="000000"/>
        </w:rPr>
        <w:t>the Applicants, as the case may be, that he holds the office with each</w:t>
      </w:r>
      <w:r>
        <w:rPr>
          <w:rFonts w:ascii="Times New Roman" w:hAnsi="Times New Roman"/>
          <w:sz w:val="20"/>
        </w:rPr>
        <w:t xml:space="preserve"> such entity </w:t>
      </w:r>
      <w:r>
        <w:rPr>
          <w:rFonts w:ascii="Times New Roman" w:hAnsi="Times New Roman"/>
          <w:color w:val="0000FF"/>
          <w:sz w:val="20"/>
          <w:u w:val="single"/>
          <w:bdr w:val="double" w:sz="2" w:space="1" w:color="000000"/>
        </w:rPr>
        <w:t>as indicated below,</w:t>
      </w:r>
      <w:r>
        <w:rPr>
          <w:rFonts w:ascii="Times New Roman" w:hAnsi="Times New Roman"/>
          <w:sz w:val="20"/>
        </w:rPr>
        <w:t xml:space="preserve"> and that all </w:t>
      </w:r>
      <w:r>
        <w:rPr>
          <w:rFonts w:ascii="Times New Roman" w:hAnsi="Times New Roman"/>
          <w:strike/>
          <w:color w:val="FF0000"/>
          <w:sz w:val="20"/>
        </w:rPr>
        <w:t>action by</w:t>
      </w:r>
      <w:r>
        <w:rPr>
          <w:rFonts w:ascii="Times New Roman" w:hAnsi="Times New Roman"/>
          <w:color w:val="0000FF"/>
          <w:sz w:val="20"/>
          <w:u w:val="single"/>
          <w:bdr w:val="double" w:sz="2" w:space="1" w:color="000000"/>
        </w:rPr>
        <w:t>actions by stockholders,</w:t>
      </w:r>
      <w:r>
        <w:rPr>
          <w:rFonts w:ascii="Times New Roman" w:hAnsi="Times New Roman"/>
          <w:sz w:val="20"/>
        </w:rPr>
        <w:t xml:space="preserve"> officers, directors, and other bodies necessary to authorize </w:t>
      </w:r>
      <w:r>
        <w:rPr>
          <w:rFonts w:ascii="Times New Roman" w:hAnsi="Times New Roman"/>
          <w:strike/>
          <w:color w:val="FF0000"/>
          <w:sz w:val="20"/>
        </w:rPr>
        <w:t>deponent</w:t>
      </w:r>
      <w:r>
        <w:rPr>
          <w:rFonts w:ascii="Times New Roman" w:hAnsi="Times New Roman"/>
          <w:color w:val="0000FF"/>
          <w:sz w:val="20"/>
          <w:u w:val="single"/>
          <w:bdr w:val="double" w:sz="2" w:space="1" w:color="000000"/>
        </w:rPr>
        <w:t>the undersigned</w:t>
      </w:r>
      <w:r>
        <w:rPr>
          <w:rFonts w:ascii="Times New Roman" w:hAnsi="Times New Roman"/>
          <w:sz w:val="20"/>
        </w:rPr>
        <w:t xml:space="preserve"> to execute and file such </w:t>
      </w:r>
      <w:r>
        <w:rPr>
          <w:rFonts w:ascii="Times New Roman" w:hAnsi="Times New Roman"/>
          <w:strike/>
          <w:color w:val="FF0000"/>
          <w:sz w:val="20"/>
        </w:rPr>
        <w:t>instrument has</w:t>
      </w:r>
      <w:r>
        <w:rPr>
          <w:rFonts w:ascii="Times New Roman" w:hAnsi="Times New Roman"/>
          <w:color w:val="0000FF"/>
          <w:sz w:val="20"/>
          <w:u w:val="single"/>
          <w:bdr w:val="double" w:sz="2" w:space="1" w:color="000000"/>
        </w:rPr>
        <w:t>Application have</w:t>
      </w:r>
      <w:r>
        <w:rPr>
          <w:rFonts w:ascii="Times New Roman" w:hAnsi="Times New Roman"/>
          <w:sz w:val="20"/>
        </w:rPr>
        <w:t xml:space="preserve"> been taken. The undersigned further states that he is familiar with</w:t>
      </w:r>
      <w:r>
        <w:rPr>
          <w:rFonts w:ascii="Times New Roman" w:hAnsi="Times New Roman"/>
          <w:strike/>
          <w:color w:val="FF0000"/>
          <w:sz w:val="20"/>
        </w:rPr>
        <w:t xml:space="preserve"> such</w:t>
      </w:r>
      <w:r>
        <w:rPr>
          <w:rFonts w:ascii="Times New Roman" w:hAnsi="Times New Roman"/>
          <w:color w:val="0000FF"/>
          <w:sz w:val="20"/>
          <w:u w:val="single"/>
          <w:bdr w:val="double" w:sz="2" w:space="1" w:color="000000"/>
        </w:rPr>
        <w:t>the</w:t>
      </w:r>
      <w:r>
        <w:rPr>
          <w:rFonts w:ascii="Times New Roman" w:hAnsi="Times New Roman"/>
          <w:sz w:val="20"/>
        </w:rPr>
        <w:t xml:space="preserve"> instrument</w:t>
      </w:r>
      <w:r>
        <w:rPr>
          <w:rFonts w:ascii="Times New Roman" w:hAnsi="Times New Roman"/>
          <w:strike/>
          <w:color w:val="FF0000"/>
          <w:sz w:val="20"/>
        </w:rPr>
        <w:t>,</w:t>
      </w:r>
      <w:r>
        <w:rPr>
          <w:rFonts w:ascii="Times New Roman" w:hAnsi="Times New Roman"/>
          <w:sz w:val="20"/>
        </w:rPr>
        <w:t xml:space="preserve"> and the contents thereof, and that the facts </w:t>
      </w:r>
      <w:r>
        <w:rPr>
          <w:rFonts w:ascii="Times New Roman" w:hAnsi="Times New Roman"/>
          <w:strike/>
          <w:color w:val="FF0000"/>
          <w:sz w:val="20"/>
        </w:rPr>
        <w:t>therein</w:t>
      </w:r>
      <w:r>
        <w:rPr>
          <w:rFonts w:ascii="Times New Roman" w:hAnsi="Times New Roman"/>
          <w:sz w:val="20"/>
        </w:rPr>
        <w:t xml:space="preserve"> set forth </w:t>
      </w:r>
      <w:r>
        <w:rPr>
          <w:rFonts w:ascii="Times New Roman" w:hAnsi="Times New Roman"/>
          <w:color w:val="0000FF"/>
          <w:sz w:val="20"/>
          <w:u w:val="single"/>
          <w:bdr w:val="double" w:sz="2" w:space="1" w:color="000000"/>
        </w:rPr>
        <w:t>therein</w:t>
      </w:r>
      <w:r>
        <w:rPr>
          <w:rFonts w:ascii="Times New Roman" w:hAnsi="Times New Roman"/>
          <w:sz w:val="20"/>
        </w:rPr>
        <w:t xml:space="preserve"> are true to the best of his </w:t>
      </w:r>
      <w:r>
        <w:rPr>
          <w:rFonts w:ascii="Times New Roman" w:hAnsi="Times New Roman"/>
          <w:color w:val="0000FF"/>
          <w:sz w:val="20"/>
          <w:u w:val="single"/>
          <w:bdr w:val="double" w:sz="2" w:space="1" w:color="000000"/>
        </w:rPr>
        <w:t>or her</w:t>
      </w:r>
      <w:r>
        <w:rPr>
          <w:rFonts w:ascii="Times New Roman" w:hAnsi="Times New Roman"/>
          <w:sz w:val="20"/>
        </w:rPr>
        <w:t xml:space="preserve"> knowledge, information, and belief. </w:t>
      </w:r>
    </w:p>
    <w:p>
      <w:pPr>
        <w:pStyle w:val="TextBody"/>
        <w:bidi w:val="0"/>
        <w:spacing w:before="0" w:after="0"/>
        <w:jc w:val="left"/>
        <w:rPr/>
      </w:pPr>
      <w:r>
        <w:rPr/>
        <w:t> </w:t>
      </w:r>
    </w:p>
    <w:tbl>
      <w:tblPr>
        <w:tblW w:w="3250" w:type="pct"/>
        <w:jc w:val="left"/>
        <w:tblInd w:w="0" w:type="dxa"/>
        <w:tblLayout w:type="fixed"/>
        <w:tblCellMar>
          <w:top w:w="0" w:type="dxa"/>
          <w:left w:w="0" w:type="dxa"/>
          <w:bottom w:w="0" w:type="dxa"/>
          <w:right w:w="0" w:type="dxa"/>
        </w:tblCellMar>
      </w:tblPr>
      <w:tblGrid>
        <w:gridCol w:w="861"/>
        <w:gridCol w:w="66"/>
        <w:gridCol w:w="5706"/>
      </w:tblGrid>
      <w:tr>
        <w:trPr/>
        <w:tc>
          <w:tcPr>
            <w:tcW w:w="861"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5706" w:type="dxa"/>
            <w:tcBorders/>
            <w:vAlign w:val="center"/>
          </w:tcPr>
          <w:p>
            <w:pPr>
              <w:pStyle w:val="TableContents"/>
              <w:bidi w:val="0"/>
              <w:spacing w:before="0" w:after="283"/>
              <w:jc w:val="left"/>
              <w:rPr>
                <w:sz w:val="4"/>
                <w:szCs w:val="4"/>
              </w:rPr>
            </w:pPr>
            <w:r>
              <w:rPr>
                <w:sz w:val="4"/>
                <w:szCs w:val="4"/>
              </w:rPr>
            </w:r>
          </w:p>
        </w:tc>
      </w:tr>
      <w:tr>
        <w:trPr/>
        <w:tc>
          <w:tcPr>
            <w:tcW w:w="6633" w:type="dxa"/>
            <w:gridSpan w:val="3"/>
            <w:tcBorders/>
          </w:tcPr>
          <w:p>
            <w:pPr>
              <w:pStyle w:val="TableContents"/>
              <w:bidi w:val="0"/>
              <w:spacing w:before="0" w:after="283"/>
              <w:jc w:val="left"/>
              <w:rPr>
                <w:b/>
                <w:strike/>
                <w:color w:val="FF0000"/>
              </w:rPr>
            </w:pPr>
            <w:r>
              <w:rPr>
                <w:b/>
                <w:strike/>
                <w:color w:val="FF0000"/>
              </w:rPr>
              <w:t>Bluerock Private Real Estate Fund (formerly, Bluerock Total Income+ Real Estate Fund)</w:t>
            </w:r>
          </w:p>
        </w:tc>
      </w:tr>
      <w:tr>
        <w:trPr>
          <w:trHeight w:val="240" w:hRule="atLeast"/>
        </w:trPr>
        <w:tc>
          <w:tcPr>
            <w:tcW w:w="861" w:type="dxa"/>
            <w:tcBorders/>
            <w:vAlign w:val="center"/>
          </w:tcPr>
          <w:p>
            <w:pPr>
              <w:pStyle w:val="TableContents"/>
              <w:bidi w:val="0"/>
              <w:spacing w:before="0" w:after="283"/>
              <w:jc w:val="left"/>
              <w:rPr>
                <w:sz w:val="4"/>
                <w:szCs w:val="4"/>
              </w:rPr>
            </w:pPr>
            <w:r>
              <w:rPr>
                <w:sz w:val="4"/>
                <w:szCs w:val="4"/>
              </w:rPr>
            </w:r>
          </w:p>
        </w:tc>
        <w:tc>
          <w:tcPr>
            <w:tcW w:w="5772"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tcPr>
          <w:p>
            <w:pPr>
              <w:pStyle w:val="TableContents"/>
              <w:bidi w:val="0"/>
              <w:spacing w:before="0" w:after="283"/>
              <w:jc w:val="left"/>
              <w:rPr>
                <w:strike/>
                <w:color w:val="FF0000"/>
              </w:rPr>
            </w:pPr>
            <w:r>
              <w:rPr>
                <w:strike/>
                <w:color w:val="FF0000"/>
              </w:rPr>
              <w:t>By:</w:t>
            </w:r>
          </w:p>
        </w:tc>
        <w:tc>
          <w:tcPr>
            <w:tcW w:w="66" w:type="dxa"/>
            <w:tcBorders/>
            <w:vAlign w:val="bottom"/>
          </w:tcPr>
          <w:p>
            <w:pPr>
              <w:pStyle w:val="TableContents"/>
              <w:bidi w:val="0"/>
              <w:spacing w:before="0" w:after="283"/>
              <w:jc w:val="left"/>
              <w:rPr/>
            </w:pPr>
            <w:r>
              <w:rPr/>
              <w:t> </w:t>
            </w:r>
          </w:p>
        </w:tc>
        <w:tc>
          <w:tcPr>
            <w:tcW w:w="5706"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Jordan Ruddy</w:t>
            </w:r>
          </w:p>
        </w:tc>
      </w:tr>
      <w:tr>
        <w:trPr/>
        <w:tc>
          <w:tcPr>
            <w:tcW w:w="861" w:type="dxa"/>
            <w:tcBorders/>
          </w:tcPr>
          <w:p>
            <w:pPr>
              <w:pStyle w:val="TableContents"/>
              <w:bidi w:val="0"/>
              <w:spacing w:before="0" w:after="283"/>
              <w:jc w:val="left"/>
              <w:rPr>
                <w:strike/>
                <w:color w:val="FF0000"/>
              </w:rPr>
            </w:pPr>
            <w:r>
              <w:rPr>
                <w:strike/>
                <w:color w:val="FF0000"/>
              </w:rPr>
              <w:t>Name:</w:t>
            </w:r>
          </w:p>
        </w:tc>
        <w:tc>
          <w:tcPr>
            <w:tcW w:w="66" w:type="dxa"/>
            <w:tcBorders/>
            <w:vAlign w:val="bottom"/>
          </w:tcPr>
          <w:p>
            <w:pPr>
              <w:pStyle w:val="TableContents"/>
              <w:bidi w:val="0"/>
              <w:spacing w:before="0" w:after="283"/>
              <w:jc w:val="left"/>
              <w:rPr/>
            </w:pPr>
            <w:r>
              <w:rPr/>
              <w:t> </w:t>
            </w:r>
          </w:p>
        </w:tc>
        <w:tc>
          <w:tcPr>
            <w:tcW w:w="5706" w:type="dxa"/>
            <w:tcBorders/>
          </w:tcPr>
          <w:p>
            <w:pPr>
              <w:pStyle w:val="TableContents"/>
              <w:bidi w:val="0"/>
              <w:spacing w:before="0" w:after="283"/>
              <w:jc w:val="left"/>
              <w:rPr>
                <w:strike/>
                <w:color w:val="FF0000"/>
              </w:rPr>
            </w:pPr>
            <w:r>
              <w:rPr>
                <w:strike/>
                <w:color w:val="FF0000"/>
              </w:rPr>
              <w:t>Jordan Ruddy</w:t>
            </w:r>
          </w:p>
        </w:tc>
      </w:tr>
      <w:tr>
        <w:trPr/>
        <w:tc>
          <w:tcPr>
            <w:tcW w:w="861" w:type="dxa"/>
            <w:tcBorders/>
          </w:tcPr>
          <w:p>
            <w:pPr>
              <w:pStyle w:val="TableContents"/>
              <w:bidi w:val="0"/>
              <w:spacing w:before="0" w:after="283"/>
              <w:jc w:val="left"/>
              <w:rPr>
                <w:strike/>
                <w:color w:val="FF0000"/>
              </w:rPr>
            </w:pPr>
            <w:r>
              <w:rPr>
                <w:strike/>
                <w:color w:val="FF0000"/>
              </w:rPr>
              <w:t>Title:</w:t>
            </w:r>
          </w:p>
        </w:tc>
        <w:tc>
          <w:tcPr>
            <w:tcW w:w="66" w:type="dxa"/>
            <w:tcBorders/>
            <w:vAlign w:val="bottom"/>
          </w:tcPr>
          <w:p>
            <w:pPr>
              <w:pStyle w:val="TableContents"/>
              <w:bidi w:val="0"/>
              <w:spacing w:before="0" w:after="283"/>
              <w:jc w:val="left"/>
              <w:rPr/>
            </w:pPr>
            <w:r>
              <w:rPr/>
              <w:t> </w:t>
            </w:r>
          </w:p>
        </w:tc>
        <w:tc>
          <w:tcPr>
            <w:tcW w:w="5706" w:type="dxa"/>
            <w:tcBorders/>
          </w:tcPr>
          <w:p>
            <w:pPr>
              <w:pStyle w:val="TableContents"/>
              <w:bidi w:val="0"/>
              <w:spacing w:before="0" w:after="283"/>
              <w:jc w:val="left"/>
              <w:rPr>
                <w:strike/>
                <w:color w:val="FF0000"/>
              </w:rPr>
            </w:pPr>
            <w:r>
              <w:rPr>
                <w:strike/>
                <w:color w:val="FF0000"/>
              </w:rPr>
              <w:t>President</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77"/>
        <w:gridCol w:w="91"/>
        <w:gridCol w:w="3366"/>
        <w:gridCol w:w="23"/>
        <w:gridCol w:w="25"/>
      </w:tblGrid>
      <w:tr>
        <w:trPr/>
        <w:tc>
          <w:tcPr>
            <w:tcW w:w="577"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3366" w:type="dxa"/>
            <w:tcBorders/>
            <w:vAlign w:val="center"/>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rHeight w:val="240" w:hRule="atLeast"/>
        </w:trPr>
        <w:tc>
          <w:tcPr>
            <w:tcW w:w="4034" w:type="dxa"/>
            <w:gridSpan w:val="3"/>
            <w:tcBorders/>
            <w:vAlign w:val="center"/>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c>
          <w:tcPr>
            <w:tcW w:w="4034" w:type="dxa"/>
            <w:gridSpan w:val="3"/>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INVESTMENT CORPORATION</w:t>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rHeight w:val="240" w:hRule="atLeast"/>
        </w:trPr>
        <w:tc>
          <w:tcPr>
            <w:tcW w:w="577"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91" w:type="dxa"/>
            <w:tcBorders/>
            <w:vAlign w:val="bottom"/>
          </w:tcPr>
          <w:p>
            <w:pPr>
              <w:pStyle w:val="TableContents"/>
              <w:bidi w:val="0"/>
              <w:spacing w:before="0" w:after="283"/>
              <w:jc w:val="left"/>
              <w:rPr/>
            </w:pPr>
            <w:r>
              <w:rPr/>
              <w:t> </w:t>
            </w:r>
          </w:p>
        </w:tc>
        <w:tc>
          <w:tcPr>
            <w:tcW w:w="3366" w:type="dxa"/>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36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 Edward H. Ross</w:t>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366" w:type="dxa"/>
            <w:tcBorders/>
          </w:tcPr>
          <w:p>
            <w:pPr>
              <w:pStyle w:val="TableContents"/>
              <w:bidi w:val="0"/>
              <w:spacing w:before="0" w:after="283"/>
              <w:jc w:val="left"/>
              <w:rPr/>
            </w:pPr>
            <w:r>
              <w:rPr>
                <w:color w:val="0000FF"/>
                <w:u w:val="single"/>
                <w:bdr w:val="double" w:sz="2" w:space="1" w:color="000000"/>
              </w:rPr>
              <w:t>Title:</w:t>
            </w:r>
            <w:r>
              <w:rPr/>
              <w:t xml:space="preserve"> </w:t>
            </w:r>
            <w:r>
              <w:rPr>
                <w:color w:val="0000FF"/>
                <w:u w:val="single"/>
                <w:bdr w:val="double" w:sz="2" w:space="1" w:color="000000"/>
              </w:rPr>
              <w:t>Authorized Person</w:t>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rHeight w:val="240" w:hRule="atLeast"/>
        </w:trPr>
        <w:tc>
          <w:tcPr>
            <w:tcW w:w="4034" w:type="dxa"/>
            <w:gridSpan w:val="3"/>
            <w:tcBorders/>
            <w:vAlign w:val="center"/>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c>
          <w:tcPr>
            <w:tcW w:w="4034" w:type="dxa"/>
            <w:gridSpan w:val="3"/>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INVESTMENT ADVISORS, LLC</w:t>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rHeight w:val="240" w:hRule="atLeast"/>
        </w:trPr>
        <w:tc>
          <w:tcPr>
            <w:tcW w:w="577"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91" w:type="dxa"/>
            <w:tcBorders/>
            <w:vAlign w:val="bottom"/>
          </w:tcPr>
          <w:p>
            <w:pPr>
              <w:pStyle w:val="TableContents"/>
              <w:bidi w:val="0"/>
              <w:spacing w:before="0" w:after="283"/>
              <w:jc w:val="left"/>
              <w:rPr/>
            </w:pPr>
            <w:r>
              <w:rPr/>
              <w:t> </w:t>
            </w:r>
          </w:p>
        </w:tc>
        <w:tc>
          <w:tcPr>
            <w:tcW w:w="3366" w:type="dxa"/>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36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 Edward H. Ross</w:t>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366" w:type="dxa"/>
            <w:tcBorders/>
          </w:tcPr>
          <w:p>
            <w:pPr>
              <w:pStyle w:val="TableContents"/>
              <w:bidi w:val="0"/>
              <w:spacing w:before="0" w:after="283"/>
              <w:jc w:val="left"/>
              <w:rPr/>
            </w:pPr>
            <w:r>
              <w:rPr>
                <w:color w:val="0000FF"/>
                <w:u w:val="single"/>
                <w:bdr w:val="double" w:sz="2" w:space="1" w:color="000000"/>
              </w:rPr>
              <w:t>Title:</w:t>
            </w:r>
            <w:r>
              <w:rPr/>
              <w:t xml:space="preserve"> </w:t>
            </w:r>
            <w:r>
              <w:rPr>
                <w:color w:val="0000FF"/>
                <w:u w:val="single"/>
                <w:bdr w:val="double" w:sz="2" w:space="1" w:color="000000"/>
              </w:rPr>
              <w:t>Authorized Person</w:t>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rHeight w:val="240" w:hRule="atLeast"/>
        </w:trPr>
        <w:tc>
          <w:tcPr>
            <w:tcW w:w="4034" w:type="dxa"/>
            <w:gridSpan w:val="3"/>
            <w:tcBorders/>
            <w:vAlign w:val="center"/>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c>
          <w:tcPr>
            <w:tcW w:w="4034" w:type="dxa"/>
            <w:gridSpan w:val="3"/>
            <w:tcBorders/>
          </w:tcPr>
          <w:p>
            <w:pPr>
              <w:pStyle w:val="TableContents"/>
              <w:bidi w:val="0"/>
              <w:spacing w:before="0" w:after="283"/>
              <w:jc w:val="left"/>
              <w:rPr>
                <w:b/>
                <w:color w:val="0000FF"/>
                <w:u w:val="single"/>
                <w:bdr w:val="double" w:sz="2" w:space="1" w:color="000000"/>
              </w:rPr>
            </w:pPr>
            <w:r>
              <w:rPr>
                <w:b/>
                <w:color w:val="0000FF"/>
                <w:u w:val="single"/>
                <w:bdr w:val="double" w:sz="2" w:space="1" w:color="000000"/>
              </w:rPr>
              <w:t>EXISTING WHOLLY-OWNED SUBSIDIARIES</w:t>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rHeight w:val="240" w:hRule="atLeast"/>
        </w:trPr>
        <w:tc>
          <w:tcPr>
            <w:tcW w:w="4034" w:type="dxa"/>
            <w:gridSpan w:val="3"/>
            <w:tcBorders/>
            <w:vAlign w:val="center"/>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c>
          <w:tcPr>
            <w:tcW w:w="4034" w:type="dxa"/>
            <w:gridSpan w:val="3"/>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MEZZANINE CAPITAL, L.P.</w:t>
            </w:r>
          </w:p>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MEZZANINE CAPITAL II, L.P.</w:t>
            </w:r>
          </w:p>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MEZZANINE CAPITAL III, L.P.</w:t>
            </w:r>
          </w:p>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MEZZANINE CAPITAL IV, L.P.</w:t>
            </w:r>
          </w:p>
          <w:p>
            <w:pPr>
              <w:pStyle w:val="TableContents"/>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FIC FUNDING, LLC</w:t>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c>
          <w:tcPr>
            <w:tcW w:w="4034" w:type="dxa"/>
            <w:gridSpan w:val="3"/>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FIDUS INVESTMENT HOLDINGS, INC.</w:t>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rHeight w:val="240" w:hRule="atLeast"/>
        </w:trPr>
        <w:tc>
          <w:tcPr>
            <w:tcW w:w="577"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91" w:type="dxa"/>
            <w:tcBorders/>
            <w:vAlign w:val="bottom"/>
          </w:tcPr>
          <w:p>
            <w:pPr>
              <w:pStyle w:val="TableContents"/>
              <w:bidi w:val="0"/>
              <w:spacing w:before="0" w:after="283"/>
              <w:jc w:val="left"/>
              <w:rPr/>
            </w:pPr>
            <w:r>
              <w:rPr/>
              <w:t> </w:t>
            </w:r>
          </w:p>
        </w:tc>
        <w:tc>
          <w:tcPr>
            <w:tcW w:w="3366" w:type="dxa"/>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36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 Edward H. Ross</w:t>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366" w:type="dxa"/>
            <w:tcBorders/>
          </w:tcPr>
          <w:p>
            <w:pPr>
              <w:pStyle w:val="TableContents"/>
              <w:bidi w:val="0"/>
              <w:spacing w:before="0" w:after="283"/>
              <w:jc w:val="left"/>
              <w:rPr/>
            </w:pPr>
            <w:r>
              <w:rPr>
                <w:color w:val="0000FF"/>
                <w:u w:val="single"/>
                <w:bdr w:val="double" w:sz="2" w:space="1" w:color="000000"/>
              </w:rPr>
              <w:t>Title:</w:t>
            </w:r>
            <w:r>
              <w:rPr/>
              <w:t xml:space="preserve"> </w:t>
            </w:r>
            <w:r>
              <w:rPr>
                <w:color w:val="0000FF"/>
                <w:u w:val="single"/>
                <w:bdr w:val="double" w:sz="2" w:space="1" w:color="000000"/>
              </w:rPr>
              <w:t>Authorized Person</w:t>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rHeight w:val="240" w:hRule="atLeast"/>
        </w:trPr>
        <w:tc>
          <w:tcPr>
            <w:tcW w:w="4034" w:type="dxa"/>
            <w:gridSpan w:val="3"/>
            <w:tcBorders/>
            <w:vAlign w:val="center"/>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c>
          <w:tcPr>
            <w:tcW w:w="4034" w:type="dxa"/>
            <w:gridSpan w:val="3"/>
            <w:vMerge w:val="restart"/>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EXISTING AFFILIATED FUNDS</w:t>
            </w:r>
          </w:p>
          <w:p>
            <w:pPr>
              <w:pStyle w:val="TableContents"/>
              <w:bidi w:val="0"/>
              <w:spacing w:before="0" w:after="0"/>
              <w:jc w:val="left"/>
              <w:rPr/>
            </w:pPr>
            <w:r>
              <w:rPr/>
              <w:t> </w:t>
            </w:r>
          </w:p>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CREDIT OPPORTUNITIES, L.P.</w:t>
            </w:r>
          </w:p>
          <w:p>
            <w:pPr>
              <w:pStyle w:val="TableContents"/>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FIDUS EQUITY OPPORTUNITIES FUND, L.P.</w:t>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rHeight w:val="240" w:hRule="atLeast"/>
        </w:trPr>
        <w:tc>
          <w:tcPr>
            <w:tcW w:w="4034" w:type="dxa"/>
            <w:gridSpan w:val="3"/>
            <w:vMerge w:val="continue"/>
            <w:tcBorders/>
          </w:tcPr>
          <w:p>
            <w:pPr>
              <w:pStyle w:val="Normal"/>
              <w:bidi w:val="0"/>
              <w:jc w:val="left"/>
              <w:rPr/>
            </w:pPr>
            <w:r>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91" w:type="dxa"/>
            <w:tcBorders/>
            <w:vAlign w:val="bottom"/>
          </w:tcPr>
          <w:p>
            <w:pPr>
              <w:pStyle w:val="TableContents"/>
              <w:bidi w:val="0"/>
              <w:spacing w:before="0" w:after="283"/>
              <w:jc w:val="left"/>
              <w:rPr/>
            </w:pPr>
            <w:r>
              <w:rPr/>
              <w:t> </w:t>
            </w:r>
          </w:p>
        </w:tc>
        <w:tc>
          <w:tcPr>
            <w:tcW w:w="3366" w:type="dxa"/>
            <w:tcBorders/>
          </w:tcPr>
          <w:p>
            <w:pPr>
              <w:pStyle w:val="TableContents"/>
              <w:pBdr>
                <w:bottom w:val="single" w:sz="2" w:space="1" w:color="000000"/>
              </w:pBdr>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 Edward H. Ross</w:t>
            </w:r>
          </w:p>
        </w:tc>
        <w:tc>
          <w:tcPr>
            <w:tcW w:w="48" w:type="dxa"/>
            <w:gridSpan w:val="2"/>
            <w:tcBorders/>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36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 Edward H. Ross</w:t>
            </w:r>
          </w:p>
        </w:tc>
        <w:tc>
          <w:tcPr>
            <w:tcW w:w="48" w:type="dxa"/>
            <w:gridSpan w:val="2"/>
            <w:tcBorders/>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366" w:type="dxa"/>
            <w:tcBorders/>
          </w:tcPr>
          <w:p>
            <w:pPr>
              <w:pStyle w:val="TableContents"/>
              <w:bidi w:val="0"/>
              <w:spacing w:before="0" w:after="283"/>
              <w:jc w:val="left"/>
              <w:rPr/>
            </w:pPr>
            <w:r>
              <w:rPr>
                <w:color w:val="0000FF"/>
                <w:u w:val="single"/>
                <w:bdr w:val="double" w:sz="2" w:space="1" w:color="000000"/>
              </w:rPr>
              <w:t>Title:</w:t>
            </w:r>
            <w:r>
              <w:rPr/>
              <w:t xml:space="preserve"> </w:t>
            </w:r>
            <w:r>
              <w:rPr>
                <w:color w:val="0000FF"/>
                <w:u w:val="single"/>
                <w:bdr w:val="double" w:sz="2" w:space="1" w:color="000000"/>
              </w:rPr>
              <w:t>Authorized Person</w:t>
            </w:r>
          </w:p>
        </w:tc>
        <w:tc>
          <w:tcPr>
            <w:tcW w:w="48"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FF0000"/>
          <w:sz w:val="20"/>
        </w:rPr>
        <w:t>VERIFICATION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trike/>
          <w:color w:val="FF0000"/>
          <w:sz w:val="20"/>
        </w:rPr>
        <w:t>The undersigned states that he has duly executed the foregoing Application for and on behalf of Bluerock High Income Institutional Credit Fund that he is the President of such entity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r>
        <w:rPr>
          <w:rFonts w:ascii="Times New Roman" w:hAnsi="Times New Roman"/>
          <w:sz w:val="20"/>
        </w:rPr>
        <w:t xml:space="preser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trike/>
                <w:color w:val="FF0000"/>
              </w:rPr>
            </w:pPr>
            <w:r>
              <w:rPr>
                <w:b/>
                <w:strike/>
                <w:color w:val="FF0000"/>
              </w:rPr>
              <w:t>Bluerock High Income Institutional Credit Fund</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Jordan Ruddy</w:t>
            </w:r>
          </w:p>
        </w:tc>
      </w:tr>
      <w:tr>
        <w:trPr/>
        <w:tc>
          <w:tcPr>
            <w:tcW w:w="704"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Jordan Ruddy</w:t>
            </w:r>
          </w:p>
        </w:tc>
      </w:tr>
      <w:tr>
        <w:trPr/>
        <w:tc>
          <w:tcPr>
            <w:tcW w:w="704"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President</w:t>
            </w:r>
          </w:p>
        </w:tc>
      </w:tr>
    </w:tbl>
    <w:p>
      <w:pPr>
        <w:pStyle w:val="TextBody"/>
        <w:bidi w:val="0"/>
        <w:spacing w:before="240" w:after="0"/>
        <w:jc w:val="left"/>
        <w:rPr>
          <w:rFonts w:ascii="Times New Roman" w:hAnsi="Times New Roman"/>
          <w:sz w:val="20"/>
        </w:rPr>
      </w:pPr>
      <w:r>
        <w:rPr>
          <w:rFonts w:ascii="Times New Roman" w:hAnsi="Times New Roman"/>
          <w:strike/>
          <w:color w:val="FF0000"/>
          <w:sz w:val="20"/>
        </w:rPr>
        <w:t>VERIFICATION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FF0000"/>
          <w:sz w:val="20"/>
        </w:rPr>
        <w:t>The undersigned states that he has duly executed the foregoing Application for and on behalf of Bluerock Fund Advisor, LLC that he is the President of such entity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r>
        <w:rPr>
          <w:rFonts w:ascii="Times New Roman" w:hAnsi="Times New Roman"/>
          <w:sz w:val="20"/>
        </w:rPr>
        <w:t xml:space="preser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trike/>
                <w:color w:val="FF0000"/>
              </w:rPr>
            </w:pPr>
            <w:r>
              <w:rPr>
                <w:b/>
                <w:strike/>
                <w:color w:val="FF0000"/>
              </w:rPr>
              <w:t>Bluerock Fund Advisor, LLC</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Jordan Ruddy</w:t>
            </w:r>
          </w:p>
        </w:tc>
      </w:tr>
      <w:tr>
        <w:trPr/>
        <w:tc>
          <w:tcPr>
            <w:tcW w:w="704"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Jordan Ruddy</w:t>
            </w:r>
          </w:p>
        </w:tc>
      </w:tr>
      <w:tr>
        <w:trPr/>
        <w:tc>
          <w:tcPr>
            <w:tcW w:w="704"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President</w:t>
            </w:r>
          </w:p>
        </w:tc>
      </w:tr>
    </w:tbl>
    <w:p>
      <w:pPr>
        <w:pStyle w:val="TextBody"/>
        <w:bidi w:val="0"/>
        <w:spacing w:before="360" w:after="0"/>
        <w:jc w:val="left"/>
        <w:rPr>
          <w:rFonts w:ascii="Times New Roman" w:hAnsi="Times New Roman"/>
          <w:sz w:val="20"/>
        </w:rPr>
      </w:pPr>
      <w:r>
        <w:rPr>
          <w:rFonts w:ascii="Times New Roman" w:hAnsi="Times New Roman"/>
          <w:strike/>
          <w:color w:val="FF0000"/>
          <w:sz w:val="20"/>
        </w:rPr>
        <w:t>VERIFICATION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trike/>
          <w:color w:val="FF0000"/>
          <w:sz w:val="20"/>
        </w:rPr>
        <w:t>The undersigned states that he has duly executed the foregoing Application for and on behalf of Bluerock Credit Fund Advisor, LLC that he is the President of such entity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r>
        <w:rPr>
          <w:rFonts w:ascii="Times New Roman" w:hAnsi="Times New Roman"/>
          <w:sz w:val="20"/>
        </w:rPr>
        <w:t xml:space="preser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trike/>
                <w:color w:val="FF0000"/>
              </w:rPr>
            </w:pPr>
            <w:r>
              <w:rPr>
                <w:b/>
                <w:strike/>
                <w:color w:val="FF0000"/>
              </w:rPr>
              <w:t>Bluerock Credit Fund Advisor, LLC</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strike/>
                <w:color w:val="FF0000"/>
              </w:rPr>
            </w:pPr>
            <w:r>
              <w:rPr>
                <w:strike/>
                <w:color w:val="FF0000"/>
              </w:rPr>
              <w:t>By:</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pBdr>
                <w:bottom w:val="single" w:sz="2" w:space="1" w:color="000000"/>
              </w:pBdr>
              <w:bidi w:val="0"/>
              <w:spacing w:before="0" w:after="20"/>
              <w:jc w:val="left"/>
              <w:rPr>
                <w:rFonts w:ascii="Times New Roman" w:hAnsi="Times New Roman"/>
                <w:strike/>
                <w:color w:val="FF0000"/>
                <w:sz w:val="20"/>
              </w:rPr>
            </w:pPr>
            <w:r>
              <w:rPr>
                <w:rFonts w:ascii="Times New Roman" w:hAnsi="Times New Roman"/>
                <w:strike/>
                <w:color w:val="FF0000"/>
                <w:sz w:val="20"/>
              </w:rPr>
              <w:t>/s/ Jordan Ruddy</w:t>
            </w:r>
          </w:p>
        </w:tc>
      </w:tr>
      <w:tr>
        <w:trPr/>
        <w:tc>
          <w:tcPr>
            <w:tcW w:w="704" w:type="dxa"/>
            <w:tcBorders/>
          </w:tcPr>
          <w:p>
            <w:pPr>
              <w:pStyle w:val="TableContents"/>
              <w:bidi w:val="0"/>
              <w:spacing w:before="0" w:after="283"/>
              <w:jc w:val="left"/>
              <w:rPr>
                <w:strike/>
                <w:color w:val="FF0000"/>
              </w:rPr>
            </w:pPr>
            <w:r>
              <w:rPr>
                <w:strike/>
                <w:color w:val="FF0000"/>
              </w:rPr>
              <w:t>Name: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Jordan Ruddy</w:t>
            </w:r>
          </w:p>
        </w:tc>
      </w:tr>
      <w:tr>
        <w:trPr/>
        <w:tc>
          <w:tcPr>
            <w:tcW w:w="704" w:type="dxa"/>
            <w:tcBorders/>
          </w:tcPr>
          <w:p>
            <w:pPr>
              <w:pStyle w:val="TableContents"/>
              <w:bidi w:val="0"/>
              <w:spacing w:before="0" w:after="283"/>
              <w:jc w:val="left"/>
              <w:rPr>
                <w:strike/>
                <w:color w:val="FF0000"/>
              </w:rPr>
            </w:pPr>
            <w:r>
              <w:rPr>
                <w:strike/>
                <w:color w:val="FF0000"/>
              </w:rPr>
              <w:t>Title: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strike/>
                <w:color w:val="FF0000"/>
              </w:rPr>
            </w:pPr>
            <w:r>
              <w:rPr>
                <w:strike/>
                <w:color w:val="FF0000"/>
              </w:rPr>
              <w:t>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color w:val="0000FF"/>
          <w:sz w:val="20"/>
          <w:u w:val="single"/>
          <w:bdr w:val="double" w:sz="2" w:space="1" w:color="000000"/>
        </w:rPr>
        <w:t>Exhibit B</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trike/>
          <w:color w:val="FF0000"/>
          <w:sz w:val="20"/>
        </w:rPr>
        <w:t>EXHIBIT A</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b/>
          <w:sz w:val="20"/>
        </w:rPr>
        <w:t>Resolutions of</w:t>
      </w:r>
      <w:r>
        <w:rPr>
          <w:rFonts w:ascii="Times New Roman" w:hAnsi="Times New Roman"/>
          <w:b/>
          <w:color w:val="0000FF"/>
          <w:sz w:val="20"/>
          <w:u w:val="single"/>
          <w:bdr w:val="double" w:sz="2" w:space="1" w:color="000000"/>
        </w:rPr>
        <w:t xml:space="preserve"> the</w:t>
      </w:r>
      <w:r>
        <w:rPr>
          <w:rFonts w:ascii="Times New Roman" w:hAnsi="Times New Roman"/>
          <w:b/>
          <w:sz w:val="20"/>
        </w:rPr>
        <w:t xml:space="preserve"> Board of Directors</w:t>
      </w:r>
      <w:r>
        <w:rPr>
          <w:rFonts w:ascii="Times New Roman" w:hAnsi="Times New Roman"/>
          <w:strike/>
          <w:color w:val="FF0000"/>
          <w:sz w:val="20"/>
        </w:rPr>
        <w:t xml:space="preserve"> of Bluerock Private Real Estate Fund (formerly, Bluerock Total</w:t>
      </w:r>
      <w:r>
        <w:rPr>
          <w:rFonts w:ascii="Times New Roman" w:hAnsi="Times New Roman"/>
          <w:color w:val="FF0000"/>
          <w:sz w:val="20"/>
        </w:rPr>
        <w:t xml:space="preserve"> </w:t>
      </w:r>
    </w:p>
    <w:p>
      <w:pPr>
        <w:pStyle w:val="TextBody"/>
        <w:bidi w:val="0"/>
        <w:spacing w:before="0" w:after="0"/>
        <w:jc w:val="center"/>
        <w:rPr>
          <w:rFonts w:ascii="Times New Roman" w:hAnsi="Times New Roman"/>
          <w:color w:val="FF0000"/>
          <w:sz w:val="20"/>
        </w:rPr>
      </w:pPr>
      <w:r>
        <w:rPr>
          <w:rFonts w:ascii="Times New Roman" w:hAnsi="Times New Roman"/>
          <w:strike/>
          <w:color w:val="FF0000"/>
          <w:sz w:val="20"/>
        </w:rPr>
        <w:t>Income+ Real Estate Fund)</w:t>
      </w:r>
      <w:r>
        <w:rPr>
          <w:rFonts w:ascii="Times New Roman" w:hAnsi="Times New Roman"/>
          <w:b/>
          <w:color w:val="0000FF"/>
          <w:sz w:val="20"/>
          <w:u w:val="single"/>
          <w:bdr w:val="double" w:sz="2" w:space="1" w:color="000000"/>
        </w:rPr>
        <w:t>(the “Board”) of</w:t>
      </w:r>
      <w:r>
        <w:rPr>
          <w:rFonts w:ascii="Times New Roman" w:hAnsi="Times New Roman"/>
          <w:b/>
          <w:color w:val="FF0000"/>
          <w:sz w:val="20"/>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Fidus Investment Corporation (the “Company”)</w:t>
      </w:r>
      <w:r>
        <w:rPr>
          <w:rFonts w:ascii="Times New Roman" w:hAnsi="Times New Roman"/>
          <w:b/>
          <w:sz w:val="20"/>
        </w:rPr>
        <w:t xml:space="preserve"> </w:t>
      </w:r>
    </w:p>
    <w:p>
      <w:pPr>
        <w:pStyle w:val="TextBody"/>
        <w:bidi w:val="0"/>
        <w:spacing w:before="240" w:after="0"/>
        <w:jc w:val="left"/>
        <w:rPr>
          <w:rFonts w:ascii="Times New Roman" w:hAnsi="Times New Roman"/>
          <w:i/>
          <w:sz w:val="20"/>
        </w:rPr>
      </w:pPr>
      <w:r>
        <w:rPr>
          <w:rFonts w:ascii="Times New Roman" w:hAnsi="Times New Roman"/>
          <w:i/>
          <w:strike/>
          <w:color w:val="FF0000"/>
          <w:sz w:val="20"/>
        </w:rPr>
        <w:t>Approval of Filing Section 17(d) Application for Co-Investment Relief</w:t>
      </w:r>
      <w:r>
        <w:rPr>
          <w:rFonts w:ascii="Times New Roman" w:hAnsi="Times New Roman"/>
          <w:i/>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w:t>
      </w:r>
      <w:r>
        <w:rPr>
          <w:rFonts w:ascii="Times New Roman" w:hAnsi="Times New Roman"/>
          <w:strike/>
          <w:color w:val="FF0000"/>
          <w:sz w:val="20"/>
        </w:rPr>
        <w:t>deems it is advisable and in the best interest of the Fund to file with</w:t>
      </w:r>
      <w:r>
        <w:rPr>
          <w:rFonts w:ascii="Times New Roman" w:hAnsi="Times New Roman"/>
          <w:color w:val="0000FF"/>
          <w:sz w:val="20"/>
          <w:u w:val="single"/>
          <w:bdr w:val="double" w:sz="2" w:space="1" w:color="000000"/>
        </w:rPr>
        <w:t>has reviewed the Co-Investment Exemptive Application (the “</w:t>
      </w:r>
      <w:r>
        <w:rPr>
          <w:rFonts w:ascii="Times New Roman" w:hAnsi="Times New Roman"/>
          <w:b/>
          <w:i/>
          <w:color w:val="0000FF"/>
          <w:sz w:val="20"/>
          <w:u w:val="single"/>
          <w:bdr w:val="double" w:sz="2" w:space="1" w:color="000000"/>
        </w:rPr>
        <w:t>Exemptive Application</w:t>
      </w:r>
      <w:r>
        <w:rPr>
          <w:rFonts w:ascii="Times New Roman" w:hAnsi="Times New Roman"/>
          <w:color w:val="0000FF"/>
          <w:sz w:val="20"/>
          <w:u w:val="single"/>
          <w:bdr w:val="double" w:sz="2" w:space="1" w:color="000000"/>
        </w:rPr>
        <w:t>”), a copy of which is attached hereto as Exhibit A, for an order of</w:t>
      </w:r>
      <w:r>
        <w:rPr>
          <w:rFonts w:ascii="Times New Roman" w:hAnsi="Times New Roman"/>
          <w:sz w:val="20"/>
        </w:rPr>
        <w:t xml:space="preserve"> the U.S. Securities and Exchange Commission (</w:t>
      </w:r>
      <w:r>
        <w:rPr>
          <w:rFonts w:ascii="Times New Roman" w:hAnsi="Times New Roman"/>
          <w:strike/>
          <w:color w:val="FF0000"/>
          <w:sz w:val="20"/>
        </w:rPr>
        <w:t>the “Commission”) an application for an order</w:t>
      </w:r>
      <w:r>
        <w:rPr>
          <w:rFonts w:ascii="Times New Roman" w:hAnsi="Times New Roman"/>
          <w:color w:val="0000FF"/>
          <w:sz w:val="20"/>
          <w:u w:val="single"/>
          <w:bdr w:val="double" w:sz="2" w:space="1" w:color="000000"/>
        </w:rPr>
        <w:t>the “</w:t>
      </w:r>
      <w:r>
        <w:rPr>
          <w:rFonts w:ascii="Times New Roman" w:hAnsi="Times New Roman"/>
          <w:b/>
          <w:i/>
          <w:color w:val="0000FF"/>
          <w:sz w:val="20"/>
          <w:u w:val="single"/>
          <w:bdr w:val="double" w:sz="2" w:space="1" w:color="000000"/>
        </w:rPr>
        <w:t>SEC</w:t>
      </w:r>
      <w:r>
        <w:rPr>
          <w:rFonts w:ascii="Times New Roman" w:hAnsi="Times New Roman"/>
          <w:color w:val="0000FF"/>
          <w:sz w:val="20"/>
          <w:u w:val="single"/>
          <w:bdr w:val="double" w:sz="2" w:space="1" w:color="000000"/>
        </w:rPr>
        <w:t>”)</w:t>
      </w:r>
      <w:r>
        <w:rPr>
          <w:rFonts w:ascii="Times New Roman" w:hAnsi="Times New Roman"/>
          <w:sz w:val="20"/>
        </w:rPr>
        <w:t xml:space="preserve"> pursuant to Sections 17(d)</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 xml:space="preserve"> and</w:t>
      </w:r>
      <w:r>
        <w:rPr>
          <w:rFonts w:ascii="Times New Roman" w:hAnsi="Times New Roman"/>
          <w:sz w:val="20"/>
        </w:rPr>
        <w:t xml:space="preserve"> 57(i)</w:t>
      </w:r>
      <w:r>
        <w:rPr>
          <w:rFonts w:ascii="Times New Roman" w:hAnsi="Times New Roman"/>
          <w:strike/>
          <w:color w:val="FF0000"/>
          <w:sz w:val="20"/>
        </w:rPr>
        <w:t xml:space="preserve"> of</w:t>
      </w:r>
      <w:r>
        <w:rPr>
          <w:rFonts w:ascii="Times New Roman" w:hAnsi="Times New Roman"/>
          <w:color w:val="0000FF"/>
          <w:sz w:val="20"/>
          <w:u w:val="single"/>
          <w:bdr w:val="double" w:sz="2" w:space="1" w:color="000000"/>
        </w:rPr>
        <w:t xml:space="preserve"> of</w:t>
      </w:r>
      <w:r>
        <w:rPr>
          <w:rFonts w:ascii="Times New Roman" w:hAnsi="Times New Roman"/>
          <w:sz w:val="20"/>
        </w:rPr>
        <w:t xml:space="preserve"> the Investment Company Act of 1940, as amended (</w:t>
      </w:r>
      <w:r>
        <w:rPr>
          <w:rFonts w:ascii="Times New Roman" w:hAnsi="Times New Roman"/>
          <w:strike/>
          <w:color w:val="FF0000"/>
          <w:sz w:val="20"/>
        </w:rPr>
        <w:t>the “</w:t>
      </w:r>
      <w:r>
        <w:rPr>
          <w:rFonts w:ascii="Times New Roman" w:hAnsi="Times New Roman"/>
          <w:color w:val="0000FF"/>
          <w:sz w:val="20"/>
          <w:u w:val="single"/>
          <w:bdr w:val="double" w:sz="2" w:space="1" w:color="000000"/>
        </w:rPr>
        <w:t>the “</w:t>
      </w:r>
      <w:r>
        <w:rPr>
          <w:rFonts w:ascii="Times New Roman" w:hAnsi="Times New Roman"/>
          <w:b/>
          <w:i/>
          <w:sz w:val="20"/>
        </w:rPr>
        <w:t>1940 Act</w:t>
      </w:r>
      <w:r>
        <w:rPr>
          <w:rFonts w:ascii="Times New Roman" w:hAnsi="Times New Roman"/>
          <w:sz w:val="20"/>
        </w:rPr>
        <w:t xml:space="preserve">”), and </w:t>
      </w:r>
      <w:r>
        <w:rPr>
          <w:rFonts w:ascii="Times New Roman" w:hAnsi="Times New Roman"/>
          <w:strike/>
          <w:color w:val="FF0000"/>
          <w:sz w:val="20"/>
        </w:rPr>
        <w:t>Rule 17d</w:t>
      </w:r>
      <w:r>
        <w:rPr>
          <w:rFonts w:ascii="Times New Roman" w:hAnsi="Times New Roman"/>
          <w:color w:val="0000FF"/>
          <w:sz w:val="20"/>
          <w:u w:val="single"/>
          <w:bdr w:val="double" w:sz="2" w:space="1" w:color="000000"/>
        </w:rPr>
        <w:t>Rule 17d</w:t>
      </w:r>
      <w:r>
        <w:rPr>
          <w:rFonts w:ascii="Times New Roman" w:hAnsi="Times New Roman"/>
          <w:sz w:val="20"/>
        </w:rPr>
        <w:t xml:space="preserve">-1 </w:t>
      </w:r>
      <w:r>
        <w:rPr>
          <w:rFonts w:ascii="Times New Roman" w:hAnsi="Times New Roman"/>
          <w:strike/>
          <w:color w:val="FF0000"/>
          <w:sz w:val="20"/>
        </w:rPr>
        <w:t>promulgated</w:t>
      </w:r>
      <w:r>
        <w:rPr>
          <w:rFonts w:ascii="Times New Roman" w:hAnsi="Times New Roman"/>
          <w:sz w:val="20"/>
        </w:rPr>
        <w:t xml:space="preserve"> thereunder </w:t>
      </w:r>
      <w:r>
        <w:rPr>
          <w:rFonts w:ascii="Times New Roman" w:hAnsi="Times New Roman"/>
          <w:strike/>
          <w:color w:val="FF0000"/>
          <w:sz w:val="20"/>
        </w:rPr>
        <w:t>(the “Application”), to authorize the entering into of</w:t>
      </w:r>
      <w:r>
        <w:rPr>
          <w:rFonts w:ascii="Times New Roman" w:hAnsi="Times New Roman"/>
          <w:color w:val="0000FF"/>
          <w:sz w:val="20"/>
          <w:u w:val="single"/>
          <w:bdr w:val="double" w:sz="2" w:space="1" w:color="000000"/>
        </w:rPr>
        <w:t>permitting</w:t>
      </w:r>
      <w:r>
        <w:rPr>
          <w:rFonts w:ascii="Times New Roman" w:hAnsi="Times New Roman"/>
          <w:sz w:val="20"/>
        </w:rPr>
        <w:t xml:space="preserve"> certain joint transactions that otherwise may be prohibited by Sections 17(d)</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 xml:space="preserve"> and</w:t>
      </w:r>
      <w:r>
        <w:rPr>
          <w:rFonts w:ascii="Times New Roman" w:hAnsi="Times New Roman"/>
          <w:sz w:val="20"/>
        </w:rPr>
        <w:t xml:space="preserve"> 57(a)(4)</w:t>
      </w:r>
      <w:r>
        <w:rPr>
          <w:rFonts w:ascii="Times New Roman" w:hAnsi="Times New Roman"/>
          <w:strike/>
          <w:color w:val="FF0000"/>
          <w:sz w:val="20"/>
        </w:rPr>
        <w:t xml:space="preserve"> of</w:t>
      </w:r>
      <w:r>
        <w:rPr>
          <w:rFonts w:ascii="Times New Roman" w:hAnsi="Times New Roman"/>
          <w:color w:val="0000FF"/>
          <w:sz w:val="20"/>
          <w:u w:val="single"/>
          <w:bdr w:val="double" w:sz="2" w:space="1" w:color="000000"/>
        </w:rPr>
        <w:t xml:space="preserve"> of</w:t>
      </w:r>
      <w:r>
        <w:rPr>
          <w:rFonts w:ascii="Times New Roman" w:hAnsi="Times New Roman"/>
          <w:sz w:val="20"/>
        </w:rPr>
        <w:t xml:space="preserve"> the 1940 Act and </w:t>
      </w:r>
      <w:r>
        <w:rPr>
          <w:rFonts w:ascii="Times New Roman" w:hAnsi="Times New Roman"/>
          <w:strike/>
          <w:color w:val="FF0000"/>
          <w:sz w:val="20"/>
        </w:rPr>
        <w:t>Rule 17d</w:t>
      </w:r>
      <w:r>
        <w:rPr>
          <w:rFonts w:ascii="Times New Roman" w:hAnsi="Times New Roman"/>
          <w:color w:val="0000FF"/>
          <w:sz w:val="20"/>
          <w:u w:val="single"/>
          <w:bdr w:val="double" w:sz="2" w:space="1" w:color="000000"/>
        </w:rPr>
        <w:t>Rule 17d</w:t>
      </w:r>
      <w:r>
        <w:rPr>
          <w:rFonts w:ascii="Times New Roman" w:hAnsi="Times New Roman"/>
          <w:sz w:val="20"/>
        </w:rPr>
        <w:t xml:space="preserve">-1 </w:t>
      </w:r>
      <w:r>
        <w:rPr>
          <w:rFonts w:ascii="Times New Roman" w:hAnsi="Times New Roman"/>
          <w:strike/>
          <w:color w:val="FF0000"/>
          <w:sz w:val="20"/>
        </w:rPr>
        <w:t>promulgated</w:t>
      </w:r>
      <w:r>
        <w:rPr>
          <w:rFonts w:ascii="Times New Roman" w:hAnsi="Times New Roman"/>
          <w:sz w:val="20"/>
        </w:rPr>
        <w:t xml:space="preserve"> thereunder.</w:t>
      </w:r>
      <w:r>
        <w:rPr>
          <w:rFonts w:ascii="Times New Roman" w:hAnsi="Times New Roman"/>
          <w:color w:val="0000FF"/>
          <w:sz w:val="20"/>
          <w:u w:val="single"/>
          <w:bdr w:val="double" w:sz="2" w:space="1" w:color="000000"/>
        </w:rPr>
        <w:t>; 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color w:val="0000FF"/>
          <w:sz w:val="20"/>
          <w:u w:val="single"/>
          <w:bdr w:val="double" w:sz="2" w:space="1" w:color="000000"/>
        </w:rPr>
        <w:t>WHEREAS</w:t>
      </w:r>
      <w:r>
        <w:rPr>
          <w:rFonts w:ascii="Times New Roman" w:hAnsi="Times New Roman"/>
          <w:color w:val="0000FF"/>
          <w:sz w:val="20"/>
          <w:u w:val="single"/>
          <w:bdr w:val="double" w:sz="2" w:space="1" w:color="000000"/>
        </w:rPr>
        <w:t>, the Board deems it advisable and in the best interest of the Company that the Company file the Exemptive Application.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 THEREFORE, BE IT RESOLVED</w:t>
      </w:r>
      <w:r>
        <w:rPr>
          <w:rFonts w:ascii="Times New Roman" w:hAnsi="Times New Roman"/>
          <w:sz w:val="20"/>
        </w:rPr>
        <w:t xml:space="preserve">, that the </w:t>
      </w:r>
      <w:r>
        <w:rPr>
          <w:rFonts w:ascii="Times New Roman" w:hAnsi="Times New Roman"/>
          <w:strike/>
          <w:color w:val="FF0000"/>
          <w:sz w:val="20"/>
        </w:rPr>
        <w:t>officers of Bluerock Fund Advisor, LLC and the Fund be, and each of them</w:t>
      </w:r>
      <w:r>
        <w:rPr>
          <w:rFonts w:ascii="Times New Roman" w:hAnsi="Times New Roman"/>
          <w:color w:val="0000FF"/>
          <w:sz w:val="20"/>
          <w:u w:val="single"/>
          <w:bdr w:val="double" w:sz="2" w:space="1" w:color="000000"/>
        </w:rPr>
        <w:t>Board shall be, and</w:t>
      </w:r>
      <w:r>
        <w:rPr>
          <w:rFonts w:ascii="Times New Roman" w:hAnsi="Times New Roman"/>
          <w:sz w:val="20"/>
        </w:rPr>
        <w:t xml:space="preserve"> hereby is, authorized</w:t>
      </w:r>
      <w:r>
        <w:rPr>
          <w:rFonts w:ascii="Times New Roman" w:hAnsi="Times New Roman"/>
          <w:color w:val="0000FF"/>
          <w:sz w:val="20"/>
          <w:u w:val="single"/>
          <w:bdr w:val="double" w:sz="2" w:space="1" w:color="000000"/>
        </w:rPr>
        <w:t>, empowered</w:t>
      </w:r>
      <w:r>
        <w:rPr>
          <w:rFonts w:ascii="Times New Roman" w:hAnsi="Times New Roman"/>
          <w:sz w:val="20"/>
        </w:rPr>
        <w:t xml:space="preserve"> and directed</w:t>
      </w:r>
      <w:r>
        <w:rPr>
          <w:rFonts w:ascii="Times New Roman" w:hAnsi="Times New Roman"/>
          <w:strike/>
          <w:color w:val="FF0000"/>
          <w:sz w:val="20"/>
        </w:rPr>
        <w:t xml:space="preserve"> on behalf of</w:t>
      </w:r>
      <w:r>
        <w:rPr>
          <w:rFonts w:ascii="Times New Roman" w:hAnsi="Times New Roman"/>
          <w:color w:val="0000FF"/>
          <w:sz w:val="20"/>
          <w:u w:val="single"/>
          <w:bdr w:val="double" w:sz="2" w:space="1" w:color="000000"/>
        </w:rPr>
        <w:t>, in</w:t>
      </w:r>
      <w:r>
        <w:rPr>
          <w:rFonts w:ascii="Times New Roman" w:hAnsi="Times New Roman"/>
          <w:sz w:val="20"/>
        </w:rPr>
        <w:t xml:space="preserve"> the </w:t>
      </w:r>
      <w:r>
        <w:rPr>
          <w:rFonts w:ascii="Times New Roman" w:hAnsi="Times New Roman"/>
          <w:strike/>
          <w:color w:val="FF0000"/>
          <w:sz w:val="20"/>
        </w:rPr>
        <w:t>Fund and in its</w:t>
      </w:r>
      <w:r>
        <w:rPr>
          <w:rFonts w:ascii="Times New Roman" w:hAnsi="Times New Roman"/>
          <w:sz w:val="20"/>
        </w:rPr>
        <w:t xml:space="preserve"> name and on behalf of the</w:t>
      </w:r>
      <w:r>
        <w:rPr>
          <w:rFonts w:ascii="Times New Roman" w:hAnsi="Times New Roman"/>
          <w:strike/>
          <w:color w:val="FF0000"/>
          <w:sz w:val="20"/>
        </w:rPr>
        <w:t xml:space="preserve"> Fund</w:t>
      </w:r>
      <w:r>
        <w:rPr>
          <w:rFonts w:ascii="Times New Roman" w:hAnsi="Times New Roman"/>
          <w:color w:val="0000FF"/>
          <w:sz w:val="20"/>
          <w:u w:val="single"/>
          <w:bdr w:val="double" w:sz="2" w:space="1" w:color="000000"/>
        </w:rPr>
        <w:t>Company</w:t>
      </w:r>
      <w:r>
        <w:rPr>
          <w:rFonts w:ascii="Times New Roman" w:hAnsi="Times New Roman"/>
          <w:sz w:val="20"/>
        </w:rPr>
        <w:t xml:space="preserve">, to </w:t>
      </w:r>
      <w:r>
        <w:rPr>
          <w:rFonts w:ascii="Times New Roman" w:hAnsi="Times New Roman"/>
          <w:strike/>
          <w:color w:val="FF0000"/>
          <w:sz w:val="20"/>
        </w:rPr>
        <w:t>prepare, execute, and</w:t>
      </w:r>
      <w:r>
        <w:rPr>
          <w:rFonts w:ascii="Times New Roman" w:hAnsi="Times New Roman"/>
          <w:sz w:val="20"/>
        </w:rPr>
        <w:t xml:space="preserve"> cause to be </w:t>
      </w:r>
      <w:r>
        <w:rPr>
          <w:rFonts w:ascii="Times New Roman" w:hAnsi="Times New Roman"/>
          <w:color w:val="0000FF"/>
          <w:sz w:val="20"/>
          <w:u w:val="single"/>
          <w:bdr w:val="double" w:sz="2" w:space="1" w:color="000000"/>
        </w:rPr>
        <w:t>executed, delivered and</w:t>
      </w:r>
      <w:r>
        <w:rPr>
          <w:rFonts w:ascii="Times New Roman" w:hAnsi="Times New Roman"/>
          <w:sz w:val="20"/>
        </w:rPr>
        <w:t xml:space="preserve"> filed with the </w:t>
      </w:r>
      <w:r>
        <w:rPr>
          <w:rFonts w:ascii="Times New Roman" w:hAnsi="Times New Roman"/>
          <w:strike/>
          <w:color w:val="FF0000"/>
          <w:sz w:val="20"/>
        </w:rPr>
        <w:t>Commission an Application for an Order of Exemption, substantially in the form attached hereto as Exhibit A, and any amendments thereto, pursuant to Section 17(d) of the 1940 Act, and Rule 17d-1 promulgated under the 1940 Act, authorizing certain joint transactions that otherwise may be prohibited by Section 17(d) of the 1940 Act; and it is further</w:t>
      </w:r>
      <w:r>
        <w:rPr>
          <w:rFonts w:ascii="Times New Roman" w:hAnsi="Times New Roman"/>
          <w:color w:val="0000FF"/>
          <w:sz w:val="20"/>
          <w:u w:val="single"/>
          <w:bdr w:val="double" w:sz="2" w:space="1" w:color="000000"/>
        </w:rPr>
        <w:t>SEC the Exemptive Application, in substantially the form provided to the Board;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color w:val="0000FF"/>
          <w:sz w:val="20"/>
          <w:u w:val="single"/>
          <w:bdr w:val="double" w:sz="2" w:space="1" w:color="000000"/>
        </w:rPr>
        <w:t>FURTHER</w:t>
      </w:r>
      <w:r>
        <w:rPr>
          <w:rFonts w:ascii="Times New Roman" w:hAnsi="Times New Roman"/>
          <w:b/>
          <w:sz w:val="20"/>
        </w:rPr>
        <w:t xml:space="preserve"> RESOLVED</w:t>
      </w:r>
      <w:r>
        <w:rPr>
          <w:rFonts w:ascii="Times New Roman" w:hAnsi="Times New Roman"/>
          <w:sz w:val="20"/>
        </w:rPr>
        <w:t>, that the</w:t>
      </w:r>
      <w:r>
        <w:rPr>
          <w:rFonts w:ascii="Times New Roman" w:hAnsi="Times New Roman"/>
          <w:strike/>
          <w:color w:val="FF0000"/>
          <w:sz w:val="20"/>
        </w:rPr>
        <w:t xml:space="preserve"> officers of the Fund be, and each of them</w:t>
      </w:r>
      <w:r>
        <w:rPr>
          <w:rFonts w:ascii="Times New Roman" w:hAnsi="Times New Roman"/>
          <w:color w:val="0000FF"/>
          <w:sz w:val="20"/>
          <w:u w:val="single"/>
          <w:bdr w:val="double" w:sz="2" w:space="1" w:color="000000"/>
        </w:rPr>
        <w:t>Authorized Officers (as defined below) shall be, and</w:t>
      </w:r>
      <w:r>
        <w:rPr>
          <w:rFonts w:ascii="Times New Roman" w:hAnsi="Times New Roman"/>
          <w:sz w:val="20"/>
        </w:rPr>
        <w:t xml:space="preserve"> hereby</w:t>
      </w:r>
      <w:r>
        <w:rPr>
          <w:rFonts w:ascii="Times New Roman" w:hAnsi="Times New Roman"/>
          <w:strike/>
          <w:color w:val="FF0000"/>
          <w:sz w:val="20"/>
        </w:rPr>
        <w:t xml:space="preserve"> is</w:t>
      </w:r>
      <w:r>
        <w:rPr>
          <w:rFonts w:ascii="Times New Roman" w:hAnsi="Times New Roman"/>
          <w:color w:val="0000FF"/>
          <w:sz w:val="20"/>
          <w:u w:val="single"/>
          <w:bdr w:val="double" w:sz="2" w:space="1" w:color="000000"/>
        </w:rPr>
        <w:t>are</w:t>
      </w:r>
      <w:r>
        <w:rPr>
          <w:rFonts w:ascii="Times New Roman" w:hAnsi="Times New Roman"/>
          <w:sz w:val="20"/>
        </w:rPr>
        <w:t>, authorized</w:t>
      </w:r>
      <w:r>
        <w:rPr>
          <w:rFonts w:ascii="Times New Roman" w:hAnsi="Times New Roman"/>
          <w:color w:val="0000FF"/>
          <w:sz w:val="20"/>
          <w:u w:val="single"/>
          <w:bdr w:val="double" w:sz="2" w:space="1" w:color="000000"/>
        </w:rPr>
        <w:t>, empowered</w:t>
      </w:r>
      <w:r>
        <w:rPr>
          <w:rFonts w:ascii="Times New Roman" w:hAnsi="Times New Roman"/>
          <w:sz w:val="20"/>
        </w:rPr>
        <w:t xml:space="preserve"> and directed</w:t>
      </w:r>
      <w:r>
        <w:rPr>
          <w:rFonts w:ascii="Times New Roman" w:hAnsi="Times New Roman"/>
          <w:strike/>
          <w:color w:val="FF0000"/>
          <w:sz w:val="20"/>
        </w:rPr>
        <w:t xml:space="preserve"> to take such further action and execute such other documents as such officer or officers shall deem necessary or advisable</w:t>
      </w:r>
      <w:r>
        <w:rPr>
          <w:rFonts w:ascii="Times New Roman" w:hAnsi="Times New Roman"/>
          <w:color w:val="0000FF"/>
          <w:sz w:val="20"/>
          <w:u w:val="single"/>
          <w:bdr w:val="double" w:sz="2" w:space="1" w:color="000000"/>
        </w:rPr>
        <w:t>, in the name and on behalf of the Company, to cause to be made, executed, delivered and filed with the SEC any amendments to the Exemptive Application, together with such exhibits and other documents thereto, as are satisfactory in form and substance to counsel to the Company</w:t>
      </w:r>
      <w:r>
        <w:rPr>
          <w:rFonts w:ascii="Times New Roman" w:hAnsi="Times New Roman"/>
          <w:sz w:val="20"/>
        </w:rPr>
        <w:t xml:space="preserve"> in order to effectuate the </w:t>
      </w:r>
      <w:r>
        <w:rPr>
          <w:rFonts w:ascii="Times New Roman" w:hAnsi="Times New Roman"/>
          <w:strike/>
          <w:color w:val="FF0000"/>
          <w:sz w:val="20"/>
        </w:rPr>
        <w:t>intent of the</w:t>
      </w:r>
      <w:r>
        <w:rPr>
          <w:rFonts w:ascii="Times New Roman" w:hAnsi="Times New Roman"/>
          <w:sz w:val="20"/>
        </w:rPr>
        <w:t xml:space="preserve"> foregoing </w:t>
      </w:r>
      <w:r>
        <w:rPr>
          <w:rFonts w:ascii="Times New Roman" w:hAnsi="Times New Roman"/>
          <w:strike/>
          <w:color w:val="FF0000"/>
          <w:sz w:val="20"/>
        </w:rPr>
        <w:t>resolution; and it is further</w:t>
      </w:r>
      <w:r>
        <w:rPr>
          <w:rFonts w:ascii="Times New Roman" w:hAnsi="Times New Roman"/>
          <w:color w:val="0000FF"/>
          <w:sz w:val="20"/>
          <w:u w:val="single"/>
          <w:bdr w:val="double" w:sz="2" w:space="1" w:color="000000"/>
        </w:rPr>
        <w:t>, such determination to be conclusively evidenced by the taking of any such 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color w:val="0000FF"/>
          <w:sz w:val="20"/>
          <w:u w:val="single"/>
          <w:bdr w:val="double" w:sz="2" w:space="1" w:color="000000"/>
        </w:rPr>
        <w:t>FURTHER</w:t>
      </w:r>
      <w:r>
        <w:rPr>
          <w:rFonts w:ascii="Times New Roman" w:hAnsi="Times New Roman"/>
          <w:b/>
          <w:sz w:val="20"/>
        </w:rPr>
        <w:t xml:space="preserve"> RESOLVED</w:t>
      </w:r>
      <w:r>
        <w:rPr>
          <w:rFonts w:ascii="Times New Roman" w:hAnsi="Times New Roman"/>
          <w:sz w:val="20"/>
        </w:rPr>
        <w:t xml:space="preserve">, that </w:t>
      </w:r>
      <w:r>
        <w:rPr>
          <w:rFonts w:ascii="Times New Roman" w:hAnsi="Times New Roman"/>
          <w:strike/>
          <w:color w:val="FF0000"/>
          <w:sz w:val="20"/>
        </w:rPr>
        <w:t>any and all actions previously taken by the Fund or any of its directors or officers</w:t>
      </w:r>
      <w:r>
        <w:rPr>
          <w:rFonts w:ascii="Times New Roman" w:hAnsi="Times New Roman"/>
          <w:color w:val="0000FF"/>
          <w:sz w:val="20"/>
          <w:u w:val="single"/>
          <w:bdr w:val="double" w:sz="2" w:space="1" w:color="000000"/>
        </w:rPr>
        <w:t>all acts and things previously done by the Authorized Officers, on or prior to the date hereof, in the name and on behalf of the Company</w:t>
      </w:r>
      <w:r>
        <w:rPr>
          <w:rFonts w:ascii="Times New Roman" w:hAnsi="Times New Roman"/>
          <w:sz w:val="20"/>
        </w:rPr>
        <w:t xml:space="preserve"> in connection with the </w:t>
      </w:r>
      <w:r>
        <w:rPr>
          <w:rFonts w:ascii="Times New Roman" w:hAnsi="Times New Roman"/>
          <w:strike/>
          <w:color w:val="FF0000"/>
          <w:sz w:val="20"/>
        </w:rPr>
        <w:t>actions contemplated by the</w:t>
      </w:r>
      <w:r>
        <w:rPr>
          <w:rFonts w:ascii="Times New Roman" w:hAnsi="Times New Roman"/>
          <w:sz w:val="20"/>
        </w:rPr>
        <w:t xml:space="preserve"> foregoing resolutions </w:t>
      </w:r>
      <w:r>
        <w:rPr>
          <w:rFonts w:ascii="Times New Roman" w:hAnsi="Times New Roman"/>
          <w:strike/>
          <w:color w:val="FF0000"/>
          <w:sz w:val="20"/>
        </w:rPr>
        <w:t>be, and each of them hereby is</w:t>
      </w:r>
      <w:r>
        <w:rPr>
          <w:rFonts w:ascii="Times New Roman" w:hAnsi="Times New Roman"/>
          <w:color w:val="0000FF"/>
          <w:sz w:val="20"/>
          <w:u w:val="single"/>
          <w:bdr w:val="double" w:sz="2" w:space="1" w:color="000000"/>
        </w:rPr>
        <w:t>are in all respects authorized</w:t>
      </w:r>
      <w:r>
        <w:rPr>
          <w:rFonts w:ascii="Times New Roman" w:hAnsi="Times New Roman"/>
          <w:sz w:val="20"/>
        </w:rPr>
        <w:t xml:space="preserve">, ratified, </w:t>
      </w:r>
      <w:r>
        <w:rPr>
          <w:rFonts w:ascii="Times New Roman" w:hAnsi="Times New Roman"/>
          <w:strike/>
          <w:color w:val="FF0000"/>
          <w:sz w:val="20"/>
        </w:rPr>
        <w:t>confirmed,</w:t>
      </w:r>
      <w:r>
        <w:rPr>
          <w:rFonts w:ascii="Times New Roman" w:hAnsi="Times New Roman"/>
          <w:sz w:val="20"/>
        </w:rPr>
        <w:t xml:space="preserve"> approved</w:t>
      </w:r>
      <w:r>
        <w:rPr>
          <w:rFonts w:ascii="Times New Roman" w:hAnsi="Times New Roman"/>
          <w:color w:val="0000FF"/>
          <w:sz w:val="20"/>
          <w:u w:val="single"/>
          <w:bdr w:val="double" w:sz="2" w:space="1" w:color="000000"/>
        </w:rPr>
        <w:t>, confirmed</w:t>
      </w:r>
      <w:r>
        <w:rPr>
          <w:rFonts w:ascii="Times New Roman" w:hAnsi="Times New Roman"/>
          <w:sz w:val="20"/>
        </w:rPr>
        <w:t xml:space="preserve"> and adopted</w:t>
      </w:r>
      <w:r>
        <w:rPr>
          <w:rFonts w:ascii="Times New Roman" w:hAnsi="Times New Roman"/>
          <w:strike/>
          <w:color w:val="FF0000"/>
          <w:sz w:val="20"/>
        </w:rPr>
        <w:t xml:space="preserve"> in all respects</w:t>
      </w:r>
      <w:r>
        <w:rPr>
          <w:rFonts w:ascii="Times New Roman" w:hAnsi="Times New Roman"/>
          <w:sz w:val="20"/>
        </w:rPr>
        <w:t xml:space="preserve"> as</w:t>
      </w:r>
      <w:r>
        <w:rPr>
          <w:rFonts w:ascii="Times New Roman" w:hAnsi="Times New Roman"/>
          <w:strike/>
          <w:color w:val="FF0000"/>
          <w:sz w:val="20"/>
        </w:rPr>
        <w:t xml:space="preserve"> and for</w:t>
      </w:r>
      <w:r>
        <w:rPr>
          <w:rFonts w:ascii="Times New Roman" w:hAnsi="Times New Roman"/>
          <w:sz w:val="20"/>
        </w:rPr>
        <w:t xml:space="preserve"> the acts and deeds</w:t>
      </w:r>
      <w:r>
        <w:rPr>
          <w:rFonts w:ascii="Times New Roman" w:hAnsi="Times New Roman"/>
          <w:color w:val="0000FF"/>
          <w:sz w:val="20"/>
          <w:u w:val="single"/>
          <w:bdr w:val="double" w:sz="2" w:space="1" w:color="000000"/>
        </w:rPr>
        <w:t xml:space="preserve"> by and on behalf</w:t>
      </w:r>
      <w:r>
        <w:rPr>
          <w:rFonts w:ascii="Times New Roman" w:hAnsi="Times New Roman"/>
          <w:sz w:val="20"/>
        </w:rPr>
        <w:t xml:space="preserve"> of the</w:t>
      </w:r>
      <w:r>
        <w:rPr>
          <w:rFonts w:ascii="Times New Roman" w:hAnsi="Times New Roman"/>
          <w:strike/>
          <w:color w:val="FF0000"/>
          <w:sz w:val="20"/>
        </w:rPr>
        <w:t xml:space="preserve"> Fund.</w:t>
      </w:r>
      <w:r>
        <w:rPr>
          <w:rFonts w:ascii="Times New Roman" w:hAnsi="Times New Roman"/>
          <w:color w:val="0000FF"/>
          <w:sz w:val="20"/>
          <w:u w:val="single"/>
          <w:bdr w:val="double" w:sz="2" w:space="1" w:color="000000"/>
        </w:rPr>
        <w:t>Company; 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Resolutions of the Board of Trustees of Bluerock High Income Institutional Credit Fund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trike/>
          <w:color w:val="FF0000"/>
          <w:sz w:val="20"/>
        </w:rPr>
        <w:t>Approval of Filing Section 17(d) Application for Co-Investment Relief</w:t>
      </w:r>
      <w:r>
        <w:rPr>
          <w:rFonts w:ascii="Times New Roman" w:hAnsi="Times New Roman"/>
          <w:i/>
          <w:sz w:val="20"/>
        </w:rPr>
        <w:t xml:space="preserve"> </w:t>
      </w:r>
    </w:p>
    <w:p>
      <w:pPr>
        <w:pStyle w:val="TextBody"/>
        <w:bidi w:val="0"/>
        <w:spacing w:before="240" w:after="0"/>
        <w:jc w:val="left"/>
        <w:rPr>
          <w:rFonts w:ascii="Times New Roman" w:hAnsi="Times New Roman"/>
          <w:sz w:val="20"/>
        </w:rPr>
      </w:pPr>
      <w:r>
        <w:rPr>
          <w:rFonts w:ascii="Times New Roman" w:hAnsi="Times New Roman"/>
          <w:b/>
          <w:strike/>
          <w:color w:val="FF0000"/>
          <w:sz w:val="20"/>
        </w:rPr>
        <w:t>WHEREAS,</w:t>
      </w:r>
      <w:r>
        <w:rPr>
          <w:rFonts w:ascii="Times New Roman" w:hAnsi="Times New Roman"/>
          <w:strike/>
          <w:color w:val="FF0000"/>
          <w:sz w:val="20"/>
        </w:rPr>
        <w:t xml:space="preserve"> the Board deems it is advisable and in the best interest of the Fund to file with the U.S. Securities and Exchange Commission (the “Commission”) an application for an order pursuant to Sections 17(d) and 57(i) of the Investment Company Act of 1940, as amended (the “1940 Act”), and Rule 17d-1 promulgated thereunder (the “Application”), to authorize the entering into of certain joint transactions that otherwise may be prohibited by Sections 17(d) and 57(a)(4) of the 1940 Act and Rule 17d-1 promulgated thereunder.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trike/>
          <w:color w:val="FF0000"/>
          <w:sz w:val="20"/>
        </w:rPr>
        <w:t>NOW, THEREFORE, BE IT RESOLVED,</w:t>
      </w:r>
      <w:r>
        <w:rPr>
          <w:rFonts w:ascii="Times New Roman" w:hAnsi="Times New Roman"/>
          <w:strike/>
          <w:color w:val="FF0000"/>
          <w:sz w:val="20"/>
        </w:rPr>
        <w:t xml:space="preserve"> that the officers of Bluerock Credit Fund Advisor, LLC and the Fund be, and each of them hereby is, authorized and directed on behalf of the Fund and in its name and on behalf of the Fund, to prepare, execute, and cause to be filed with the Commission an Application for an Order of Exemption, substantially in the form attached hereto as Exhibit A, and any amendments thereto, pursuant to Section 17(d) of the 1940 Act, and Rule 17d-1 promulgated under the 1940 Act, authorizing certain joint transactions that otherwise may be prohibited by Section 17(d) of the 1940 Act; and it is further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color w:val="0000FF"/>
          <w:sz w:val="20"/>
          <w:u w:val="single"/>
          <w:bdr w:val="double" w:sz="2" w:space="1" w:color="000000"/>
        </w:rPr>
        <w:t>FURTHER</w:t>
      </w:r>
      <w:r>
        <w:rPr>
          <w:rFonts w:ascii="Times New Roman" w:hAnsi="Times New Roman"/>
          <w:b/>
          <w:sz w:val="20"/>
        </w:rPr>
        <w:t xml:space="preserve"> RESOLVED</w:t>
      </w:r>
      <w:r>
        <w:rPr>
          <w:rFonts w:ascii="Times New Roman" w:hAnsi="Times New Roman"/>
          <w:sz w:val="20"/>
        </w:rPr>
        <w:t xml:space="preserve">, that </w:t>
      </w:r>
      <w:r>
        <w:rPr>
          <w:rFonts w:ascii="Times New Roman" w:hAnsi="Times New Roman"/>
          <w:strike/>
          <w:color w:val="FF0000"/>
          <w:sz w:val="20"/>
        </w:rPr>
        <w:t>the officers of the Fund be, and each of them</w:t>
      </w:r>
      <w:r>
        <w:rPr>
          <w:rFonts w:ascii="Times New Roman" w:hAnsi="Times New Roman"/>
          <w:color w:val="0000FF"/>
          <w:sz w:val="20"/>
          <w:u w:val="single"/>
          <w:bdr w:val="double" w:sz="2" w:space="1" w:color="000000"/>
        </w:rPr>
        <w:t>each of Chief Executive Officer and Chief Financial Officer of the Company (the “</w:t>
      </w:r>
      <w:r>
        <w:rPr>
          <w:rFonts w:ascii="Times New Roman" w:hAnsi="Times New Roman"/>
          <w:b/>
          <w:i/>
          <w:color w:val="0000FF"/>
          <w:sz w:val="20"/>
          <w:u w:val="single"/>
          <w:bdr w:val="double" w:sz="2" w:space="1" w:color="000000"/>
        </w:rPr>
        <w:t>Authorized Officers</w:t>
      </w:r>
      <w:r>
        <w:rPr>
          <w:rFonts w:ascii="Times New Roman" w:hAnsi="Times New Roman"/>
          <w:color w:val="0000FF"/>
          <w:sz w:val="20"/>
          <w:u w:val="single"/>
          <w:bdr w:val="double" w:sz="2" w:space="1" w:color="000000"/>
        </w:rPr>
        <w:t>”) be, and</w:t>
      </w:r>
      <w:r>
        <w:rPr>
          <w:rFonts w:ascii="Times New Roman" w:hAnsi="Times New Roman"/>
          <w:sz w:val="20"/>
        </w:rPr>
        <w:t xml:space="preserve"> hereby is, authorized</w:t>
      </w:r>
      <w:r>
        <w:rPr>
          <w:rFonts w:ascii="Times New Roman" w:hAnsi="Times New Roman"/>
          <w:color w:val="0000FF"/>
          <w:sz w:val="20"/>
          <w:u w:val="single"/>
          <w:bdr w:val="double" w:sz="2" w:space="1" w:color="000000"/>
        </w:rPr>
        <w:t>, empowered</w:t>
      </w:r>
      <w:r>
        <w:rPr>
          <w:rFonts w:ascii="Times New Roman" w:hAnsi="Times New Roman"/>
          <w:sz w:val="20"/>
        </w:rPr>
        <w:t xml:space="preserve"> and directed to </w:t>
      </w:r>
      <w:r>
        <w:rPr>
          <w:rFonts w:ascii="Times New Roman" w:hAnsi="Times New Roman"/>
          <w:strike/>
          <w:color w:val="FF0000"/>
          <w:sz w:val="20"/>
        </w:rPr>
        <w:t>take such further action and execute such other documents as such officer or officers shall deem necessary or advisable in order to effectuate the intent of the foregoing resolution; and it is further</w:t>
      </w:r>
      <w:r>
        <w:rPr>
          <w:rFonts w:ascii="Times New Roman" w:hAnsi="Times New Roman"/>
          <w:color w:val="0000FF"/>
          <w:sz w:val="20"/>
          <w:u w:val="single"/>
          <w:bdr w:val="double" w:sz="2" w:space="1" w:color="000000"/>
        </w:rPr>
        <w:t>certify and deliver copies of these resolutions to such governmental bodies, agencies, persons, firms or corporations as the Authorized Officer may deem necessary and to identify by such Authorized Officer’s signature or certificate, or in such form as may be required, the documents and instruments presented to and approved herein and to furnish evidence of the approval of any document, instrument or provision or any addition, deletion or change in any document or instrument.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trike/>
          <w:color w:val="FF0000"/>
          <w:sz w:val="20"/>
        </w:rPr>
        <w:t xml:space="preserve">RESOLVED, </w:t>
      </w:r>
      <w:r>
        <w:rPr>
          <w:rFonts w:ascii="Times New Roman" w:hAnsi="Times New Roman"/>
          <w:strike/>
          <w:color w:val="FF0000"/>
          <w:sz w:val="20"/>
        </w:rPr>
        <w:t>that any and all actions previously taken by the Fund or any of its directors or officers in connection with the actions contemplated by the foregoing resolutions be, and each of them hereby is, ratified, confirmed, approved and adopted in all respects as and for the acts and deeds of the Fund.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Schedule A – Existing Wholly-Owned Subsidiaries</w:t>
      </w: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color w:val="0000FF"/>
          <w:sz w:val="20"/>
          <w:u w:val="single"/>
          <w:bdr w:val="double" w:sz="2" w:space="1" w:color="000000"/>
        </w:rPr>
        <w:t>Existing Wholly-Owned Subsidiaries of Fidus Investment Corporation</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Fidus Mezzanine Capital, 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Mezzanine Capital II, 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Mezzanine Capital III, 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Mezzanine Capital IV, 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FIC Funding, LLC</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Investment Holdings, Inc.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trike/>
          <w:color w:val="FF0000"/>
          <w:sz w:val="20"/>
        </w:rPr>
        <w:t>[Different first page setting changed from off in original to on in modified.].</w:t>
      </w:r>
      <w:r>
        <w:rPr>
          <w:rFonts w:ascii="Times New Roman" w:hAnsi="Times New Roman"/>
          <w:i/>
          <w:sz w:val="20"/>
        </w:rPr>
        <w:t xml:space="preserve"> </w:t>
      </w:r>
    </w:p>
    <w:p>
      <w:pPr>
        <w:pStyle w:val="TextBody"/>
        <w:bidi w:val="0"/>
        <w:spacing w:before="120" w:after="0"/>
        <w:jc w:val="center"/>
        <w:rPr>
          <w:rFonts w:ascii="Times New Roman" w:hAnsi="Times New Roman"/>
          <w:b/>
          <w:sz w:val="20"/>
        </w:rPr>
      </w:pPr>
      <w:r>
        <w:rPr>
          <w:rFonts w:ascii="Times New Roman" w:hAnsi="Times New Roman"/>
          <w:b/>
          <w:color w:val="0000FF"/>
          <w:sz w:val="20"/>
          <w:u w:val="single"/>
          <w:bdr w:val="double" w:sz="2" w:space="1" w:color="000000"/>
        </w:rPr>
        <w:t>Schedule B – Existing Affiliated Funds</w:t>
      </w: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color w:val="0000FF"/>
          <w:sz w:val="20"/>
          <w:u w:val="single"/>
          <w:bdr w:val="double" w:sz="2" w:space="1" w:color="000000"/>
        </w:rPr>
        <w:t>Existing Affiliated Funds Advised by Fidus Investment Advisors, LLC:</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Fidus Credit Opportunities, 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Fidus Equity Opportunities Fund, L.P.</w:t>
      </w:r>
      <w:r>
        <w:rPr>
          <w:rFonts w:ascii="Times New Roman" w:hAnsi="Times New Roman"/>
          <w:sz w:val="20"/>
        </w:rPr>
        <w:t xml:space="preserve"> </w:t>
      </w:r>
    </w:p>
    <w:p>
      <w:pPr>
        <w:pStyle w:val="TextBody"/>
        <w:bidi w:val="0"/>
        <w:spacing w:before="240" w:after="0"/>
        <w:jc w:val="left"/>
        <w:rPr>
          <w:rFonts w:ascii="Times New Roman" w:hAnsi="Times New Roman"/>
          <w:i/>
          <w:sz w:val="20"/>
        </w:rPr>
      </w:pPr>
      <w:r>
        <w:rPr>
          <w:rFonts w:ascii="Times New Roman" w:hAnsi="Times New Roman"/>
          <w:i/>
          <w:strike/>
          <w:color w:val="FF0000"/>
          <w:sz w:val="20"/>
        </w:rPr>
        <w:t>[Different first page setting changed from off in original to on in modified.].</w:t>
      </w:r>
      <w:r>
        <w:rPr>
          <w:rFonts w:ascii="Times New Roman" w:hAnsi="Times New Roman"/>
          <w:i/>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color w:val="FF0000"/>
          <w:sz w:val="20"/>
        </w:rPr>
      </w:pPr>
      <w:r>
        <w:rPr>
          <w:rFonts w:ascii="Times New Roman" w:hAnsi="Times New Roman"/>
          <w:i/>
          <w:color w:val="FF0000"/>
          <w:sz w:val="20"/>
        </w:rPr>
        <w:t xml:space="preserve">[Different first page setting changed from off in original to on in modified.]. </w:t>
      </w:r>
    </w:p>
    <w:p>
      <w:pPr>
        <w:pStyle w:val="TextBody"/>
        <w:bidi w:val="0"/>
        <w:spacing w:before="240" w:after="0"/>
        <w:jc w:val="right"/>
        <w:rPr>
          <w:rFonts w:ascii="Times New Roman" w:hAnsi="Times New Roman"/>
          <w:sz w:val="20"/>
        </w:rPr>
      </w:pPr>
      <w:r>
        <w:rPr>
          <w:rFonts w:ascii="Times New Roman" w:hAnsi="Times New Roman"/>
          <w:color w:val="0000FF"/>
          <w:sz w:val="20"/>
          <w:u w:val="single"/>
          <w:bdr w:val="double" w:sz="2" w:space="1" w:color="000000"/>
        </w:rPr>
        <w:t>Exhibit C</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color w:val="0000FF"/>
          <w:sz w:val="20"/>
          <w:u w:val="single"/>
          <w:bdr w:val="double" w:sz="2" w:space="1" w:color="000000"/>
        </w:rPr>
        <w:t>Marked Copies of the Application Showing Changes from the Final Versions of the Two Applications</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Identified as Substantially Identical Under Rule 0-5(e)(3)</w:t>
      </w:r>
      <w:r>
        <w:rPr>
          <w:rFonts w:ascii="Times New Roman" w:hAnsi="Times New Roman"/>
          <w:b/>
          <w:sz w:val="20"/>
        </w:rPr>
        <w:t xml:space="preserve"> </w:t>
      </w:r>
    </w:p>
    <w:p>
      <w:pPr>
        <w:pStyle w:val="TextBody"/>
        <w:bidi w:val="0"/>
        <w:spacing w:before="240" w:after="0"/>
        <w:jc w:val="left"/>
        <w:rPr>
          <w:rFonts w:ascii="Times New Roman" w:hAnsi="Times New Roman"/>
          <w:i/>
          <w:color w:val="FF0000"/>
          <w:sz w:val="20"/>
        </w:rPr>
      </w:pPr>
      <w:r>
        <w:rPr>
          <w:rFonts w:ascii="Times New Roman" w:hAnsi="Times New Roman"/>
          <w:i/>
          <w:color w:val="FF0000"/>
          <w:sz w:val="20"/>
        </w:rPr>
        <w:t xml:space="preserve">[Different first page setting changed from off in original to on in modified.]. </w:t>
      </w:r>
    </w:p>
    <w:p>
      <w:pPr>
        <w:pStyle w:val="TextBody"/>
        <w:bidi w:val="0"/>
        <w:spacing w:before="0" w:after="0"/>
        <w:jc w:val="left"/>
        <w:rPr>
          <w:rFonts w:ascii="Times New Roman" w:hAnsi="Times New Roman"/>
          <w:i/>
          <w:color w:val="FF0000"/>
          <w:sz w:val="20"/>
        </w:rPr>
      </w:pPr>
      <w:r>
        <w:rPr>
          <w:rFonts w:ascii="Times New Roman" w:hAnsi="Times New Roman"/>
          <w:i/>
          <w:color w:val="FF0000"/>
          <w:sz w:val="20"/>
        </w:rPr>
        <w:t xml:space="preserve">[Link-to-previous setting changed from on in original to off in modified.].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21955</Words>
  <Characters>119030</Characters>
  <CharactersWithSpaces>140998</CharactersWithSpaces>
  <Paragraphs>1571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40-APP</dc:title>
</cp:coreProperties>
</file>